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39E33F1A" w14:textId="4EEB7AA1" w:rsidR="00412BA3" w:rsidRPr="00B92FD6" w:rsidRDefault="00412BA3" w:rsidP="00B92FD6">
                            <w:r w:rsidRPr="008D2B34">
                              <w:t xml:space="preserve">Nike’s revenue is expected to grow at roughly 11% rate </w:t>
                            </w:r>
                            <w:r w:rsidR="00101904" w:rsidRPr="008D2B34">
                              <w:t xml:space="preserve">yoy in FY23 to USD </w:t>
                            </w:r>
                            <w:r w:rsidR="00C5337C" w:rsidRPr="008D2B34">
                              <w:t>70,000</w:t>
                            </w:r>
                            <w:r w:rsidR="00101904" w:rsidRPr="008D2B34">
                              <w:t xml:space="preserve"> mn. Revenue growth is mainly driven from Footwear growth across North America and Asian region.</w:t>
                            </w:r>
                            <w:r w:rsidR="00101904">
                              <w:t xml:space="preserve"> </w:t>
                            </w:r>
                            <w:r w:rsidR="00101904" w:rsidRPr="008D2B34">
                              <w:t>Nike Air Max and the Nike Air Jordan are expected to contribute to the footwear segment further supported by the growth in apparel.</w:t>
                            </w:r>
                            <w:r w:rsidR="005844D4">
                              <w:t xml:space="preserve"> Both of these vital products </w:t>
                            </w:r>
                            <w:r w:rsidR="006E1178">
                              <w:t xml:space="preserve">demonstrate </w:t>
                            </w:r>
                            <w:r w:rsidR="005844D4">
                              <w:t xml:space="preserve">Nike’s commitment to </w:t>
                            </w:r>
                            <w:r w:rsidRPr="00412BA3">
                              <w:t>performance, innovation, and cultural relevance</w:t>
                            </w:r>
                            <w:r w:rsidR="006E11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39E33F1A" w14:textId="4EEB7AA1" w:rsidR="00412BA3" w:rsidRPr="00B92FD6" w:rsidRDefault="00412BA3" w:rsidP="00B92FD6">
                      <w:r w:rsidRPr="008D2B34">
                        <w:t xml:space="preserve">Nike’s revenue is expected to grow at roughly 11% rate </w:t>
                      </w:r>
                      <w:r w:rsidR="00101904" w:rsidRPr="008D2B34">
                        <w:t xml:space="preserve">yoy in FY23 to USD </w:t>
                      </w:r>
                      <w:r w:rsidR="00C5337C" w:rsidRPr="008D2B34">
                        <w:t>70,000</w:t>
                      </w:r>
                      <w:r w:rsidR="00101904" w:rsidRPr="008D2B34">
                        <w:t xml:space="preserve"> mn. Revenue growth is mainly driven from Footwear growth across North America and Asian region.</w:t>
                      </w:r>
                      <w:r w:rsidR="00101904">
                        <w:t xml:space="preserve"> </w:t>
                      </w:r>
                      <w:r w:rsidR="00101904" w:rsidRPr="008D2B34">
                        <w:t>Nike Air Max and the Nike Air Jordan are expected to contribute to the footwear segment further supported by the growth in apparel.</w:t>
                      </w:r>
                      <w:r w:rsidR="005844D4">
                        <w:t xml:space="preserve"> Both of these vital products </w:t>
                      </w:r>
                      <w:r w:rsidR="006E1178">
                        <w:t xml:space="preserve">demonstrate </w:t>
                      </w:r>
                      <w:r w:rsidR="005844D4">
                        <w:t xml:space="preserve">Nike’s commitment to </w:t>
                      </w:r>
                      <w:r w:rsidRPr="00412BA3">
                        <w:t>performance, innovation, and cultural relevance</w:t>
                      </w:r>
                      <w:r w:rsidR="006E1178">
                        <w: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3BE21955" w:rsidR="00017B2B" w:rsidRPr="00390A86" w:rsidRDefault="00101904" w:rsidP="00017B2B">
                            <w:pPr>
                              <w:rPr>
                                <w:b/>
                                <w:bCs/>
                              </w:rPr>
                            </w:pPr>
                            <w:r w:rsidRPr="00390A86">
                              <w:t xml:space="preserve">EBITDA margin has expanded by </w:t>
                            </w:r>
                            <w:r w:rsidR="00390A86" w:rsidRPr="00390A86">
                              <w:t>17</w:t>
                            </w:r>
                            <w:r w:rsidRPr="00390A86">
                              <w:t xml:space="preserve">% in FY23 to </w:t>
                            </w:r>
                            <w:r w:rsidR="004C4770" w:rsidRPr="00390A86">
                              <w:t xml:space="preserve">USD </w:t>
                            </w:r>
                            <w:r w:rsidR="00390A86" w:rsidRPr="00390A86">
                              <w:t>8,805</w:t>
                            </w:r>
                            <w:r w:rsidR="004C4770" w:rsidRPr="00390A86">
                              <w:t xml:space="preserve"> mn. </w:t>
                            </w:r>
                            <w:r w:rsidR="00390A86" w:rsidRPr="00390A86">
                              <w:t xml:space="preserve">North America, Europe and other </w:t>
                            </w:r>
                            <w:r w:rsidR="004C4770" w:rsidRPr="00390A86">
                              <w:t>segment</w:t>
                            </w:r>
                            <w:r w:rsidR="00390A86" w:rsidRPr="00390A86">
                              <w:t>s</w:t>
                            </w:r>
                            <w:r w:rsidR="004C4770" w:rsidRPr="00390A86">
                              <w:t xml:space="preserve"> are expected to contribute towards the margin as a result of volume growth and efficient cost control by the company.</w:t>
                            </w:r>
                            <w:r w:rsidR="00390A86" w:rsidRPr="00390A86">
                              <w:t xml:space="preserve">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3BE21955" w:rsidR="00017B2B" w:rsidRPr="00390A86" w:rsidRDefault="00101904" w:rsidP="00017B2B">
                      <w:pPr>
                        <w:rPr>
                          <w:b/>
                          <w:bCs/>
                        </w:rPr>
                      </w:pPr>
                      <w:r w:rsidRPr="00390A86">
                        <w:t xml:space="preserve">EBITDA margin has expanded by </w:t>
                      </w:r>
                      <w:r w:rsidR="00390A86" w:rsidRPr="00390A86">
                        <w:t>17</w:t>
                      </w:r>
                      <w:r w:rsidRPr="00390A86">
                        <w:t xml:space="preserve">% in FY23 to </w:t>
                      </w:r>
                      <w:r w:rsidR="004C4770" w:rsidRPr="00390A86">
                        <w:t xml:space="preserve">USD </w:t>
                      </w:r>
                      <w:r w:rsidR="00390A86" w:rsidRPr="00390A86">
                        <w:t>8,805</w:t>
                      </w:r>
                      <w:r w:rsidR="004C4770" w:rsidRPr="00390A86">
                        <w:t xml:space="preserve"> mn. </w:t>
                      </w:r>
                      <w:r w:rsidR="00390A86" w:rsidRPr="00390A86">
                        <w:t xml:space="preserve">North America, Europe and other </w:t>
                      </w:r>
                      <w:r w:rsidR="004C4770" w:rsidRPr="00390A86">
                        <w:t>segment</w:t>
                      </w:r>
                      <w:r w:rsidR="00390A86" w:rsidRPr="00390A86">
                        <w:t>s</w:t>
                      </w:r>
                      <w:r w:rsidR="004C4770" w:rsidRPr="00390A86">
                        <w:t xml:space="preserve"> are expected to contribute towards the margin as a result of volume growth and efficient cost control by the company.</w:t>
                      </w:r>
                      <w:r w:rsidR="00390A86" w:rsidRPr="00390A86">
                        <w:t xml:space="preserve">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7DE66DB2" w14:textId="7CD8234B" w:rsidR="006E1178" w:rsidRDefault="006E1178" w:rsidP="00017B2B">
                            <w:r>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7DE66DB2" w14:textId="7CD8234B" w:rsidR="006E1178" w:rsidRDefault="006E1178" w:rsidP="00017B2B">
                      <w:r>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6DC8603A" w14:textId="6F9734EA" w:rsidR="00DC1128" w:rsidRPr="00515EC2" w:rsidRDefault="00101904" w:rsidP="00DC1128">
                            <w:pPr>
                              <w:rPr>
                                <w:b/>
                                <w:bCs/>
                              </w:rPr>
                            </w:pPr>
                            <w:r w:rsidRPr="00515EC2">
                              <w:t xml:space="preserve">Nike has a strong </w:t>
                            </w:r>
                            <w:r w:rsidR="00515EC2" w:rsidRPr="00515EC2">
                              <w:t>28.24</w:t>
                            </w:r>
                            <w:r w:rsidRPr="00515EC2">
                              <w:t>% upside to its current share price, as a result of strong revenue and margin growth driven by its footwear segment.</w:t>
                            </w:r>
                            <w:r w:rsidR="00E6046B">
                              <w:t xml:space="preserve"> This implies a buy recommendation to investors </w:t>
                            </w:r>
                            <w:r w:rsidR="00515EC2">
                              <w:t>based on the forecasted share price.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6DC8603A" w14:textId="6F9734EA" w:rsidR="00DC1128" w:rsidRPr="00515EC2" w:rsidRDefault="00101904" w:rsidP="00DC1128">
                      <w:pPr>
                        <w:rPr>
                          <w:b/>
                          <w:bCs/>
                        </w:rPr>
                      </w:pPr>
                      <w:r w:rsidRPr="00515EC2">
                        <w:t xml:space="preserve">Nike has a strong </w:t>
                      </w:r>
                      <w:r w:rsidR="00515EC2" w:rsidRPr="00515EC2">
                        <w:t>28.24</w:t>
                      </w:r>
                      <w:r w:rsidRPr="00515EC2">
                        <w:t>% upside to its current share price, as a result of strong revenue and margin growth driven by its footwear segment.</w:t>
                      </w:r>
                      <w:r w:rsidR="00E6046B">
                        <w:t xml:space="preserve"> This implies a buy recommendation to investors </w:t>
                      </w:r>
                      <w:r w:rsidR="00515EC2">
                        <w:t>based on the forecasted share price.</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4D78B10E" w:rsidR="00017B2B" w:rsidRDefault="005736A2">
                            <w:r>
                              <w:t>Nike Inc</w:t>
                            </w:r>
                          </w:p>
                          <w:p w14:paraId="4696F081" w14:textId="49323754" w:rsidR="00017B2B" w:rsidRDefault="005736A2">
                            <w:r>
                              <w:t>NYSE: NKE</w:t>
                            </w:r>
                          </w:p>
                          <w:p w14:paraId="7B155A12" w14:textId="00373680" w:rsidR="00017B2B" w:rsidRDefault="00017B2B">
                            <w:r>
                              <w:t xml:space="preserve">Current </w:t>
                            </w:r>
                            <w:r w:rsidR="00B92FD6">
                              <w:t>Share</w:t>
                            </w:r>
                            <w:r>
                              <w:t xml:space="preserve"> Price</w:t>
                            </w:r>
                            <w:r w:rsidR="005736A2">
                              <w:t>: 116.11</w:t>
                            </w:r>
                            <w:r w:rsidR="0073044A">
                              <w:t xml:space="preserve"> Forecasted Share Price: 148.9</w:t>
                            </w:r>
                          </w:p>
                          <w:p w14:paraId="51657A7D" w14:textId="402685D8" w:rsidR="00B720B0" w:rsidRDefault="00B720B0">
                            <w:r>
                              <w:t>Upside/Downside to current share price:</w:t>
                            </w:r>
                            <w:r w:rsidR="005736A2">
                              <w:t xml:space="preserve"> </w:t>
                            </w:r>
                            <w:r w:rsidR="0073044A">
                              <w:t>28.24%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4D78B10E" w:rsidR="00017B2B" w:rsidRDefault="005736A2">
                      <w:r>
                        <w:t>Nike Inc</w:t>
                      </w:r>
                    </w:p>
                    <w:p w14:paraId="4696F081" w14:textId="49323754" w:rsidR="00017B2B" w:rsidRDefault="005736A2">
                      <w:r>
                        <w:t>NYSE: NKE</w:t>
                      </w:r>
                    </w:p>
                    <w:p w14:paraId="7B155A12" w14:textId="00373680" w:rsidR="00017B2B" w:rsidRDefault="00017B2B">
                      <w:r>
                        <w:t xml:space="preserve">Current </w:t>
                      </w:r>
                      <w:r w:rsidR="00B92FD6">
                        <w:t>Share</w:t>
                      </w:r>
                      <w:r>
                        <w:t xml:space="preserve"> Price</w:t>
                      </w:r>
                      <w:r w:rsidR="005736A2">
                        <w:t>: 116.11</w:t>
                      </w:r>
                      <w:r w:rsidR="0073044A">
                        <w:t xml:space="preserve"> Forecasted Share Price: 148.9</w:t>
                      </w:r>
                    </w:p>
                    <w:p w14:paraId="51657A7D" w14:textId="402685D8" w:rsidR="00B720B0" w:rsidRDefault="00B720B0">
                      <w:r>
                        <w:t>Upside/Downside to current share price:</w:t>
                      </w:r>
                      <w:r w:rsidR="005736A2">
                        <w:t xml:space="preserve"> </w:t>
                      </w:r>
                      <w:r w:rsidR="0073044A">
                        <w:t>28.24%</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2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01904"/>
    <w:rsid w:val="001E1ED7"/>
    <w:rsid w:val="00390A86"/>
    <w:rsid w:val="00412BA3"/>
    <w:rsid w:val="0049309E"/>
    <w:rsid w:val="004B4D6F"/>
    <w:rsid w:val="004C4770"/>
    <w:rsid w:val="00515EC2"/>
    <w:rsid w:val="00551AA1"/>
    <w:rsid w:val="005736A2"/>
    <w:rsid w:val="005844D4"/>
    <w:rsid w:val="00587F4A"/>
    <w:rsid w:val="005C677A"/>
    <w:rsid w:val="005E77B5"/>
    <w:rsid w:val="006E1178"/>
    <w:rsid w:val="0073044A"/>
    <w:rsid w:val="007F2035"/>
    <w:rsid w:val="007F6675"/>
    <w:rsid w:val="008A3361"/>
    <w:rsid w:val="008D2B34"/>
    <w:rsid w:val="008E437D"/>
    <w:rsid w:val="00A201F9"/>
    <w:rsid w:val="00A6150D"/>
    <w:rsid w:val="00B2118C"/>
    <w:rsid w:val="00B720B0"/>
    <w:rsid w:val="00B92FD6"/>
    <w:rsid w:val="00BF5108"/>
    <w:rsid w:val="00C5337C"/>
    <w:rsid w:val="00DC1128"/>
    <w:rsid w:val="00E6046B"/>
    <w:rsid w:val="00F421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15477">
      <w:bodyDiv w:val="1"/>
      <w:marLeft w:val="0"/>
      <w:marRight w:val="0"/>
      <w:marTop w:val="0"/>
      <w:marBottom w:val="0"/>
      <w:divBdr>
        <w:top w:val="none" w:sz="0" w:space="0" w:color="auto"/>
        <w:left w:val="none" w:sz="0" w:space="0" w:color="auto"/>
        <w:bottom w:val="none" w:sz="0" w:space="0" w:color="auto"/>
        <w:right w:val="none" w:sz="0" w:space="0" w:color="auto"/>
      </w:divBdr>
      <w:divsChild>
        <w:div w:id="1791896514">
          <w:marLeft w:val="0"/>
          <w:marRight w:val="0"/>
          <w:marTop w:val="0"/>
          <w:marBottom w:val="0"/>
          <w:divBdr>
            <w:top w:val="none" w:sz="0" w:space="0" w:color="auto"/>
            <w:left w:val="none" w:sz="0" w:space="0" w:color="auto"/>
            <w:bottom w:val="none" w:sz="0" w:space="0" w:color="auto"/>
            <w:right w:val="none" w:sz="0" w:space="0" w:color="auto"/>
          </w:divBdr>
          <w:divsChild>
            <w:div w:id="1844666004">
              <w:marLeft w:val="0"/>
              <w:marRight w:val="0"/>
              <w:marTop w:val="0"/>
              <w:marBottom w:val="0"/>
              <w:divBdr>
                <w:top w:val="none" w:sz="0" w:space="0" w:color="auto"/>
                <w:left w:val="none" w:sz="0" w:space="0" w:color="auto"/>
                <w:bottom w:val="none" w:sz="0" w:space="0" w:color="auto"/>
                <w:right w:val="none" w:sz="0" w:space="0" w:color="auto"/>
              </w:divBdr>
              <w:divsChild>
                <w:div w:id="1887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Krith Boonyapison</cp:lastModifiedBy>
  <cp:revision>6</cp:revision>
  <dcterms:created xsi:type="dcterms:W3CDTF">2023-12-07T16:56:00Z</dcterms:created>
  <dcterms:modified xsi:type="dcterms:W3CDTF">2023-12-08T02:56:00Z</dcterms:modified>
</cp:coreProperties>
</file>