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Identify two to three key products that are vital for the company’s growth and you can discuss about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1C807EE6" w:rsidR="00B2118C" w:rsidRDefault="007C212D">
      <w:r>
        <w:rPr>
          <w:noProof/>
        </w:rPr>
        <w:lastRenderedPageBreak/>
        <mc:AlternateContent>
          <mc:Choice Requires="wps">
            <w:drawing>
              <wp:anchor distT="45720" distB="45720" distL="114300" distR="114300" simplePos="0" relativeHeight="251666432" behindDoc="0" locked="0" layoutInCell="1" allowOverlap="1" wp14:anchorId="773CC498" wp14:editId="054933DD">
                <wp:simplePos x="0" y="0"/>
                <wp:positionH relativeFrom="margin">
                  <wp:posOffset>2876550</wp:posOffset>
                </wp:positionH>
                <wp:positionV relativeFrom="paragraph">
                  <wp:posOffset>7896225</wp:posOffset>
                </wp:positionV>
                <wp:extent cx="3954780" cy="1219200"/>
                <wp:effectExtent l="0" t="0" r="26670" b="1905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219200"/>
                        </a:xfrm>
                        <a:prstGeom prst="rect">
                          <a:avLst/>
                        </a:prstGeom>
                        <a:solidFill>
                          <a:srgbClr val="FFFFFF"/>
                        </a:solidFill>
                        <a:ln w="9525">
                          <a:solidFill>
                            <a:srgbClr val="000000"/>
                          </a:solidFill>
                          <a:miter lim="800000"/>
                          <a:headEnd/>
                          <a:tailEnd/>
                        </a:ln>
                      </wps:spPr>
                      <wps:txbx>
                        <w:txbxContent>
                          <w:p w14:paraId="1B23DB5F" w14:textId="35D66B78" w:rsidR="00017B2B" w:rsidRPr="003F5BA4" w:rsidRDefault="00017B2B" w:rsidP="00017B2B">
                            <w:pPr>
                              <w:rPr>
                                <w:sz w:val="20"/>
                                <w:szCs w:val="20"/>
                              </w:rPr>
                            </w:pPr>
                            <w:r w:rsidRPr="003F5BA4">
                              <w:rPr>
                                <w:b/>
                                <w:bCs/>
                                <w:sz w:val="20"/>
                                <w:szCs w:val="20"/>
                              </w:rPr>
                              <w:t>Point 3:</w:t>
                            </w:r>
                            <w:r w:rsidR="00B92FD6" w:rsidRPr="003F5BA4">
                              <w:rPr>
                                <w:b/>
                                <w:bCs/>
                                <w:sz w:val="20"/>
                                <w:szCs w:val="20"/>
                              </w:rPr>
                              <w:t xml:space="preserve"> </w:t>
                            </w:r>
                            <w:r w:rsidR="00B92FD6" w:rsidRPr="003F5BA4">
                              <w:rPr>
                                <w:sz w:val="20"/>
                                <w:szCs w:val="20"/>
                              </w:rPr>
                              <w:t>EPS, FCFF and Capex forecasts. Any future developments, company’s key drug pipeline/development.</w:t>
                            </w:r>
                          </w:p>
                          <w:p w14:paraId="61B2AA66" w14:textId="0403C3D0" w:rsidR="003F5BA4" w:rsidRPr="003F5BA4" w:rsidRDefault="003F5BA4" w:rsidP="003F5BA4">
                            <w:pPr>
                              <w:pStyle w:val="ListParagraph"/>
                              <w:numPr>
                                <w:ilvl w:val="0"/>
                                <w:numId w:val="4"/>
                              </w:numPr>
                              <w:rPr>
                                <w:sz w:val="20"/>
                                <w:szCs w:val="20"/>
                              </w:rPr>
                            </w:pPr>
                            <w:r w:rsidRPr="003F5BA4">
                              <w:rPr>
                                <w:sz w:val="20"/>
                                <w:szCs w:val="20"/>
                              </w:rPr>
                              <w:t xml:space="preserve">EPS forecasted to grow consistently over the period from 3.75 in 2022 to about 7.84 in 2027 while FCFF grows in a </w:t>
                            </w:r>
                            <w:r w:rsidR="00947913" w:rsidRPr="003F5BA4">
                              <w:rPr>
                                <w:sz w:val="20"/>
                                <w:szCs w:val="20"/>
                              </w:rPr>
                              <w:t xml:space="preserve">marginally declining </w:t>
                            </w:r>
                            <w:r w:rsidR="00947913">
                              <w:rPr>
                                <w:sz w:val="20"/>
                                <w:szCs w:val="20"/>
                              </w:rPr>
                              <w:t>rate</w:t>
                            </w:r>
                            <w:r w:rsidRPr="003F5BA4">
                              <w:rPr>
                                <w:sz w:val="20"/>
                                <w:szCs w:val="20"/>
                              </w:rPr>
                              <w:t>.</w:t>
                            </w:r>
                            <w:r>
                              <w:rPr>
                                <w:sz w:val="20"/>
                                <w:szCs w:val="20"/>
                              </w:rPr>
                              <w:t xml:space="preserve"> CAPEX expected to decline over time and hence</w:t>
                            </w:r>
                            <w:r w:rsidR="00947913">
                              <w:rPr>
                                <w:sz w:val="20"/>
                                <w:szCs w:val="20"/>
                              </w:rPr>
                              <w:t xml:space="preserve"> a decline</w:t>
                            </w:r>
                            <w:r>
                              <w:rPr>
                                <w:sz w:val="20"/>
                                <w:szCs w:val="20"/>
                              </w:rPr>
                              <w:t xml:space="preserve"> in CAPEX as a</w:t>
                            </w:r>
                            <w:r w:rsidR="007C212D">
                              <w:rPr>
                                <w:sz w:val="20"/>
                                <w:szCs w:val="20"/>
                              </w:rPr>
                              <w:t xml:space="preserve"> </w:t>
                            </w:r>
                            <w:r>
                              <w:rPr>
                                <w:sz w:val="20"/>
                                <w:szCs w:val="20"/>
                              </w:rPr>
                              <w:t>percentage of revenue</w:t>
                            </w:r>
                            <w:r w:rsidR="00947913">
                              <w:rPr>
                                <w:sz w:val="20"/>
                                <w:szCs w:val="20"/>
                              </w:rPr>
                              <w:t xml:space="preserve"> over the forecasted </w:t>
                            </w:r>
                            <w:proofErr w:type="gramStart"/>
                            <w:r w:rsidR="00947913">
                              <w:rPr>
                                <w:sz w:val="20"/>
                                <w:szCs w:val="20"/>
                              </w:rPr>
                              <w:t>period.</w:t>
                            </w:r>
                            <w:r>
                              <w:rPr>
                                <w:sz w:val="20"/>
                                <w:szCs w:val="20"/>
                              </w:rPr>
                              <w:t>.</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3CC498" id="_x0000_t202" coordsize="21600,21600" o:spt="202" path="m,l,21600r21600,l21600,xe">
                <v:stroke joinstyle="miter"/>
                <v:path gradientshapeok="t" o:connecttype="rect"/>
              </v:shapetype>
              <v:shape id="Text Box 3" o:spid="_x0000_s1026" type="#_x0000_t202" style="position:absolute;margin-left:226.5pt;margin-top:621.75pt;width:311.4pt;height:96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">
                <v:textbox>
                  <w:txbxContent>
                    <w:p w14:paraId="1B23DB5F" w14:textId="35D66B78" w:rsidR="00017B2B" w:rsidRPr="003F5BA4" w:rsidRDefault="00017B2B" w:rsidP="00017B2B">
                      <w:pPr>
                        <w:rPr>
                          <w:sz w:val="20"/>
                          <w:szCs w:val="20"/>
                        </w:rPr>
                      </w:pPr>
                      <w:r w:rsidRPr="003F5BA4">
                        <w:rPr>
                          <w:b/>
                          <w:bCs/>
                          <w:sz w:val="20"/>
                          <w:szCs w:val="20"/>
                        </w:rPr>
                        <w:t>Point 3:</w:t>
                      </w:r>
                      <w:r w:rsidR="00B92FD6" w:rsidRPr="003F5BA4">
                        <w:rPr>
                          <w:b/>
                          <w:bCs/>
                          <w:sz w:val="20"/>
                          <w:szCs w:val="20"/>
                        </w:rPr>
                        <w:t xml:space="preserve"> </w:t>
                      </w:r>
                      <w:r w:rsidR="00B92FD6" w:rsidRPr="003F5BA4">
                        <w:rPr>
                          <w:sz w:val="20"/>
                          <w:szCs w:val="20"/>
                        </w:rPr>
                        <w:t>EPS, FCFF and Capex forecasts. Any future developments, company’s key drug pipeline/development.</w:t>
                      </w:r>
                    </w:p>
                    <w:p w14:paraId="61B2AA66" w14:textId="0403C3D0" w:rsidR="003F5BA4" w:rsidRPr="003F5BA4" w:rsidRDefault="003F5BA4" w:rsidP="003F5BA4">
                      <w:pPr>
                        <w:pStyle w:val="ListParagraph"/>
                        <w:numPr>
                          <w:ilvl w:val="0"/>
                          <w:numId w:val="4"/>
                        </w:numPr>
                        <w:rPr>
                          <w:sz w:val="20"/>
                          <w:szCs w:val="20"/>
                        </w:rPr>
                      </w:pPr>
                      <w:r w:rsidRPr="003F5BA4">
                        <w:rPr>
                          <w:sz w:val="20"/>
                          <w:szCs w:val="20"/>
                        </w:rPr>
                        <w:t xml:space="preserve">EPS forecasted to grow consistently over the period from 3.75 in 2022 to about 7.84 in 2027 while FCFF grows in a </w:t>
                      </w:r>
                      <w:r w:rsidR="00947913" w:rsidRPr="003F5BA4">
                        <w:rPr>
                          <w:sz w:val="20"/>
                          <w:szCs w:val="20"/>
                        </w:rPr>
                        <w:t xml:space="preserve">marginally declining </w:t>
                      </w:r>
                      <w:r w:rsidR="00947913">
                        <w:rPr>
                          <w:sz w:val="20"/>
                          <w:szCs w:val="20"/>
                        </w:rPr>
                        <w:t>rate</w:t>
                      </w:r>
                      <w:r w:rsidRPr="003F5BA4">
                        <w:rPr>
                          <w:sz w:val="20"/>
                          <w:szCs w:val="20"/>
                        </w:rPr>
                        <w:t>.</w:t>
                      </w:r>
                      <w:r>
                        <w:rPr>
                          <w:sz w:val="20"/>
                          <w:szCs w:val="20"/>
                        </w:rPr>
                        <w:t xml:space="preserve"> CAPEX expected to decline over time and hence</w:t>
                      </w:r>
                      <w:r w:rsidR="00947913">
                        <w:rPr>
                          <w:sz w:val="20"/>
                          <w:szCs w:val="20"/>
                        </w:rPr>
                        <w:t xml:space="preserve"> a decline</w:t>
                      </w:r>
                      <w:r>
                        <w:rPr>
                          <w:sz w:val="20"/>
                          <w:szCs w:val="20"/>
                        </w:rPr>
                        <w:t xml:space="preserve"> in CAPEX as a</w:t>
                      </w:r>
                      <w:r w:rsidR="007C212D">
                        <w:rPr>
                          <w:sz w:val="20"/>
                          <w:szCs w:val="20"/>
                        </w:rPr>
                        <w:t xml:space="preserve"> </w:t>
                      </w:r>
                      <w:r>
                        <w:rPr>
                          <w:sz w:val="20"/>
                          <w:szCs w:val="20"/>
                        </w:rPr>
                        <w:t>percentage of revenue</w:t>
                      </w:r>
                      <w:r w:rsidR="00947913">
                        <w:rPr>
                          <w:sz w:val="20"/>
                          <w:szCs w:val="20"/>
                        </w:rPr>
                        <w:t xml:space="preserve"> over the forecasted </w:t>
                      </w:r>
                      <w:proofErr w:type="gramStart"/>
                      <w:r w:rsidR="00947913">
                        <w:rPr>
                          <w:sz w:val="20"/>
                          <w:szCs w:val="20"/>
                        </w:rPr>
                        <w:t>period.</w:t>
                      </w:r>
                      <w:r>
                        <w:rPr>
                          <w:sz w:val="20"/>
                          <w:szCs w:val="20"/>
                        </w:rPr>
                        <w:t>.</w:t>
                      </w:r>
                      <w:proofErr w:type="gramEnd"/>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01B98B0F">
                <wp:simplePos x="0" y="0"/>
                <wp:positionH relativeFrom="margin">
                  <wp:posOffset>2914650</wp:posOffset>
                </wp:positionH>
                <wp:positionV relativeFrom="paragraph">
                  <wp:posOffset>5229225</wp:posOffset>
                </wp:positionV>
                <wp:extent cx="3939540" cy="2667000"/>
                <wp:effectExtent l="0" t="0" r="2286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667000"/>
                        </a:xfrm>
                        <a:prstGeom prst="rect">
                          <a:avLst/>
                        </a:prstGeom>
                        <a:solidFill>
                          <a:srgbClr val="FFFFFF"/>
                        </a:solidFill>
                        <a:ln w="9525">
                          <a:solidFill>
                            <a:srgbClr val="000000"/>
                          </a:solidFill>
                          <a:miter lim="800000"/>
                          <a:headEnd/>
                          <a:tailEnd/>
                        </a:ln>
                      </wps:spPr>
                      <wps:txbx>
                        <w:txbxContent>
                          <w:p w14:paraId="182755EA" w14:textId="6746C723" w:rsidR="00017B2B" w:rsidRPr="00475DD8" w:rsidRDefault="00017B2B" w:rsidP="00017B2B">
                            <w:pPr>
                              <w:rPr>
                                <w:sz w:val="20"/>
                                <w:szCs w:val="20"/>
                              </w:rPr>
                            </w:pPr>
                            <w:r w:rsidRPr="00017B2B">
                              <w:rPr>
                                <w:b/>
                                <w:bCs/>
                              </w:rPr>
                              <w:t>Point 2</w:t>
                            </w:r>
                            <w:r w:rsidRPr="00475DD8">
                              <w:rPr>
                                <w:b/>
                                <w:bCs/>
                                <w:sz w:val="20"/>
                                <w:szCs w:val="20"/>
                              </w:rPr>
                              <w:t>:</w:t>
                            </w:r>
                            <w:r w:rsidR="00B92FD6" w:rsidRPr="00475DD8">
                              <w:rPr>
                                <w:b/>
                                <w:bCs/>
                                <w:sz w:val="20"/>
                                <w:szCs w:val="20"/>
                              </w:rPr>
                              <w:t xml:space="preserve"> </w:t>
                            </w:r>
                            <w:r w:rsidR="00B92FD6" w:rsidRPr="00475DD8">
                              <w:rPr>
                                <w:sz w:val="20"/>
                                <w:szCs w:val="20"/>
                              </w:rPr>
                              <w:t>Margin of the group EBITDA, each segment’s contribution to earnings. The expectation of the margin growth. Key cost trends according to historic numbers (R&amp;D).</w:t>
                            </w:r>
                          </w:p>
                          <w:p w14:paraId="1251ECAB" w14:textId="79B824CC" w:rsidR="00593030" w:rsidRPr="00475DD8" w:rsidRDefault="00593030" w:rsidP="00593030">
                            <w:pPr>
                              <w:pStyle w:val="ListParagraph"/>
                              <w:numPr>
                                <w:ilvl w:val="0"/>
                                <w:numId w:val="3"/>
                              </w:numPr>
                              <w:rPr>
                                <w:sz w:val="20"/>
                                <w:szCs w:val="20"/>
                              </w:rPr>
                            </w:pPr>
                            <w:r w:rsidRPr="00475DD8">
                              <w:rPr>
                                <w:sz w:val="20"/>
                                <w:szCs w:val="20"/>
                              </w:rPr>
                              <w:t xml:space="preserve">The </w:t>
                            </w:r>
                            <w:r w:rsidRPr="00475DD8">
                              <w:rPr>
                                <w:sz w:val="20"/>
                                <w:szCs w:val="20"/>
                              </w:rPr>
                              <w:t xml:space="preserve">group’s </w:t>
                            </w:r>
                            <w:r w:rsidRPr="00475DD8">
                              <w:rPr>
                                <w:sz w:val="20"/>
                                <w:szCs w:val="20"/>
                              </w:rPr>
                              <w:t>EBITDA shows a fluctuating pattern of growth over the</w:t>
                            </w:r>
                            <w:r w:rsidRPr="00475DD8">
                              <w:rPr>
                                <w:sz w:val="20"/>
                                <w:szCs w:val="20"/>
                              </w:rPr>
                              <w:t xml:space="preserve"> forecasted</w:t>
                            </w:r>
                            <w:r w:rsidRPr="00475DD8">
                              <w:rPr>
                                <w:sz w:val="20"/>
                                <w:szCs w:val="20"/>
                              </w:rPr>
                              <w:t xml:space="preserve"> perio</w:t>
                            </w:r>
                            <w:r w:rsidRPr="00475DD8">
                              <w:rPr>
                                <w:sz w:val="20"/>
                                <w:szCs w:val="20"/>
                              </w:rPr>
                              <w:t>d</w:t>
                            </w:r>
                            <w:r w:rsidRPr="00475DD8">
                              <w:rPr>
                                <w:sz w:val="20"/>
                                <w:szCs w:val="20"/>
                              </w:rPr>
                              <w:t xml:space="preserve">, with considerable variations in growth rates year to year, which could suggest volatility </w:t>
                            </w:r>
                            <w:r w:rsidRPr="00475DD8">
                              <w:rPr>
                                <w:sz w:val="20"/>
                                <w:szCs w:val="20"/>
                              </w:rPr>
                              <w:t>in NIKE’s</w:t>
                            </w:r>
                            <w:r w:rsidRPr="00475DD8">
                              <w:rPr>
                                <w:sz w:val="20"/>
                                <w:szCs w:val="20"/>
                              </w:rPr>
                              <w:t xml:space="preserve"> operational performance</w:t>
                            </w:r>
                            <w:r w:rsidR="00974BA9" w:rsidRPr="00475DD8">
                              <w:rPr>
                                <w:sz w:val="20"/>
                                <w:szCs w:val="20"/>
                              </w:rPr>
                              <w:t>, however, with a higher and consistent margin (15.4% in 2023 to 26.9% by 2027) implying earnings are stable.</w:t>
                            </w:r>
                          </w:p>
                          <w:p w14:paraId="5018EDFC" w14:textId="19A17977" w:rsidR="00593030" w:rsidRPr="00475DD8" w:rsidRDefault="00974BA9" w:rsidP="00593030">
                            <w:pPr>
                              <w:pStyle w:val="ListParagraph"/>
                              <w:numPr>
                                <w:ilvl w:val="0"/>
                                <w:numId w:val="3"/>
                              </w:numPr>
                              <w:rPr>
                                <w:sz w:val="20"/>
                                <w:szCs w:val="20"/>
                              </w:rPr>
                            </w:pPr>
                            <w:r w:rsidRPr="00475DD8">
                              <w:rPr>
                                <w:sz w:val="20"/>
                                <w:szCs w:val="20"/>
                              </w:rPr>
                              <w:t xml:space="preserve">North America and Greater </w:t>
                            </w:r>
                            <w:r w:rsidR="005F6F36" w:rsidRPr="00475DD8">
                              <w:rPr>
                                <w:sz w:val="20"/>
                                <w:szCs w:val="20"/>
                              </w:rPr>
                              <w:t xml:space="preserve">China </w:t>
                            </w:r>
                            <w:r w:rsidRPr="00475DD8">
                              <w:rPr>
                                <w:sz w:val="20"/>
                                <w:szCs w:val="20"/>
                              </w:rPr>
                              <w:t xml:space="preserve">are expected to </w:t>
                            </w:r>
                            <w:r w:rsidR="005F6F36" w:rsidRPr="00475DD8">
                              <w:rPr>
                                <w:sz w:val="20"/>
                                <w:szCs w:val="20"/>
                              </w:rPr>
                              <w:t xml:space="preserve">be </w:t>
                            </w:r>
                            <w:r w:rsidRPr="00475DD8">
                              <w:rPr>
                                <w:sz w:val="20"/>
                                <w:szCs w:val="20"/>
                              </w:rPr>
                              <w:t>contribut</w:t>
                            </w:r>
                            <w:r w:rsidR="005F6F36" w:rsidRPr="00475DD8">
                              <w:rPr>
                                <w:sz w:val="20"/>
                                <w:szCs w:val="20"/>
                              </w:rPr>
                              <w:t>ors</w:t>
                            </w:r>
                            <w:r w:rsidRPr="00475DD8">
                              <w:rPr>
                                <w:sz w:val="20"/>
                                <w:szCs w:val="20"/>
                              </w:rPr>
                              <w:t xml:space="preserve"> to earnings as they are forecasted to have consistent growth in EBITDA and EBITDA margin.</w:t>
                            </w:r>
                          </w:p>
                          <w:p w14:paraId="1A10BFFD" w14:textId="39E53EC3" w:rsidR="005F6F36" w:rsidRPr="00475DD8" w:rsidRDefault="00475DD8" w:rsidP="00593030">
                            <w:pPr>
                              <w:pStyle w:val="ListParagraph"/>
                              <w:numPr>
                                <w:ilvl w:val="0"/>
                                <w:numId w:val="3"/>
                              </w:numPr>
                              <w:rPr>
                                <w:sz w:val="20"/>
                                <w:szCs w:val="20"/>
                              </w:rPr>
                            </w:pPr>
                            <w:r w:rsidRPr="00475DD8">
                              <w:rPr>
                                <w:sz w:val="20"/>
                                <w:szCs w:val="20"/>
                              </w:rPr>
                              <w:t xml:space="preserve">SG&amp;A </w:t>
                            </w:r>
                            <w:r>
                              <w:rPr>
                                <w:sz w:val="20"/>
                                <w:szCs w:val="20"/>
                              </w:rPr>
                              <w:t xml:space="preserve">expected </w:t>
                            </w:r>
                            <w:r w:rsidRPr="00475DD8">
                              <w:rPr>
                                <w:sz w:val="20"/>
                                <w:szCs w:val="20"/>
                              </w:rPr>
                              <w:t xml:space="preserve">to grow slightly </w:t>
                            </w:r>
                            <w:r>
                              <w:rPr>
                                <w:sz w:val="20"/>
                                <w:szCs w:val="20"/>
                              </w:rPr>
                              <w:t xml:space="preserve">due to </w:t>
                            </w:r>
                            <w:r w:rsidRPr="00475DD8">
                              <w:rPr>
                                <w:sz w:val="20"/>
                                <w:szCs w:val="20"/>
                              </w:rPr>
                              <w:t xml:space="preserve">increase investment in demand creation to support key global sports moments and product launches; and invest in capabilities to transform Nike’s operating model for greater speed and </w:t>
                            </w:r>
                            <w:r w:rsidRPr="00475DD8">
                              <w:rPr>
                                <w:sz w:val="20"/>
                                <w:szCs w:val="20"/>
                              </w:rPr>
                              <w:t>effectiveness.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Text Box 2" o:spid="_x0000_s1027" type="#_x0000_t202" style="position:absolute;margin-left:229.5pt;margin-top:411.75pt;width:310.2pt;height:210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">
                <v:textbox>
                  <w:txbxContent>
                    <w:p w14:paraId="182755EA" w14:textId="6746C723" w:rsidR="00017B2B" w:rsidRPr="00475DD8" w:rsidRDefault="00017B2B" w:rsidP="00017B2B">
                      <w:pPr>
                        <w:rPr>
                          <w:sz w:val="20"/>
                          <w:szCs w:val="20"/>
                        </w:rPr>
                      </w:pPr>
                      <w:r w:rsidRPr="00017B2B">
                        <w:rPr>
                          <w:b/>
                          <w:bCs/>
                        </w:rPr>
                        <w:t>Point 2</w:t>
                      </w:r>
                      <w:r w:rsidRPr="00475DD8">
                        <w:rPr>
                          <w:b/>
                          <w:bCs/>
                          <w:sz w:val="20"/>
                          <w:szCs w:val="20"/>
                        </w:rPr>
                        <w:t>:</w:t>
                      </w:r>
                      <w:r w:rsidR="00B92FD6" w:rsidRPr="00475DD8">
                        <w:rPr>
                          <w:b/>
                          <w:bCs/>
                          <w:sz w:val="20"/>
                          <w:szCs w:val="20"/>
                        </w:rPr>
                        <w:t xml:space="preserve"> </w:t>
                      </w:r>
                      <w:r w:rsidR="00B92FD6" w:rsidRPr="00475DD8">
                        <w:rPr>
                          <w:sz w:val="20"/>
                          <w:szCs w:val="20"/>
                        </w:rPr>
                        <w:t>Margin of the group EBITDA, each segment’s contribution to earnings. The expectation of the margin growth. Key cost trends according to historic numbers (R&amp;D).</w:t>
                      </w:r>
                    </w:p>
                    <w:p w14:paraId="1251ECAB" w14:textId="79B824CC" w:rsidR="00593030" w:rsidRPr="00475DD8" w:rsidRDefault="00593030" w:rsidP="00593030">
                      <w:pPr>
                        <w:pStyle w:val="ListParagraph"/>
                        <w:numPr>
                          <w:ilvl w:val="0"/>
                          <w:numId w:val="3"/>
                        </w:numPr>
                        <w:rPr>
                          <w:sz w:val="20"/>
                          <w:szCs w:val="20"/>
                        </w:rPr>
                      </w:pPr>
                      <w:r w:rsidRPr="00475DD8">
                        <w:rPr>
                          <w:sz w:val="20"/>
                          <w:szCs w:val="20"/>
                        </w:rPr>
                        <w:t xml:space="preserve">The </w:t>
                      </w:r>
                      <w:r w:rsidRPr="00475DD8">
                        <w:rPr>
                          <w:sz w:val="20"/>
                          <w:szCs w:val="20"/>
                        </w:rPr>
                        <w:t xml:space="preserve">group’s </w:t>
                      </w:r>
                      <w:r w:rsidRPr="00475DD8">
                        <w:rPr>
                          <w:sz w:val="20"/>
                          <w:szCs w:val="20"/>
                        </w:rPr>
                        <w:t>EBITDA shows a fluctuating pattern of growth over the</w:t>
                      </w:r>
                      <w:r w:rsidRPr="00475DD8">
                        <w:rPr>
                          <w:sz w:val="20"/>
                          <w:szCs w:val="20"/>
                        </w:rPr>
                        <w:t xml:space="preserve"> forecasted</w:t>
                      </w:r>
                      <w:r w:rsidRPr="00475DD8">
                        <w:rPr>
                          <w:sz w:val="20"/>
                          <w:szCs w:val="20"/>
                        </w:rPr>
                        <w:t xml:space="preserve"> perio</w:t>
                      </w:r>
                      <w:r w:rsidRPr="00475DD8">
                        <w:rPr>
                          <w:sz w:val="20"/>
                          <w:szCs w:val="20"/>
                        </w:rPr>
                        <w:t>d</w:t>
                      </w:r>
                      <w:r w:rsidRPr="00475DD8">
                        <w:rPr>
                          <w:sz w:val="20"/>
                          <w:szCs w:val="20"/>
                        </w:rPr>
                        <w:t xml:space="preserve">, with considerable variations in growth rates year to year, which could suggest volatility </w:t>
                      </w:r>
                      <w:r w:rsidRPr="00475DD8">
                        <w:rPr>
                          <w:sz w:val="20"/>
                          <w:szCs w:val="20"/>
                        </w:rPr>
                        <w:t>in NIKE’s</w:t>
                      </w:r>
                      <w:r w:rsidRPr="00475DD8">
                        <w:rPr>
                          <w:sz w:val="20"/>
                          <w:szCs w:val="20"/>
                        </w:rPr>
                        <w:t xml:space="preserve"> operational performance</w:t>
                      </w:r>
                      <w:r w:rsidR="00974BA9" w:rsidRPr="00475DD8">
                        <w:rPr>
                          <w:sz w:val="20"/>
                          <w:szCs w:val="20"/>
                        </w:rPr>
                        <w:t>, however, with a higher and consistent margin (15.4% in 2023 to 26.9% by 2027) implying earnings are stable.</w:t>
                      </w:r>
                    </w:p>
                    <w:p w14:paraId="5018EDFC" w14:textId="19A17977" w:rsidR="00593030" w:rsidRPr="00475DD8" w:rsidRDefault="00974BA9" w:rsidP="00593030">
                      <w:pPr>
                        <w:pStyle w:val="ListParagraph"/>
                        <w:numPr>
                          <w:ilvl w:val="0"/>
                          <w:numId w:val="3"/>
                        </w:numPr>
                        <w:rPr>
                          <w:sz w:val="20"/>
                          <w:szCs w:val="20"/>
                        </w:rPr>
                      </w:pPr>
                      <w:r w:rsidRPr="00475DD8">
                        <w:rPr>
                          <w:sz w:val="20"/>
                          <w:szCs w:val="20"/>
                        </w:rPr>
                        <w:t xml:space="preserve">North America and Greater </w:t>
                      </w:r>
                      <w:r w:rsidR="005F6F36" w:rsidRPr="00475DD8">
                        <w:rPr>
                          <w:sz w:val="20"/>
                          <w:szCs w:val="20"/>
                        </w:rPr>
                        <w:t xml:space="preserve">China </w:t>
                      </w:r>
                      <w:r w:rsidRPr="00475DD8">
                        <w:rPr>
                          <w:sz w:val="20"/>
                          <w:szCs w:val="20"/>
                        </w:rPr>
                        <w:t xml:space="preserve">are expected to </w:t>
                      </w:r>
                      <w:r w:rsidR="005F6F36" w:rsidRPr="00475DD8">
                        <w:rPr>
                          <w:sz w:val="20"/>
                          <w:szCs w:val="20"/>
                        </w:rPr>
                        <w:t xml:space="preserve">be </w:t>
                      </w:r>
                      <w:r w:rsidRPr="00475DD8">
                        <w:rPr>
                          <w:sz w:val="20"/>
                          <w:szCs w:val="20"/>
                        </w:rPr>
                        <w:t>contribut</w:t>
                      </w:r>
                      <w:r w:rsidR="005F6F36" w:rsidRPr="00475DD8">
                        <w:rPr>
                          <w:sz w:val="20"/>
                          <w:szCs w:val="20"/>
                        </w:rPr>
                        <w:t>ors</w:t>
                      </w:r>
                      <w:r w:rsidRPr="00475DD8">
                        <w:rPr>
                          <w:sz w:val="20"/>
                          <w:szCs w:val="20"/>
                        </w:rPr>
                        <w:t xml:space="preserve"> to earnings as they are forecasted to have consistent growth in EBITDA and EBITDA margin.</w:t>
                      </w:r>
                    </w:p>
                    <w:p w14:paraId="1A10BFFD" w14:textId="39E53EC3" w:rsidR="005F6F36" w:rsidRPr="00475DD8" w:rsidRDefault="00475DD8" w:rsidP="00593030">
                      <w:pPr>
                        <w:pStyle w:val="ListParagraph"/>
                        <w:numPr>
                          <w:ilvl w:val="0"/>
                          <w:numId w:val="3"/>
                        </w:numPr>
                        <w:rPr>
                          <w:sz w:val="20"/>
                          <w:szCs w:val="20"/>
                        </w:rPr>
                      </w:pPr>
                      <w:r w:rsidRPr="00475DD8">
                        <w:rPr>
                          <w:sz w:val="20"/>
                          <w:szCs w:val="20"/>
                        </w:rPr>
                        <w:t xml:space="preserve">SG&amp;A </w:t>
                      </w:r>
                      <w:r>
                        <w:rPr>
                          <w:sz w:val="20"/>
                          <w:szCs w:val="20"/>
                        </w:rPr>
                        <w:t xml:space="preserve">expected </w:t>
                      </w:r>
                      <w:r w:rsidRPr="00475DD8">
                        <w:rPr>
                          <w:sz w:val="20"/>
                          <w:szCs w:val="20"/>
                        </w:rPr>
                        <w:t xml:space="preserve">to grow slightly </w:t>
                      </w:r>
                      <w:r>
                        <w:rPr>
                          <w:sz w:val="20"/>
                          <w:szCs w:val="20"/>
                        </w:rPr>
                        <w:t xml:space="preserve">due to </w:t>
                      </w:r>
                      <w:r w:rsidRPr="00475DD8">
                        <w:rPr>
                          <w:sz w:val="20"/>
                          <w:szCs w:val="20"/>
                        </w:rPr>
                        <w:t xml:space="preserve">increase investment in demand creation to support key global sports moments and product launches; and invest in capabilities to transform Nike’s operating model for greater speed and </w:t>
                      </w:r>
                      <w:r w:rsidRPr="00475DD8">
                        <w:rPr>
                          <w:sz w:val="20"/>
                          <w:szCs w:val="20"/>
                        </w:rPr>
                        <w:t>effectiveness.</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0F1D6FCF">
                <wp:simplePos x="0" y="0"/>
                <wp:positionH relativeFrom="margin">
                  <wp:posOffset>2895600</wp:posOffset>
                </wp:positionH>
                <wp:positionV relativeFrom="paragraph">
                  <wp:posOffset>2895600</wp:posOffset>
                </wp:positionV>
                <wp:extent cx="3939540" cy="2333625"/>
                <wp:effectExtent l="0" t="0" r="2286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3625"/>
                        </a:xfrm>
                        <a:prstGeom prst="rect">
                          <a:avLst/>
                        </a:prstGeom>
                        <a:solidFill>
                          <a:srgbClr val="FFFFFF"/>
                        </a:solidFill>
                        <a:ln w="9525">
                          <a:solidFill>
                            <a:srgbClr val="000000"/>
                          </a:solidFill>
                          <a:miter lim="800000"/>
                          <a:headEnd/>
                          <a:tailEnd/>
                        </a:ln>
                      </wps:spPr>
                      <wps:txb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rsidRPr="00475DD8">
                              <w:rPr>
                                <w:sz w:val="20"/>
                                <w:szCs w:val="20"/>
                              </w:rPr>
                              <w:t xml:space="preserve">Comment on revenue growth expectation, key </w:t>
                            </w:r>
                            <w:proofErr w:type="gramStart"/>
                            <w:r w:rsidRPr="00475DD8">
                              <w:rPr>
                                <w:sz w:val="20"/>
                                <w:szCs w:val="20"/>
                              </w:rPr>
                              <w:t>segment</w:t>
                            </w:r>
                            <w:proofErr w:type="gramEnd"/>
                            <w:r w:rsidRPr="00475DD8">
                              <w:rPr>
                                <w:sz w:val="20"/>
                                <w:szCs w:val="20"/>
                              </w:rPr>
                              <w:t xml:space="preserve"> and product performance (not required to talk about all, which is the main segment and the main product that can impact the revenue growth the most) </w:t>
                            </w:r>
                          </w:p>
                          <w:p w14:paraId="4904F867" w14:textId="53638F46" w:rsidR="007A24FC" w:rsidRPr="00475DD8" w:rsidRDefault="007A24FC" w:rsidP="007A24FC">
                            <w:pPr>
                              <w:pStyle w:val="ListParagraph"/>
                              <w:numPr>
                                <w:ilvl w:val="0"/>
                                <w:numId w:val="2"/>
                              </w:numPr>
                              <w:rPr>
                                <w:sz w:val="20"/>
                                <w:szCs w:val="20"/>
                              </w:rPr>
                            </w:pPr>
                            <w:r w:rsidRPr="00475DD8">
                              <w:rPr>
                                <w:sz w:val="20"/>
                                <w:szCs w:val="20"/>
                              </w:rPr>
                              <w:t>Revenue growth for the next two years is expected to be closer to doubling the current year’s growth and flattens consistently for the next three years.</w:t>
                            </w:r>
                          </w:p>
                          <w:p w14:paraId="66187594" w14:textId="6384927D" w:rsidR="007A24FC" w:rsidRPr="00475DD8" w:rsidRDefault="00460990" w:rsidP="007A24FC">
                            <w:pPr>
                              <w:pStyle w:val="ListParagraph"/>
                              <w:numPr>
                                <w:ilvl w:val="0"/>
                                <w:numId w:val="2"/>
                              </w:numPr>
                              <w:rPr>
                                <w:sz w:val="20"/>
                                <w:szCs w:val="20"/>
                              </w:rPr>
                            </w:pPr>
                            <w:r w:rsidRPr="00475DD8">
                              <w:rPr>
                                <w:sz w:val="20"/>
                                <w:szCs w:val="20"/>
                              </w:rPr>
                              <w:t>EMEA</w:t>
                            </w:r>
                            <w:r w:rsidRPr="00475DD8">
                              <w:rPr>
                                <w:sz w:val="20"/>
                                <w:szCs w:val="20"/>
                              </w:rPr>
                              <w:t>, Greater China and Converse</w:t>
                            </w:r>
                            <w:r w:rsidRPr="00475DD8">
                              <w:rPr>
                                <w:sz w:val="20"/>
                                <w:szCs w:val="20"/>
                              </w:rPr>
                              <w:t xml:space="preserve"> all </w:t>
                            </w:r>
                            <w:r w:rsidRPr="00475DD8">
                              <w:rPr>
                                <w:sz w:val="20"/>
                                <w:szCs w:val="20"/>
                              </w:rPr>
                              <w:t xml:space="preserve">to see consistent growth above the prior year’s growth over the forecasted period while </w:t>
                            </w:r>
                            <w:r w:rsidRPr="00475DD8">
                              <w:rPr>
                                <w:sz w:val="20"/>
                                <w:szCs w:val="20"/>
                              </w:rPr>
                              <w:t>North America</w:t>
                            </w:r>
                            <w:r w:rsidRPr="00475DD8">
                              <w:rPr>
                                <w:sz w:val="20"/>
                                <w:szCs w:val="20"/>
                              </w:rPr>
                              <w:t xml:space="preserve"> and </w:t>
                            </w:r>
                            <w:r w:rsidRPr="00475DD8">
                              <w:rPr>
                                <w:sz w:val="20"/>
                                <w:szCs w:val="20"/>
                              </w:rPr>
                              <w:t xml:space="preserve">APLA </w:t>
                            </w:r>
                            <w:r w:rsidRPr="00475DD8">
                              <w:rPr>
                                <w:sz w:val="20"/>
                                <w:szCs w:val="20"/>
                              </w:rPr>
                              <w:t xml:space="preserve">growths are expected to be below the prior year’s growth rate. </w:t>
                            </w:r>
                          </w:p>
                          <w:p w14:paraId="16EA27C9" w14:textId="765FE675" w:rsidR="00460990" w:rsidRPr="00475DD8" w:rsidRDefault="00460990" w:rsidP="007A24FC">
                            <w:pPr>
                              <w:pStyle w:val="ListParagraph"/>
                              <w:numPr>
                                <w:ilvl w:val="0"/>
                                <w:numId w:val="2"/>
                              </w:numPr>
                              <w:rPr>
                                <w:sz w:val="20"/>
                                <w:szCs w:val="20"/>
                              </w:rPr>
                            </w:pPr>
                            <w:r w:rsidRPr="00475DD8">
                              <w:rPr>
                                <w:sz w:val="20"/>
                                <w:szCs w:val="20"/>
                              </w:rPr>
                              <w:t xml:space="preserve">Apparel and Footwear in EMEA </w:t>
                            </w:r>
                            <w:r w:rsidR="00AC7A59" w:rsidRPr="00475DD8">
                              <w:rPr>
                                <w:sz w:val="20"/>
                                <w:szCs w:val="20"/>
                              </w:rPr>
                              <w:t>appears</w:t>
                            </w:r>
                            <w:r w:rsidRPr="00475DD8">
                              <w:rPr>
                                <w:sz w:val="20"/>
                                <w:szCs w:val="20"/>
                              </w:rPr>
                              <w:t xml:space="preserve"> to be a significant contributor to the</w:t>
                            </w:r>
                            <w:r w:rsidR="00AC7A59" w:rsidRPr="00475DD8">
                              <w:rPr>
                                <w:sz w:val="20"/>
                                <w:szCs w:val="20"/>
                              </w:rPr>
                              <w:t xml:space="preserve"> expected</w:t>
                            </w:r>
                            <w:r w:rsidRPr="00475DD8">
                              <w:rPr>
                                <w:sz w:val="20"/>
                                <w:szCs w:val="20"/>
                              </w:rPr>
                              <w:t xml:space="preserve"> revenue </w:t>
                            </w:r>
                            <w:r w:rsidR="00475DD8" w:rsidRPr="00475DD8">
                              <w:rPr>
                                <w:sz w:val="20"/>
                                <w:szCs w:val="20"/>
                              </w:rPr>
                              <w:t>growth.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8" type="#_x0000_t202" style="position:absolute;margin-left:228pt;margin-top:228pt;width:310.2pt;height:183.7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">
                <v:textbox>
                  <w:txbxContent>
                    <w:p w14:paraId="4E7916A3" w14:textId="70339244" w:rsidR="00B92FD6" w:rsidRDefault="00B92FD6" w:rsidP="00B92FD6">
                      <w:r w:rsidRPr="00017B2B">
                        <w:rPr>
                          <w:b/>
                          <w:bCs/>
                        </w:rPr>
                        <w:t xml:space="preserve">Point </w:t>
                      </w:r>
                      <w:r>
                        <w:rPr>
                          <w:b/>
                          <w:bCs/>
                        </w:rPr>
                        <w:t>1</w:t>
                      </w:r>
                      <w:r w:rsidRPr="00017B2B">
                        <w:rPr>
                          <w:b/>
                          <w:bCs/>
                        </w:rPr>
                        <w:t>:</w:t>
                      </w:r>
                      <w:r>
                        <w:rPr>
                          <w:b/>
                          <w:bCs/>
                        </w:rPr>
                        <w:t xml:space="preserve"> </w:t>
                      </w:r>
                      <w:r w:rsidRPr="00475DD8">
                        <w:rPr>
                          <w:sz w:val="20"/>
                          <w:szCs w:val="20"/>
                        </w:rPr>
                        <w:t xml:space="preserve">Comment on revenue growth expectation, key </w:t>
                      </w:r>
                      <w:proofErr w:type="gramStart"/>
                      <w:r w:rsidRPr="00475DD8">
                        <w:rPr>
                          <w:sz w:val="20"/>
                          <w:szCs w:val="20"/>
                        </w:rPr>
                        <w:t>segment</w:t>
                      </w:r>
                      <w:proofErr w:type="gramEnd"/>
                      <w:r w:rsidRPr="00475DD8">
                        <w:rPr>
                          <w:sz w:val="20"/>
                          <w:szCs w:val="20"/>
                        </w:rPr>
                        <w:t xml:space="preserve"> and product performance (not required to talk about all, which is the main segment and the main product that can impact the revenue growth the most) </w:t>
                      </w:r>
                    </w:p>
                    <w:p w14:paraId="4904F867" w14:textId="53638F46" w:rsidR="007A24FC" w:rsidRPr="00475DD8" w:rsidRDefault="007A24FC" w:rsidP="007A24FC">
                      <w:pPr>
                        <w:pStyle w:val="ListParagraph"/>
                        <w:numPr>
                          <w:ilvl w:val="0"/>
                          <w:numId w:val="2"/>
                        </w:numPr>
                        <w:rPr>
                          <w:sz w:val="20"/>
                          <w:szCs w:val="20"/>
                        </w:rPr>
                      </w:pPr>
                      <w:r w:rsidRPr="00475DD8">
                        <w:rPr>
                          <w:sz w:val="20"/>
                          <w:szCs w:val="20"/>
                        </w:rPr>
                        <w:t>Revenue growth for the next two years is expected to be closer to doubling the current year’s growth and flattens consistently for the next three years.</w:t>
                      </w:r>
                    </w:p>
                    <w:p w14:paraId="66187594" w14:textId="6384927D" w:rsidR="007A24FC" w:rsidRPr="00475DD8" w:rsidRDefault="00460990" w:rsidP="007A24FC">
                      <w:pPr>
                        <w:pStyle w:val="ListParagraph"/>
                        <w:numPr>
                          <w:ilvl w:val="0"/>
                          <w:numId w:val="2"/>
                        </w:numPr>
                        <w:rPr>
                          <w:sz w:val="20"/>
                          <w:szCs w:val="20"/>
                        </w:rPr>
                      </w:pPr>
                      <w:r w:rsidRPr="00475DD8">
                        <w:rPr>
                          <w:sz w:val="20"/>
                          <w:szCs w:val="20"/>
                        </w:rPr>
                        <w:t>EMEA</w:t>
                      </w:r>
                      <w:r w:rsidRPr="00475DD8">
                        <w:rPr>
                          <w:sz w:val="20"/>
                          <w:szCs w:val="20"/>
                        </w:rPr>
                        <w:t>, Greater China and Converse</w:t>
                      </w:r>
                      <w:r w:rsidRPr="00475DD8">
                        <w:rPr>
                          <w:sz w:val="20"/>
                          <w:szCs w:val="20"/>
                        </w:rPr>
                        <w:t xml:space="preserve"> all </w:t>
                      </w:r>
                      <w:r w:rsidRPr="00475DD8">
                        <w:rPr>
                          <w:sz w:val="20"/>
                          <w:szCs w:val="20"/>
                        </w:rPr>
                        <w:t xml:space="preserve">to see consistent growth above the prior year’s growth over the forecasted period while </w:t>
                      </w:r>
                      <w:r w:rsidRPr="00475DD8">
                        <w:rPr>
                          <w:sz w:val="20"/>
                          <w:szCs w:val="20"/>
                        </w:rPr>
                        <w:t>North America</w:t>
                      </w:r>
                      <w:r w:rsidRPr="00475DD8">
                        <w:rPr>
                          <w:sz w:val="20"/>
                          <w:szCs w:val="20"/>
                        </w:rPr>
                        <w:t xml:space="preserve"> and </w:t>
                      </w:r>
                      <w:r w:rsidRPr="00475DD8">
                        <w:rPr>
                          <w:sz w:val="20"/>
                          <w:szCs w:val="20"/>
                        </w:rPr>
                        <w:t xml:space="preserve">APLA </w:t>
                      </w:r>
                      <w:r w:rsidRPr="00475DD8">
                        <w:rPr>
                          <w:sz w:val="20"/>
                          <w:szCs w:val="20"/>
                        </w:rPr>
                        <w:t xml:space="preserve">growths are expected to be below the prior year’s growth rate. </w:t>
                      </w:r>
                    </w:p>
                    <w:p w14:paraId="16EA27C9" w14:textId="765FE675" w:rsidR="00460990" w:rsidRPr="00475DD8" w:rsidRDefault="00460990" w:rsidP="007A24FC">
                      <w:pPr>
                        <w:pStyle w:val="ListParagraph"/>
                        <w:numPr>
                          <w:ilvl w:val="0"/>
                          <w:numId w:val="2"/>
                        </w:numPr>
                        <w:rPr>
                          <w:sz w:val="20"/>
                          <w:szCs w:val="20"/>
                        </w:rPr>
                      </w:pPr>
                      <w:r w:rsidRPr="00475DD8">
                        <w:rPr>
                          <w:sz w:val="20"/>
                          <w:szCs w:val="20"/>
                        </w:rPr>
                        <w:t xml:space="preserve">Apparel and Footwear in EMEA </w:t>
                      </w:r>
                      <w:r w:rsidR="00AC7A59" w:rsidRPr="00475DD8">
                        <w:rPr>
                          <w:sz w:val="20"/>
                          <w:szCs w:val="20"/>
                        </w:rPr>
                        <w:t>appears</w:t>
                      </w:r>
                      <w:r w:rsidRPr="00475DD8">
                        <w:rPr>
                          <w:sz w:val="20"/>
                          <w:szCs w:val="20"/>
                        </w:rPr>
                        <w:t xml:space="preserve"> to be a significant contributor to the</w:t>
                      </w:r>
                      <w:r w:rsidR="00AC7A59" w:rsidRPr="00475DD8">
                        <w:rPr>
                          <w:sz w:val="20"/>
                          <w:szCs w:val="20"/>
                        </w:rPr>
                        <w:t xml:space="preserve"> expected</w:t>
                      </w:r>
                      <w:r w:rsidRPr="00475DD8">
                        <w:rPr>
                          <w:sz w:val="20"/>
                          <w:szCs w:val="20"/>
                        </w:rPr>
                        <w:t xml:space="preserve"> revenue </w:t>
                      </w:r>
                      <w:r w:rsidR="00475DD8" w:rsidRPr="00475DD8">
                        <w:rPr>
                          <w:sz w:val="20"/>
                          <w:szCs w:val="20"/>
                        </w:rPr>
                        <w:t>growth.</w:t>
                      </w:r>
                    </w:p>
                  </w:txbxContent>
                </v:textbox>
                <w10:wrap type="square" anchorx="margin"/>
              </v:shape>
            </w:pict>
          </mc:Fallback>
        </mc:AlternateContent>
      </w:r>
      <w:r w:rsidR="00B92FD6">
        <w:rPr>
          <w:noProof/>
        </w:rPr>
        <mc:AlternateContent>
          <mc:Choice Requires="wps">
            <w:drawing>
              <wp:anchor distT="45720" distB="45720" distL="114300" distR="114300" simplePos="0" relativeHeight="251662336" behindDoc="0" locked="0" layoutInCell="1" allowOverlap="1" wp14:anchorId="08B56C2A" wp14:editId="3B4FD8E7">
                <wp:simplePos x="0" y="0"/>
                <wp:positionH relativeFrom="margin">
                  <wp:align>right</wp:align>
                </wp:positionH>
                <wp:positionV relativeFrom="paragraph">
                  <wp:posOffset>1463040</wp:posOffset>
                </wp:positionV>
                <wp:extent cx="3909060" cy="1363980"/>
                <wp:effectExtent l="0" t="0" r="15240" b="2667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363980"/>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B56C2A" id="_x0000_s1029" type="#_x0000_t202" style="position:absolute;margin-left:256.6pt;margin-top:115.2pt;width:307.8pt;height:107.4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">
                <v:textbox>
                  <w:txbxContent>
                    <w:p w14:paraId="74C4E50C" w14:textId="738FE86E" w:rsidR="00017B2B" w:rsidRDefault="00017B2B">
                      <w:pPr>
                        <w:rPr>
                          <w:b/>
                          <w:bCs/>
                        </w:rPr>
                      </w:pPr>
                      <w:r w:rsidRPr="00017B2B">
                        <w:rPr>
                          <w:b/>
                          <w:bCs/>
                        </w:rPr>
                        <w:t>Investment thesis:</w:t>
                      </w:r>
                    </w:p>
                    <w:p w14:paraId="72D4C728" w14:textId="0B7DA361" w:rsidR="00017B2B" w:rsidRDefault="00017B2B">
                      <w:r>
                        <w:t xml:space="preserve">Short </w:t>
                      </w:r>
                      <w:proofErr w:type="gramStart"/>
                      <w:r>
                        <w:t>2 line</w:t>
                      </w:r>
                      <w:proofErr w:type="gramEnd"/>
                      <w:r>
                        <w:t xml:space="preserve"> </w:t>
                      </w:r>
                      <w:r w:rsidR="00B92FD6">
                        <w:t>summary of the stock’s expected performance, based on your model.</w:t>
                      </w:r>
                    </w:p>
                    <w:p w14:paraId="6DF181F3" w14:textId="77777777" w:rsidR="00B92FD6" w:rsidRPr="00017B2B" w:rsidRDefault="00B92FD6"/>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Keep this blank for tables</w:t>
                      </w:r>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03899505" w:rsidR="00B720B0" w:rsidRDefault="00B720B0">
                            <w:r>
                              <w:t>Upside/Downside to current share price: ((Forecasted Price – Current Price)/Current Price)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124DCDB0" w:rsidR="00017B2B" w:rsidRDefault="00017B2B">
                      <w:r>
                        <w:t>Company Name</w:t>
                      </w:r>
                      <w:r w:rsidR="008D33FE">
                        <w:t>: NIKE INC.</w:t>
                      </w:r>
                    </w:p>
                    <w:p w14:paraId="4696F081" w14:textId="257E587C" w:rsidR="00017B2B" w:rsidRDefault="00017B2B">
                      <w:r>
                        <w:t>Ticker</w:t>
                      </w:r>
                    </w:p>
                    <w:p w14:paraId="7B155A12" w14:textId="5BF277A9" w:rsidR="00017B2B" w:rsidRDefault="00017B2B">
                      <w:r>
                        <w:t xml:space="preserve">Current </w:t>
                      </w:r>
                      <w:r w:rsidR="00B92FD6">
                        <w:t>Share</w:t>
                      </w:r>
                      <w:r>
                        <w:t xml:space="preserve"> Price</w:t>
                      </w:r>
                      <w:r w:rsidR="008D33FE">
                        <w:t xml:space="preserve">: </w:t>
                      </w:r>
                      <w:r w:rsidR="00601820">
                        <w:t>$116.65</w:t>
                      </w:r>
                    </w:p>
                    <w:p w14:paraId="51657A7D" w14:textId="03899505" w:rsidR="00B720B0" w:rsidRDefault="00B720B0">
                      <w:r>
                        <w:t>Upside/Downside to current share price: ((Forecasted Price – Current Price)/Current Price)</w:t>
                      </w:r>
                    </w:p>
                  </w:txbxContent>
                </v:textbox>
                <w10:wrap type="square" anchorx="margin"/>
              </v:shape>
            </w:pict>
          </mc:Fallback>
        </mc:AlternateContent>
      </w:r>
    </w:p>
    <w:sectPr w:rsidR="00B2118C" w:rsidSect="00017B2B">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32228"/>
    <w:multiLevelType w:val="hybridMultilevel"/>
    <w:tmpl w:val="A62A20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4754D70"/>
    <w:multiLevelType w:val="hybridMultilevel"/>
    <w:tmpl w:val="87765F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4853E2"/>
    <w:multiLevelType w:val="hybridMultilevel"/>
    <w:tmpl w:val="00CAA48E"/>
    <w:lvl w:ilvl="0" w:tplc="5C8CC30A">
      <w:start w:val="1"/>
      <w:numFmt w:val="decimal"/>
      <w:lvlText w:val="%1."/>
      <w:lvlJc w:val="left"/>
      <w:pPr>
        <w:ind w:left="360" w:hanging="360"/>
      </w:pPr>
      <w:rPr>
        <w:rFonts w:hint="default"/>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7758982">
    <w:abstractNumId w:val="3"/>
  </w:num>
  <w:num w:numId="2" w16cid:durableId="1285577749">
    <w:abstractNumId w:val="0"/>
  </w:num>
  <w:num w:numId="3" w16cid:durableId="847870852">
    <w:abstractNumId w:val="1"/>
  </w:num>
  <w:num w:numId="4" w16cid:durableId="8698057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3F5BA4"/>
    <w:rsid w:val="00460990"/>
    <w:rsid w:val="00475DD8"/>
    <w:rsid w:val="00593030"/>
    <w:rsid w:val="005F6F36"/>
    <w:rsid w:val="00601820"/>
    <w:rsid w:val="007A24FC"/>
    <w:rsid w:val="007C212D"/>
    <w:rsid w:val="008D33FE"/>
    <w:rsid w:val="00947913"/>
    <w:rsid w:val="00974BA9"/>
    <w:rsid w:val="00A6150D"/>
    <w:rsid w:val="00AC7A59"/>
    <w:rsid w:val="00B2118C"/>
    <w:rsid w:val="00B720B0"/>
    <w:rsid w:val="00B92FD6"/>
    <w:rsid w:val="00F42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205</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M.B Issah</cp:lastModifiedBy>
  <cp:revision>9</cp:revision>
  <dcterms:created xsi:type="dcterms:W3CDTF">2020-08-04T09:51:00Z</dcterms:created>
  <dcterms:modified xsi:type="dcterms:W3CDTF">2023-11-30T13:00:00Z</dcterms:modified>
</cp:coreProperties>
</file>