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E7916A3" w14:textId="4178B1FC" w:rsidR="00B92FD6" w:rsidRPr="00B92FD6" w:rsidRDefault="00B92FD6" w:rsidP="00B92FD6">
                            <w:r w:rsidRPr="00017B2B">
                              <w:rPr>
                                <w:b/>
                                <w:bCs/>
                              </w:rPr>
                              <w:t xml:space="preserve">Point </w:t>
                            </w:r>
                            <w:r>
                              <w:rPr>
                                <w:b/>
                                <w:bCs/>
                              </w:rPr>
                              <w:t>1</w:t>
                            </w:r>
                            <w:r w:rsidRPr="00017B2B">
                              <w:rPr>
                                <w:b/>
                                <w:bCs/>
                              </w:rPr>
                              <w:t>:</w:t>
                            </w:r>
                            <w:r>
                              <w:rPr>
                                <w:b/>
                                <w:bCs/>
                              </w:rPr>
                              <w:t xml:space="preserve"> </w:t>
                            </w:r>
                            <w:r w:rsidR="00B43CAF">
                              <w:t xml:space="preserve">By </w:t>
                            </w:r>
                            <w:r w:rsidR="00A72AEF">
                              <w:t>2027, overall revenue is forecasted to increase by 37.2% to $64.8 billion, seeing stable growth throughout the period.</w:t>
                            </w:r>
                            <w:r>
                              <w:t xml:space="preserve"> </w:t>
                            </w:r>
                            <w:r w:rsidR="00D26056">
                              <w:t xml:space="preserve">Although footwear in North America contributed the most to total revenue in all years (on average 24%), footwear in Greater China shows most potential for future revenue growth, as revenue in this segment and region increased the most (169% between 2015 and 2022), compared to 43% in North America and </w:t>
                            </w:r>
                            <w:proofErr w:type="spellStart"/>
                            <w:r w:rsidR="00D26056">
                              <w:t>and</w:t>
                            </w:r>
                            <w:proofErr w:type="spellEnd"/>
                            <w:r w:rsidR="00D26056">
                              <w:t xml:space="preserve"> 57% in EMEA.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4E7916A3" w14:textId="4178B1FC" w:rsidR="00B92FD6" w:rsidRPr="00B92FD6" w:rsidRDefault="00B92FD6" w:rsidP="00B92FD6">
                      <w:r w:rsidRPr="00017B2B">
                        <w:rPr>
                          <w:b/>
                          <w:bCs/>
                        </w:rPr>
                        <w:t xml:space="preserve">Point </w:t>
                      </w:r>
                      <w:r>
                        <w:rPr>
                          <w:b/>
                          <w:bCs/>
                        </w:rPr>
                        <w:t>1</w:t>
                      </w:r>
                      <w:r w:rsidRPr="00017B2B">
                        <w:rPr>
                          <w:b/>
                          <w:bCs/>
                        </w:rPr>
                        <w:t>:</w:t>
                      </w:r>
                      <w:r>
                        <w:rPr>
                          <w:b/>
                          <w:bCs/>
                        </w:rPr>
                        <w:t xml:space="preserve"> </w:t>
                      </w:r>
                      <w:r w:rsidR="00B43CAF">
                        <w:t xml:space="preserve">By </w:t>
                      </w:r>
                      <w:r w:rsidR="00A72AEF">
                        <w:t>2027, overall revenue is forecasted to increase by 37.2% to $64.8 billion, seeing stable growth throughout the period.</w:t>
                      </w:r>
                      <w:r>
                        <w:t xml:space="preserve"> </w:t>
                      </w:r>
                      <w:r w:rsidR="00D26056">
                        <w:t xml:space="preserve">Although footwear in North America contributed the most to total revenue in all years (on average 24%), footwear in Greater China shows most potential for future revenue growth, as revenue in this segment and region increased the most (169% between 2015 and 2022), compared to 43% in North America and </w:t>
                      </w:r>
                      <w:proofErr w:type="spellStart"/>
                      <w:r w:rsidR="00D26056">
                        <w:t>and</w:t>
                      </w:r>
                      <w:proofErr w:type="spellEnd"/>
                      <w:r w:rsidR="00D26056">
                        <w:t xml:space="preserve"> 57% in EMEA.</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446B4375" w:rsidR="00017B2B" w:rsidRPr="00B92FD6" w:rsidRDefault="00017B2B" w:rsidP="00017B2B">
                            <w:r w:rsidRPr="00017B2B">
                              <w:rPr>
                                <w:b/>
                                <w:bCs/>
                              </w:rPr>
                              <w:t>Point 2:</w:t>
                            </w:r>
                            <w:r w:rsidR="00B92FD6">
                              <w:rPr>
                                <w:b/>
                                <w:bCs/>
                              </w:rPr>
                              <w:t xml:space="preserve"> </w:t>
                            </w:r>
                            <w:r w:rsidR="008025E4">
                              <w:t>EBITDA margin is expected to grow modestly to 17.7% of group revenue, up from 16.2% in 2022.</w:t>
                            </w:r>
                            <w:r w:rsidR="00B92FD6">
                              <w:t xml:space="preserve"> each segment’s contribution to earnings. </w:t>
                            </w:r>
                            <w:r w:rsidR="00B11F25">
                              <w:t>R&amp;D (as part of operating expenses) are forecasted to increase up to 2027</w:t>
                            </w:r>
                            <w:r w:rsidR="00A93D48">
                              <w:t>, given that in the period 2009-2023, average year on year growth was 6.8%. In anticipation of further penetration into Greater China and APLA markets, R&amp;D costs are set to increase further.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2719" id="_x0000_t202" coordsize="21600,21600" o:spt="202" path="m,l,21600r21600,l21600,xe">
                <v:stroke joinstyle="miter"/>
                <v:path gradientshapeok="t" o:connecttype="rect"/>
              </v:shapetype>
              <v:shape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182755EA" w14:textId="446B4375" w:rsidR="00017B2B" w:rsidRPr="00B92FD6" w:rsidRDefault="00017B2B" w:rsidP="00017B2B">
                      <w:r w:rsidRPr="00017B2B">
                        <w:rPr>
                          <w:b/>
                          <w:bCs/>
                        </w:rPr>
                        <w:t>Point 2:</w:t>
                      </w:r>
                      <w:r w:rsidR="00B92FD6">
                        <w:rPr>
                          <w:b/>
                          <w:bCs/>
                        </w:rPr>
                        <w:t xml:space="preserve"> </w:t>
                      </w:r>
                      <w:r w:rsidR="008025E4">
                        <w:t>EBITDA margin is expected to grow modestly to 17.7% of group revenue, up from 16.2% in 2022.</w:t>
                      </w:r>
                      <w:r w:rsidR="00B92FD6">
                        <w:t xml:space="preserve"> each segment’s contribution to earnings. </w:t>
                      </w:r>
                      <w:r w:rsidR="00B11F25">
                        <w:t>R&amp;D (as part of operating expenses) are forecasted to increase up to 2027</w:t>
                      </w:r>
                      <w:r w:rsidR="00A93D48">
                        <w:t>, given that in the period 2009-2023, average year on year growth was 6.8%. In anticipation of further penetration into Greater China and APLA markets, R&amp;D costs are set to increase further.</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38415180" w:rsidR="00017B2B" w:rsidRPr="00B92FD6" w:rsidRDefault="00017B2B" w:rsidP="00017B2B">
                            <w:r w:rsidRPr="00017B2B">
                              <w:rPr>
                                <w:b/>
                                <w:bCs/>
                              </w:rPr>
                              <w:t>Point 3</w:t>
                            </w:r>
                            <w:r>
                              <w:rPr>
                                <w:b/>
                                <w:bCs/>
                              </w:rPr>
                              <w:t>:</w:t>
                            </w:r>
                            <w:r w:rsidR="00B92FD6">
                              <w:rPr>
                                <w:b/>
                                <w:bCs/>
                              </w:rPr>
                              <w:t xml:space="preserve"> </w:t>
                            </w:r>
                            <w:r w:rsidR="00085DF5">
                              <w:t xml:space="preserve">We expect EPS to increase 71.2% from 2022, to </w:t>
                            </w:r>
                            <w:r w:rsidR="00766864">
                              <w:t>$</w:t>
                            </w:r>
                            <w:r w:rsidR="00085DF5">
                              <w:t>6.21</w:t>
                            </w:r>
                            <w:r w:rsidR="00766864">
                              <w:t xml:space="preserve"> per share</w:t>
                            </w:r>
                            <w:r w:rsidR="00085DF5">
                              <w:t>.</w:t>
                            </w:r>
                            <w:r w:rsidR="00766864">
                              <w:t xml:space="preserve"> During the same period, Capex is expected to increase 17.5% up to $891 million</w:t>
                            </w:r>
                            <w:r w:rsidR="00B92FD6">
                              <w:t>.</w:t>
                            </w:r>
                            <w:r w:rsidR="00766864">
                              <w:t xml:space="preserve"> FCFF is forecasted to reach $17.1 billion by 2032. </w:t>
                            </w:r>
                            <w:r w:rsidR="00B92FD6">
                              <w:t xml:space="preserve"> </w:t>
                            </w:r>
                            <w:r w:rsidR="00433705">
                              <w:t xml:space="preserve">Nike Inc will continue to focus on expanding its direct sales, in-store and digital, which in 2022 were up 32% reaching $16 billion in revenue (37% of Q4 revenue in 2021). The CEO stated the company is committed to reaching 50% digital business by 2025. Nike Inc will further promote its “Nike Jordan” line which gives it significant advantages over its fast fashion rival </w:t>
                            </w:r>
                            <w:r w:rsidR="00422DA2">
                              <w:t xml:space="preserve">due to its reputation as a collectible.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1B23DB5F" w14:textId="38415180" w:rsidR="00017B2B" w:rsidRPr="00B92FD6" w:rsidRDefault="00017B2B" w:rsidP="00017B2B">
                      <w:r w:rsidRPr="00017B2B">
                        <w:rPr>
                          <w:b/>
                          <w:bCs/>
                        </w:rPr>
                        <w:t>Point 3</w:t>
                      </w:r>
                      <w:r>
                        <w:rPr>
                          <w:b/>
                          <w:bCs/>
                        </w:rPr>
                        <w:t>:</w:t>
                      </w:r>
                      <w:r w:rsidR="00B92FD6">
                        <w:rPr>
                          <w:b/>
                          <w:bCs/>
                        </w:rPr>
                        <w:t xml:space="preserve"> </w:t>
                      </w:r>
                      <w:r w:rsidR="00085DF5">
                        <w:t xml:space="preserve">We expect EPS to increase 71.2% from 2022, to </w:t>
                      </w:r>
                      <w:r w:rsidR="00766864">
                        <w:t>$</w:t>
                      </w:r>
                      <w:r w:rsidR="00085DF5">
                        <w:t>6.21</w:t>
                      </w:r>
                      <w:r w:rsidR="00766864">
                        <w:t xml:space="preserve"> per share</w:t>
                      </w:r>
                      <w:r w:rsidR="00085DF5">
                        <w:t>.</w:t>
                      </w:r>
                      <w:r w:rsidR="00766864">
                        <w:t xml:space="preserve"> During the same period, Capex is expected to increase 17.5% up to $891 million</w:t>
                      </w:r>
                      <w:r w:rsidR="00B92FD6">
                        <w:t>.</w:t>
                      </w:r>
                      <w:r w:rsidR="00766864">
                        <w:t xml:space="preserve"> FCFF is forecasted to reach $17.1 billion by 2032. </w:t>
                      </w:r>
                      <w:r w:rsidR="00B92FD6">
                        <w:t xml:space="preserve"> </w:t>
                      </w:r>
                      <w:r w:rsidR="00433705">
                        <w:t xml:space="preserve">Nike Inc will continue to focus on expanding its direct sales, in-store and digital, which in 2022 were up 32% reaching $16 billion in revenue (37% of Q4 revenue in 2021). The CEO stated the company is committed to reaching 50% digital business by 2025. Nike Inc will further promote its “Nike Jordan” line which gives it significant advantages over its fast fashion rival </w:t>
                      </w:r>
                      <w:r w:rsidR="00422DA2">
                        <w:t xml:space="preserve">due to its reputation as a collectible.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15E1C94F" w:rsidR="00017B2B" w:rsidRDefault="000E22C0">
                            <w:r>
                              <w:t xml:space="preserve">The share price is expected to </w:t>
                            </w:r>
                            <w:proofErr w:type="gramStart"/>
                            <w:r>
                              <w:t>modestly but surely grow between this year and the terminal year (20</w:t>
                            </w:r>
                            <w:r w:rsidR="00B43CAF">
                              <w:t>33</w:t>
                            </w:r>
                            <w:r>
                              <w:t>)</w:t>
                            </w:r>
                            <w:proofErr w:type="gramEnd"/>
                            <w:r>
                              <w:t>, though there will be occasional dips in the interim</w:t>
                            </w:r>
                            <w:r w:rsidR="00B92FD6">
                              <w:t>.</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72D4C728" w14:textId="15E1C94F" w:rsidR="00017B2B" w:rsidRDefault="000E22C0">
                      <w:r>
                        <w:t xml:space="preserve">The share price is expected to </w:t>
                      </w:r>
                      <w:proofErr w:type="gramStart"/>
                      <w:r>
                        <w:t>modestly but surely grow between this year and the terminal year (20</w:t>
                      </w:r>
                      <w:r w:rsidR="00B43CAF">
                        <w:t>33</w:t>
                      </w:r>
                      <w:r>
                        <w:t>)</w:t>
                      </w:r>
                      <w:proofErr w:type="gramEnd"/>
                      <w:r>
                        <w:t>, though there will be occasional dips in the interim</w:t>
                      </w:r>
                      <w:r w:rsidR="00B92FD6">
                        <w:t>.</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v:textbox>
                <w10:wrap type="square" anchorx="margin"/>
              </v:shape>
            </w:pict>
          </mc:Fallback>
        </mc:AlternateContent>
      </w:r>
    </w:p>
    <w:sectPr w:rsidR="00B2118C" w:rsidSect="004B28C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85DF5"/>
    <w:rsid w:val="000E22C0"/>
    <w:rsid w:val="00422DA2"/>
    <w:rsid w:val="00433705"/>
    <w:rsid w:val="004B28CE"/>
    <w:rsid w:val="0062412A"/>
    <w:rsid w:val="00766864"/>
    <w:rsid w:val="008025E4"/>
    <w:rsid w:val="009D1DCD"/>
    <w:rsid w:val="00A6150D"/>
    <w:rsid w:val="00A72AEF"/>
    <w:rsid w:val="00A93D48"/>
    <w:rsid w:val="00B11F25"/>
    <w:rsid w:val="00B2118C"/>
    <w:rsid w:val="00B43CAF"/>
    <w:rsid w:val="00B720B0"/>
    <w:rsid w:val="00B92FD6"/>
    <w:rsid w:val="00D26056"/>
    <w:rsid w:val="00E55309"/>
    <w:rsid w:val="00EC65B0"/>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Nambiath</dc:creator>
  <cp:keywords/>
  <dc:description/>
  <cp:lastModifiedBy>Sidharth Nambiath</cp:lastModifiedBy>
  <cp:revision>12</cp:revision>
  <dcterms:created xsi:type="dcterms:W3CDTF">2024-01-06T23:31:00Z</dcterms:created>
  <dcterms:modified xsi:type="dcterms:W3CDTF">2024-01-10T19:12:00Z</dcterms:modified>
</cp:coreProperties>
</file>