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82E27" w14:textId="1AC8AE78" w:rsidR="00600FEB" w:rsidRPr="00D4466B" w:rsidRDefault="00600FEB" w:rsidP="00600FEB">
      <w:pPr>
        <w:jc w:val="center"/>
        <w:rPr>
          <w:rFonts w:ascii="Century Gothic" w:hAnsi="Century Gothic"/>
          <w:b/>
          <w:bCs/>
          <w:sz w:val="20"/>
          <w:szCs w:val="20"/>
        </w:rPr>
      </w:pPr>
      <w:r w:rsidRPr="00D4466B">
        <w:rPr>
          <w:rFonts w:ascii="Century Gothic" w:hAnsi="Century Gothic"/>
          <w:b/>
          <w:bCs/>
          <w:sz w:val="20"/>
          <w:szCs w:val="20"/>
        </w:rPr>
        <w:t>Revenue and Cost Drivers Analysis</w:t>
      </w:r>
    </w:p>
    <w:p w14:paraId="5E7F7997" w14:textId="1D885FE6" w:rsidR="00C83775" w:rsidRPr="00D4466B" w:rsidRDefault="00C83775" w:rsidP="00600FEB">
      <w:pPr>
        <w:jc w:val="center"/>
        <w:rPr>
          <w:rFonts w:ascii="Century Gothic" w:hAnsi="Century Gothic"/>
          <w:b/>
          <w:bCs/>
          <w:sz w:val="20"/>
          <w:szCs w:val="20"/>
        </w:rPr>
      </w:pPr>
      <w:r w:rsidRPr="00D4466B">
        <w:rPr>
          <w:rFonts w:ascii="Century Gothic" w:hAnsi="Century Gothic"/>
          <w:b/>
          <w:bCs/>
          <w:sz w:val="20"/>
          <w:szCs w:val="20"/>
        </w:rPr>
        <w:t>Marriot Incorporation</w:t>
      </w:r>
    </w:p>
    <w:p w14:paraId="16595D42" w14:textId="6FBDBD10" w:rsidR="00C83775" w:rsidRPr="00D4466B" w:rsidRDefault="00C83775">
      <w:pPr>
        <w:rPr>
          <w:rFonts w:ascii="Century Gothic" w:hAnsi="Century Gothic"/>
          <w:b/>
          <w:bCs/>
          <w:sz w:val="20"/>
          <w:szCs w:val="20"/>
        </w:rPr>
      </w:pPr>
      <w:r w:rsidRPr="00D4466B">
        <w:rPr>
          <w:rFonts w:ascii="Century Gothic" w:hAnsi="Century Gothic"/>
          <w:b/>
          <w:bCs/>
          <w:sz w:val="20"/>
          <w:szCs w:val="20"/>
        </w:rPr>
        <w:t>About the business</w:t>
      </w:r>
    </w:p>
    <w:p w14:paraId="1BF2E9C4" w14:textId="1A2FBB3F" w:rsidR="00600FEB" w:rsidRPr="00D4466B" w:rsidRDefault="00600FEB" w:rsidP="00824D4D">
      <w:pPr>
        <w:jc w:val="both"/>
        <w:rPr>
          <w:rFonts w:ascii="Century Gothic" w:hAnsi="Century Gothic"/>
          <w:sz w:val="20"/>
          <w:szCs w:val="20"/>
        </w:rPr>
      </w:pPr>
      <w:r w:rsidRPr="00D4466B">
        <w:rPr>
          <w:rFonts w:ascii="Century Gothic" w:hAnsi="Century Gothic"/>
          <w:sz w:val="20"/>
          <w:szCs w:val="20"/>
        </w:rPr>
        <w:t>Marriott International Inc (Marriott) is a hospitality service provider that operates hotels and restaurants. It operates, franchises, and licenses hotels, residential and timeshare properties under several luxury, premium, and select brand names. Its brands include the Ritz-Carlton, JW Marriott, St. Regis, Westin, Renaissance, Marriott Hotels, Le Meridien, Gaylord Hotels, Marriott Executive Apartments, Delta Hotels, Tribute Portfolio, Design Hotels, Courtyard and SpringHill Suites. Marriott offers accommodation, hotel reservations, timeshare vacations, flight and hotel packages, and car rental services. It also operates loyalty programs, including Marriott Bonvoy. The company’s operations span North America, Europe, Africa, the Middle East, Asia-Pacific, Caribbean, and Latin America. Marriott is headquartered in Bethesda, Maryland, the US.</w:t>
      </w:r>
    </w:p>
    <w:p w14:paraId="059D308F" w14:textId="3ABA372F" w:rsidR="00600FEB" w:rsidRPr="00D4466B" w:rsidRDefault="00B0313E" w:rsidP="00C4627F">
      <w:pPr>
        <w:rPr>
          <w:rFonts w:ascii="Century Gothic" w:hAnsi="Century Gothic"/>
          <w:b/>
          <w:bCs/>
          <w:sz w:val="20"/>
          <w:szCs w:val="20"/>
        </w:rPr>
      </w:pPr>
      <w:r>
        <w:rPr>
          <w:rFonts w:ascii="Century Gothic" w:hAnsi="Century Gothic"/>
          <w:b/>
          <w:bCs/>
          <w:sz w:val="20"/>
          <w:szCs w:val="20"/>
        </w:rPr>
        <w:t xml:space="preserve">  </w:t>
      </w:r>
      <w:r w:rsidR="00600FEB" w:rsidRPr="00D4466B">
        <w:rPr>
          <w:rFonts w:ascii="Century Gothic" w:hAnsi="Century Gothic"/>
          <w:b/>
          <w:bCs/>
          <w:sz w:val="20"/>
          <w:szCs w:val="20"/>
        </w:rPr>
        <w:t>Revenue Drivers</w:t>
      </w:r>
    </w:p>
    <w:p w14:paraId="63BF8908" w14:textId="638DA503" w:rsidR="00081001" w:rsidRDefault="00081001" w:rsidP="00081001">
      <w:pPr>
        <w:rPr>
          <w:rFonts w:ascii="Century Gothic" w:hAnsi="Century Gothic"/>
          <w:sz w:val="20"/>
          <w:szCs w:val="20"/>
        </w:rPr>
      </w:pPr>
      <w:r w:rsidRPr="00C4627F">
        <w:rPr>
          <w:rFonts w:ascii="Century Gothic" w:hAnsi="Century Gothic"/>
          <w:sz w:val="20"/>
          <w:szCs w:val="20"/>
        </w:rPr>
        <w:t>Co</w:t>
      </w:r>
      <w:r w:rsidR="00A00291" w:rsidRPr="00C4627F">
        <w:rPr>
          <w:rFonts w:ascii="Century Gothic" w:hAnsi="Century Gothic"/>
          <w:sz w:val="20"/>
          <w:szCs w:val="20"/>
        </w:rPr>
        <w:t>ns</w:t>
      </w:r>
      <w:r w:rsidR="00877C83" w:rsidRPr="00C4627F">
        <w:rPr>
          <w:rFonts w:ascii="Century Gothic" w:hAnsi="Century Gothic"/>
          <w:sz w:val="20"/>
          <w:szCs w:val="20"/>
        </w:rPr>
        <w:t xml:space="preserve">idering </w:t>
      </w:r>
      <w:r w:rsidR="005F46CB" w:rsidRPr="00C4627F">
        <w:rPr>
          <w:rFonts w:ascii="Century Gothic" w:hAnsi="Century Gothic"/>
          <w:sz w:val="20"/>
          <w:szCs w:val="20"/>
        </w:rPr>
        <w:t xml:space="preserve">the business model Marriot operates, </w:t>
      </w:r>
      <w:r w:rsidR="00D4466B" w:rsidRPr="00C4627F">
        <w:rPr>
          <w:rFonts w:ascii="Century Gothic" w:hAnsi="Century Gothic"/>
          <w:sz w:val="20"/>
          <w:szCs w:val="20"/>
        </w:rPr>
        <w:t>below are the company’s revenue drivers, However, it is important t</w:t>
      </w:r>
      <w:r w:rsidR="00F67A94" w:rsidRPr="00C4627F">
        <w:rPr>
          <w:rFonts w:ascii="Century Gothic" w:hAnsi="Century Gothic"/>
          <w:sz w:val="20"/>
          <w:szCs w:val="20"/>
        </w:rPr>
        <w:t xml:space="preserve">o note that the below drivers are </w:t>
      </w:r>
      <w:r w:rsidR="00D9420D" w:rsidRPr="00C4627F">
        <w:rPr>
          <w:rFonts w:ascii="Century Gothic" w:hAnsi="Century Gothic"/>
          <w:sz w:val="20"/>
          <w:szCs w:val="20"/>
        </w:rPr>
        <w:t xml:space="preserve">dependent on Marriot’s </w:t>
      </w:r>
      <w:r w:rsidR="00C4627F" w:rsidRPr="00C4627F">
        <w:rPr>
          <w:rFonts w:ascii="Century Gothic" w:hAnsi="Century Gothic"/>
          <w:sz w:val="20"/>
          <w:szCs w:val="20"/>
        </w:rPr>
        <w:t>properties in</w:t>
      </w:r>
      <w:r w:rsidR="00D9420D" w:rsidRPr="00C4627F">
        <w:rPr>
          <w:rFonts w:ascii="Century Gothic" w:hAnsi="Century Gothic"/>
          <w:sz w:val="20"/>
          <w:szCs w:val="20"/>
        </w:rPr>
        <w:t xml:space="preserve"> the U</w:t>
      </w:r>
      <w:r w:rsidR="009406B0" w:rsidRPr="00C4627F">
        <w:rPr>
          <w:rFonts w:ascii="Century Gothic" w:hAnsi="Century Gothic"/>
          <w:sz w:val="20"/>
          <w:szCs w:val="20"/>
        </w:rPr>
        <w:t xml:space="preserve">S and its other </w:t>
      </w:r>
      <w:proofErr w:type="gramStart"/>
      <w:r w:rsidR="009406B0" w:rsidRPr="00C4627F">
        <w:rPr>
          <w:rFonts w:ascii="Century Gothic" w:hAnsi="Century Gothic"/>
          <w:sz w:val="20"/>
          <w:szCs w:val="20"/>
        </w:rPr>
        <w:t>region</w:t>
      </w:r>
      <w:r w:rsidR="00366A87">
        <w:rPr>
          <w:rFonts w:ascii="Century Gothic" w:hAnsi="Century Gothic"/>
          <w:sz w:val="20"/>
          <w:szCs w:val="20"/>
        </w:rPr>
        <w:t>s</w:t>
      </w:r>
      <w:proofErr w:type="gramEnd"/>
    </w:p>
    <w:p w14:paraId="65A18332" w14:textId="77777777" w:rsidR="00A264AA" w:rsidRDefault="00A264AA" w:rsidP="00081001">
      <w:pPr>
        <w:rPr>
          <w:rFonts w:ascii="Century Gothic" w:hAnsi="Century Gothic"/>
          <w:sz w:val="20"/>
          <w:szCs w:val="20"/>
        </w:rPr>
      </w:pPr>
    </w:p>
    <w:p w14:paraId="4CDD17F9" w14:textId="77777777" w:rsidR="00A264AA" w:rsidRDefault="00A264AA" w:rsidP="00A264AA">
      <w:pPr>
        <w:jc w:val="both"/>
        <w:rPr>
          <w:rFonts w:ascii="Times New Roman" w:hAnsi="Times New Roman" w:cs="Times New Roman"/>
          <w:sz w:val="24"/>
          <w:szCs w:val="24"/>
        </w:rPr>
      </w:pPr>
    </w:p>
    <w:p w14:paraId="58ED769C" w14:textId="77777777" w:rsidR="00A264AA" w:rsidRPr="00E12C21" w:rsidRDefault="00A264AA" w:rsidP="00A264AA">
      <w:pPr>
        <w:ind w:left="360"/>
        <w:rPr>
          <w:shd w:val="clear" w:color="auto" w:fill="00FF00"/>
        </w:rPr>
      </w:pPr>
      <w:r w:rsidRPr="00E12C21">
        <w:rPr>
          <w:shd w:val="clear" w:color="auto" w:fill="00FF00"/>
        </w:rPr>
        <w:t xml:space="preserve">Revenue is driven as RevPAR * No. Rooms </w:t>
      </w:r>
      <w:proofErr w:type="gramStart"/>
      <w:r w:rsidRPr="00E12C21">
        <w:rPr>
          <w:shd w:val="clear" w:color="auto" w:fill="00FF00"/>
        </w:rPr>
        <w:t>where</w:t>
      </w:r>
      <w:proofErr w:type="gramEnd"/>
      <w:r w:rsidRPr="00E12C21">
        <w:rPr>
          <w:shd w:val="clear" w:color="auto" w:fill="00FF00"/>
        </w:rPr>
        <w:t xml:space="preserve">, </w:t>
      </w:r>
    </w:p>
    <w:p w14:paraId="28EC1FA1" w14:textId="77777777" w:rsidR="00A264AA" w:rsidRPr="00E12C21" w:rsidRDefault="00A264AA" w:rsidP="00A264AA">
      <w:pPr>
        <w:ind w:left="360"/>
        <w:rPr>
          <w:shd w:val="clear" w:color="auto" w:fill="00FF00"/>
        </w:rPr>
      </w:pPr>
      <w:r w:rsidRPr="00E12C21">
        <w:rPr>
          <w:shd w:val="clear" w:color="auto" w:fill="00FF00"/>
        </w:rPr>
        <w:t xml:space="preserve"> RevPAR is the function of ADR (price impact) * Occupancy (volume impact)</w:t>
      </w:r>
    </w:p>
    <w:p w14:paraId="05863EFB" w14:textId="77777777" w:rsidR="00A264AA" w:rsidRPr="00E12C21" w:rsidRDefault="00A264AA" w:rsidP="00A264AA">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411B3C17" w14:textId="77777777" w:rsidR="00A264AA" w:rsidRDefault="00A264AA" w:rsidP="00081001">
      <w:pPr>
        <w:rPr>
          <w:rFonts w:ascii="Century Gothic" w:hAnsi="Century Gothic"/>
          <w:sz w:val="20"/>
          <w:szCs w:val="20"/>
        </w:rPr>
      </w:pPr>
    </w:p>
    <w:p w14:paraId="1E9621C4" w14:textId="071759E8" w:rsidR="00A264AA" w:rsidRDefault="00A264AA" w:rsidP="00081001">
      <w:r w:rsidRPr="00703462">
        <w:rPr>
          <w:noProof/>
          <w:shd w:val="clear" w:color="auto" w:fill="00FF00"/>
        </w:rPr>
        <w:drawing>
          <wp:inline distT="0" distB="0" distL="0" distR="0" wp14:anchorId="25E0C9C3" wp14:editId="3BA90552">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4911" cy="2514818"/>
                    </a:xfrm>
                    <a:prstGeom prst="rect">
                      <a:avLst/>
                    </a:prstGeom>
                  </pic:spPr>
                </pic:pic>
              </a:graphicData>
            </a:graphic>
          </wp:inline>
        </w:drawing>
      </w:r>
    </w:p>
    <w:p w14:paraId="59825126" w14:textId="77777777" w:rsidR="00A264AA" w:rsidRDefault="00A264AA" w:rsidP="00081001"/>
    <w:p w14:paraId="0590B5B5" w14:textId="77777777" w:rsidR="00A264AA" w:rsidRPr="009D0768" w:rsidRDefault="00A264AA" w:rsidP="00A264AA">
      <w:r>
        <w:rPr>
          <w:shd w:val="clear" w:color="auto" w:fill="00FF00"/>
        </w:rPr>
        <w:t xml:space="preserve">Large portion of Marriot’s cost is the reimbursed expenses which is directly related to reimbursed revenue. Management and franchise related operating expenses will have </w:t>
      </w:r>
      <w:proofErr w:type="gramStart"/>
      <w:r>
        <w:rPr>
          <w:shd w:val="clear" w:color="auto" w:fill="00FF00"/>
        </w:rPr>
        <w:t>be</w:t>
      </w:r>
      <w:proofErr w:type="gramEnd"/>
      <w:r>
        <w:rPr>
          <w:shd w:val="clear" w:color="auto" w:fill="00FF00"/>
        </w:rPr>
        <w:t xml:space="preserve"> derived as a % of revenue.</w:t>
      </w:r>
    </w:p>
    <w:p w14:paraId="1C946FC6" w14:textId="77777777" w:rsidR="00A264AA" w:rsidRPr="00A264AA" w:rsidRDefault="00A264AA" w:rsidP="00081001"/>
    <w:tbl>
      <w:tblPr>
        <w:tblStyle w:val="TableGrid"/>
        <w:tblW w:w="9351" w:type="dxa"/>
        <w:tblLook w:val="04A0" w:firstRow="1" w:lastRow="0" w:firstColumn="1" w:lastColumn="0" w:noHBand="0" w:noVBand="1"/>
      </w:tblPr>
      <w:tblGrid>
        <w:gridCol w:w="2830"/>
        <w:gridCol w:w="1678"/>
        <w:gridCol w:w="1441"/>
        <w:gridCol w:w="3402"/>
      </w:tblGrid>
      <w:tr w:rsidR="00824D4D" w:rsidRPr="00D4466B" w14:paraId="06C7E97C" w14:textId="77777777" w:rsidTr="007D3284">
        <w:tc>
          <w:tcPr>
            <w:tcW w:w="2830" w:type="dxa"/>
          </w:tcPr>
          <w:p w14:paraId="5087518F" w14:textId="5667E532"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Revenue Drivers</w:t>
            </w:r>
          </w:p>
        </w:tc>
        <w:tc>
          <w:tcPr>
            <w:tcW w:w="1678" w:type="dxa"/>
          </w:tcPr>
          <w:p w14:paraId="7250C8B7" w14:textId="6A0EFB75"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Price</w:t>
            </w:r>
          </w:p>
        </w:tc>
        <w:tc>
          <w:tcPr>
            <w:tcW w:w="1441" w:type="dxa"/>
          </w:tcPr>
          <w:p w14:paraId="203118A8" w14:textId="2DF60598" w:rsidR="00824D4D" w:rsidRPr="00EB6E39" w:rsidRDefault="00824D4D" w:rsidP="00EF6B1D">
            <w:pPr>
              <w:rPr>
                <w:rFonts w:ascii="Century Gothic" w:hAnsi="Century Gothic"/>
                <w:b/>
                <w:bCs/>
                <w:sz w:val="20"/>
                <w:szCs w:val="20"/>
              </w:rPr>
            </w:pPr>
            <w:r w:rsidRPr="00EB6E39">
              <w:rPr>
                <w:rFonts w:ascii="Century Gothic" w:hAnsi="Century Gothic"/>
                <w:b/>
                <w:bCs/>
                <w:sz w:val="20"/>
                <w:szCs w:val="20"/>
              </w:rPr>
              <w:t>Volume</w:t>
            </w:r>
          </w:p>
        </w:tc>
        <w:tc>
          <w:tcPr>
            <w:tcW w:w="3402" w:type="dxa"/>
          </w:tcPr>
          <w:p w14:paraId="168BA865" w14:textId="055CDCD4" w:rsidR="00824D4D" w:rsidRPr="00EB6E39" w:rsidRDefault="00824D4D" w:rsidP="00EF6B1D">
            <w:pPr>
              <w:rPr>
                <w:rFonts w:ascii="Century Gothic" w:hAnsi="Century Gothic"/>
                <w:b/>
                <w:bCs/>
                <w:sz w:val="20"/>
                <w:szCs w:val="20"/>
              </w:rPr>
            </w:pPr>
            <w:r w:rsidRPr="00EB6E39">
              <w:rPr>
                <w:rFonts w:ascii="Century Gothic" w:hAnsi="Century Gothic"/>
                <w:b/>
                <w:bCs/>
                <w:sz w:val="20"/>
                <w:szCs w:val="20"/>
              </w:rPr>
              <w:t>Implications</w:t>
            </w:r>
            <w:r w:rsidR="00C85A4A" w:rsidRPr="00EB6E39">
              <w:rPr>
                <w:rFonts w:ascii="Century Gothic" w:hAnsi="Century Gothic"/>
                <w:b/>
                <w:bCs/>
                <w:sz w:val="20"/>
                <w:szCs w:val="20"/>
              </w:rPr>
              <w:t xml:space="preserve"> </w:t>
            </w:r>
            <w:r w:rsidR="00C91BF0">
              <w:rPr>
                <w:rFonts w:ascii="Century Gothic" w:hAnsi="Century Gothic"/>
                <w:b/>
                <w:bCs/>
                <w:sz w:val="20"/>
                <w:szCs w:val="20"/>
              </w:rPr>
              <w:t>on</w:t>
            </w:r>
            <w:r w:rsidR="00C85A4A" w:rsidRPr="00EB6E39">
              <w:rPr>
                <w:rFonts w:ascii="Century Gothic" w:hAnsi="Century Gothic"/>
                <w:b/>
                <w:bCs/>
                <w:sz w:val="20"/>
                <w:szCs w:val="20"/>
              </w:rPr>
              <w:t xml:space="preserve"> Revenue Growth</w:t>
            </w:r>
          </w:p>
        </w:tc>
      </w:tr>
      <w:tr w:rsidR="00824D4D" w:rsidRPr="00D4466B" w14:paraId="0C17ADB0" w14:textId="77777777" w:rsidTr="007D3284">
        <w:trPr>
          <w:trHeight w:val="3515"/>
        </w:trPr>
        <w:tc>
          <w:tcPr>
            <w:tcW w:w="2830" w:type="dxa"/>
          </w:tcPr>
          <w:p w14:paraId="3E54F5C4" w14:textId="06827C60" w:rsidR="00824D4D" w:rsidRPr="00D4466B" w:rsidRDefault="00824D4D" w:rsidP="00EF6B1D">
            <w:pPr>
              <w:rPr>
                <w:rFonts w:ascii="Century Gothic" w:hAnsi="Century Gothic"/>
                <w:b/>
                <w:bCs/>
                <w:sz w:val="20"/>
                <w:szCs w:val="20"/>
              </w:rPr>
            </w:pPr>
            <w:r w:rsidRPr="00D4466B">
              <w:rPr>
                <w:rFonts w:ascii="Century Gothic" w:hAnsi="Century Gothic"/>
                <w:b/>
                <w:bCs/>
                <w:sz w:val="20"/>
                <w:szCs w:val="20"/>
              </w:rPr>
              <w:t>Base Management and Incentive</w:t>
            </w:r>
          </w:p>
        </w:tc>
        <w:tc>
          <w:tcPr>
            <w:tcW w:w="1678" w:type="dxa"/>
          </w:tcPr>
          <w:p w14:paraId="5C653120" w14:textId="5F9E4839" w:rsidR="00824D4D" w:rsidRPr="004667BB" w:rsidRDefault="00A05EAC" w:rsidP="00EF6B1D">
            <w:pPr>
              <w:rPr>
                <w:rFonts w:ascii="Century Gothic" w:hAnsi="Century Gothic"/>
                <w:sz w:val="20"/>
                <w:szCs w:val="20"/>
              </w:rPr>
            </w:pPr>
            <w:r w:rsidRPr="004667BB">
              <w:rPr>
                <w:rFonts w:ascii="Century Gothic" w:hAnsi="Century Gothic"/>
                <w:sz w:val="20"/>
                <w:szCs w:val="20"/>
              </w:rPr>
              <w:t>Based on the percentage (available in the c</w:t>
            </w:r>
            <w:r w:rsidR="00EB6E39" w:rsidRPr="004667BB">
              <w:rPr>
                <w:rFonts w:ascii="Century Gothic" w:hAnsi="Century Gothic"/>
                <w:sz w:val="20"/>
                <w:szCs w:val="20"/>
              </w:rPr>
              <w:t>ontract)</w:t>
            </w:r>
            <w:r w:rsidRPr="004667BB">
              <w:rPr>
                <w:rFonts w:ascii="Century Gothic" w:hAnsi="Century Gothic"/>
                <w:sz w:val="20"/>
                <w:szCs w:val="20"/>
              </w:rPr>
              <w:t xml:space="preserve"> of revenue or </w:t>
            </w:r>
            <w:r w:rsidR="00EB6E39" w:rsidRPr="004667BB">
              <w:rPr>
                <w:rFonts w:ascii="Century Gothic" w:hAnsi="Century Gothic"/>
                <w:sz w:val="20"/>
                <w:szCs w:val="20"/>
              </w:rPr>
              <w:t>pro</w:t>
            </w:r>
            <w:r w:rsidR="002B3438">
              <w:rPr>
                <w:rFonts w:ascii="Century Gothic" w:hAnsi="Century Gothic"/>
                <w:sz w:val="20"/>
                <w:szCs w:val="20"/>
              </w:rPr>
              <w:t>fit of the property</w:t>
            </w:r>
          </w:p>
        </w:tc>
        <w:tc>
          <w:tcPr>
            <w:tcW w:w="1441" w:type="dxa"/>
          </w:tcPr>
          <w:p w14:paraId="311A790F" w14:textId="3F2BCCDB" w:rsidR="00824D4D" w:rsidRPr="004667BB" w:rsidRDefault="007D3284" w:rsidP="00EF6B1D">
            <w:pPr>
              <w:rPr>
                <w:rFonts w:ascii="Century Gothic" w:hAnsi="Century Gothic"/>
                <w:sz w:val="20"/>
                <w:szCs w:val="20"/>
              </w:rPr>
            </w:pPr>
            <w:r w:rsidRPr="004667BB">
              <w:rPr>
                <w:rFonts w:ascii="Century Gothic" w:hAnsi="Century Gothic"/>
                <w:sz w:val="20"/>
                <w:szCs w:val="20"/>
              </w:rPr>
              <w:t>Based on the Inte</w:t>
            </w:r>
            <w:r w:rsidR="00066F0A" w:rsidRPr="004667BB">
              <w:rPr>
                <w:rFonts w:ascii="Century Gothic" w:hAnsi="Century Gothic"/>
                <w:sz w:val="20"/>
                <w:szCs w:val="20"/>
              </w:rPr>
              <w:t>llectual property</w:t>
            </w:r>
          </w:p>
        </w:tc>
        <w:tc>
          <w:tcPr>
            <w:tcW w:w="3402" w:type="dxa"/>
          </w:tcPr>
          <w:p w14:paraId="7D20DA3F" w14:textId="74526E88" w:rsidR="007D3284" w:rsidRPr="007D3284" w:rsidRDefault="00EB6E39" w:rsidP="007D3284">
            <w:pPr>
              <w:jc w:val="both"/>
              <w:rPr>
                <w:rFonts w:ascii="Century Gothic" w:hAnsi="Century Gothic"/>
                <w:sz w:val="20"/>
                <w:szCs w:val="20"/>
              </w:rPr>
            </w:pPr>
            <w:r>
              <w:rPr>
                <w:rFonts w:ascii="Century Gothic" w:hAnsi="Century Gothic"/>
                <w:sz w:val="20"/>
                <w:szCs w:val="20"/>
              </w:rPr>
              <w:t xml:space="preserve">Marriot </w:t>
            </w:r>
            <w:r w:rsidR="007D3284" w:rsidRPr="007D3284">
              <w:rPr>
                <w:rFonts w:ascii="Century Gothic" w:hAnsi="Century Gothic"/>
                <w:sz w:val="20"/>
                <w:szCs w:val="20"/>
              </w:rPr>
              <w:t xml:space="preserve">have performance obligations to </w:t>
            </w:r>
            <w:proofErr w:type="gramStart"/>
            <w:r w:rsidR="007D3284" w:rsidRPr="007D3284">
              <w:rPr>
                <w:rFonts w:ascii="Century Gothic" w:hAnsi="Century Gothic"/>
                <w:sz w:val="20"/>
                <w:szCs w:val="20"/>
              </w:rPr>
              <w:t>provide</w:t>
            </w:r>
            <w:proofErr w:type="gramEnd"/>
          </w:p>
          <w:p w14:paraId="70619560" w14:textId="09D8B770"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hotel management services and a license to </w:t>
            </w:r>
            <w:r w:rsidR="002B3438">
              <w:rPr>
                <w:rFonts w:ascii="Century Gothic" w:hAnsi="Century Gothic"/>
                <w:sz w:val="20"/>
                <w:szCs w:val="20"/>
              </w:rPr>
              <w:t>their</w:t>
            </w:r>
            <w:r w:rsidRPr="007D3284">
              <w:rPr>
                <w:rFonts w:ascii="Century Gothic" w:hAnsi="Century Gothic"/>
                <w:sz w:val="20"/>
                <w:szCs w:val="20"/>
              </w:rPr>
              <w:t xml:space="preserve"> intellectual property for the use of</w:t>
            </w:r>
            <w:r w:rsidR="00EB6E39">
              <w:rPr>
                <w:rFonts w:ascii="Century Gothic" w:hAnsi="Century Gothic"/>
                <w:sz w:val="20"/>
                <w:szCs w:val="20"/>
              </w:rPr>
              <w:t xml:space="preserve"> their</w:t>
            </w:r>
            <w:r w:rsidRPr="007D3284">
              <w:rPr>
                <w:rFonts w:ascii="Century Gothic" w:hAnsi="Century Gothic"/>
                <w:sz w:val="20"/>
                <w:szCs w:val="20"/>
              </w:rPr>
              <w:t xml:space="preserve"> brand names. As compensation for such</w:t>
            </w:r>
          </w:p>
          <w:p w14:paraId="6AAC72B1" w14:textId="55E6A2FF"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services, </w:t>
            </w:r>
            <w:r w:rsidR="004667BB">
              <w:rPr>
                <w:rFonts w:ascii="Century Gothic" w:hAnsi="Century Gothic"/>
                <w:sz w:val="20"/>
                <w:szCs w:val="20"/>
              </w:rPr>
              <w:t xml:space="preserve">they </w:t>
            </w:r>
            <w:r w:rsidR="004667BB" w:rsidRPr="007D3284">
              <w:rPr>
                <w:rFonts w:ascii="Century Gothic" w:hAnsi="Century Gothic"/>
                <w:sz w:val="20"/>
                <w:szCs w:val="20"/>
              </w:rPr>
              <w:t>are</w:t>
            </w:r>
            <w:r w:rsidRPr="007D3284">
              <w:rPr>
                <w:rFonts w:ascii="Century Gothic" w:hAnsi="Century Gothic"/>
                <w:sz w:val="20"/>
                <w:szCs w:val="20"/>
              </w:rPr>
              <w:t xml:space="preserve"> generally entitled to receive base fees, which are a percentage of the revenues of hotels, and </w:t>
            </w:r>
            <w:proofErr w:type="gramStart"/>
            <w:r w:rsidRPr="007D3284">
              <w:rPr>
                <w:rFonts w:ascii="Century Gothic" w:hAnsi="Century Gothic"/>
                <w:sz w:val="20"/>
                <w:szCs w:val="20"/>
              </w:rPr>
              <w:t>incentive</w:t>
            </w:r>
            <w:proofErr w:type="gramEnd"/>
          </w:p>
          <w:p w14:paraId="74B8E303" w14:textId="77777777" w:rsidR="007D3284" w:rsidRPr="007D3284" w:rsidRDefault="007D3284" w:rsidP="007D3284">
            <w:pPr>
              <w:jc w:val="both"/>
              <w:rPr>
                <w:rFonts w:ascii="Century Gothic" w:hAnsi="Century Gothic"/>
                <w:sz w:val="20"/>
                <w:szCs w:val="20"/>
              </w:rPr>
            </w:pPr>
            <w:r w:rsidRPr="007D3284">
              <w:rPr>
                <w:rFonts w:ascii="Century Gothic" w:hAnsi="Century Gothic"/>
                <w:sz w:val="20"/>
                <w:szCs w:val="20"/>
              </w:rPr>
              <w:t>management fees, which are generally based on a measure of hotel profitability. Both the base and incentive management fees</w:t>
            </w:r>
          </w:p>
          <w:p w14:paraId="5FA30585" w14:textId="4D8BD1E2" w:rsidR="00824D4D" w:rsidRPr="007D3284" w:rsidRDefault="007D3284" w:rsidP="007D3284">
            <w:pPr>
              <w:jc w:val="both"/>
              <w:rPr>
                <w:rFonts w:ascii="Century Gothic" w:hAnsi="Century Gothic"/>
                <w:sz w:val="20"/>
                <w:szCs w:val="20"/>
              </w:rPr>
            </w:pPr>
            <w:r w:rsidRPr="007D3284">
              <w:rPr>
                <w:rFonts w:ascii="Century Gothic" w:hAnsi="Century Gothic"/>
                <w:sz w:val="20"/>
                <w:szCs w:val="20"/>
              </w:rPr>
              <w:t xml:space="preserve">are </w:t>
            </w:r>
            <w:r w:rsidRPr="00A05EAC">
              <w:rPr>
                <w:rFonts w:ascii="Century Gothic" w:hAnsi="Century Gothic"/>
                <w:b/>
                <w:bCs/>
                <w:sz w:val="20"/>
                <w:szCs w:val="20"/>
              </w:rPr>
              <w:t>variable consideration</w:t>
            </w:r>
            <w:r w:rsidRPr="007D3284">
              <w:rPr>
                <w:rFonts w:ascii="Century Gothic" w:hAnsi="Century Gothic"/>
                <w:sz w:val="20"/>
                <w:szCs w:val="20"/>
              </w:rPr>
              <w:t>, as the transaction price is based on a percentage of revenue or profit, as defined in each contract</w:t>
            </w:r>
            <w:r w:rsidR="00C91BF0">
              <w:rPr>
                <w:rFonts w:ascii="Century Gothic" w:hAnsi="Century Gothic"/>
                <w:sz w:val="20"/>
                <w:szCs w:val="20"/>
              </w:rPr>
              <w:t xml:space="preserve">. </w:t>
            </w:r>
          </w:p>
        </w:tc>
      </w:tr>
      <w:tr w:rsidR="002B3438" w:rsidRPr="00D4466B" w14:paraId="2251BB67" w14:textId="77777777" w:rsidTr="007D3284">
        <w:tc>
          <w:tcPr>
            <w:tcW w:w="2830" w:type="dxa"/>
          </w:tcPr>
          <w:p w14:paraId="036F01C6" w14:textId="09E6CB75" w:rsidR="002B3438" w:rsidRPr="00D4466B" w:rsidRDefault="002B3438" w:rsidP="002B3438">
            <w:pPr>
              <w:rPr>
                <w:rFonts w:ascii="Century Gothic" w:hAnsi="Century Gothic"/>
                <w:b/>
                <w:bCs/>
                <w:sz w:val="20"/>
                <w:szCs w:val="20"/>
              </w:rPr>
            </w:pPr>
            <w:r w:rsidRPr="00D4466B">
              <w:rPr>
                <w:rFonts w:ascii="Century Gothic" w:hAnsi="Century Gothic"/>
                <w:b/>
                <w:bCs/>
                <w:sz w:val="20"/>
                <w:szCs w:val="20"/>
              </w:rPr>
              <w:t>Franchise fee and Royalty fee</w:t>
            </w:r>
          </w:p>
        </w:tc>
        <w:tc>
          <w:tcPr>
            <w:tcW w:w="1678" w:type="dxa"/>
          </w:tcPr>
          <w:p w14:paraId="54A3AB52" w14:textId="44C8296C" w:rsidR="002B3438" w:rsidRPr="00D4466B" w:rsidRDefault="002B3438" w:rsidP="002B3438">
            <w:pPr>
              <w:rPr>
                <w:rFonts w:ascii="Century Gothic" w:hAnsi="Century Gothic"/>
                <w:b/>
                <w:bCs/>
                <w:sz w:val="20"/>
                <w:szCs w:val="20"/>
              </w:rPr>
            </w:pPr>
            <w:r w:rsidRPr="004667BB">
              <w:rPr>
                <w:rFonts w:ascii="Century Gothic" w:hAnsi="Century Gothic"/>
                <w:sz w:val="20"/>
                <w:szCs w:val="20"/>
              </w:rPr>
              <w:t>Based on the percentage (available in the contract) of revenue</w:t>
            </w:r>
            <w:r w:rsidR="003800D9">
              <w:rPr>
                <w:rFonts w:ascii="Century Gothic" w:hAnsi="Century Gothic"/>
                <w:sz w:val="20"/>
                <w:szCs w:val="20"/>
              </w:rPr>
              <w:t xml:space="preserve"> of the </w:t>
            </w:r>
            <w:r>
              <w:rPr>
                <w:rFonts w:ascii="Century Gothic" w:hAnsi="Century Gothic"/>
                <w:sz w:val="20"/>
                <w:szCs w:val="20"/>
              </w:rPr>
              <w:t>property</w:t>
            </w:r>
            <w:r w:rsidR="003800D9">
              <w:rPr>
                <w:rFonts w:ascii="Century Gothic" w:hAnsi="Century Gothic"/>
                <w:sz w:val="20"/>
                <w:szCs w:val="20"/>
              </w:rPr>
              <w:t>.</w:t>
            </w:r>
          </w:p>
        </w:tc>
        <w:tc>
          <w:tcPr>
            <w:tcW w:w="1441" w:type="dxa"/>
          </w:tcPr>
          <w:p w14:paraId="25F050F1" w14:textId="172605CC" w:rsidR="002B3438" w:rsidRPr="00D4466B" w:rsidRDefault="002B3438" w:rsidP="002B3438">
            <w:pPr>
              <w:rPr>
                <w:rFonts w:ascii="Century Gothic" w:hAnsi="Century Gothic"/>
                <w:b/>
                <w:bCs/>
                <w:sz w:val="20"/>
                <w:szCs w:val="20"/>
              </w:rPr>
            </w:pPr>
            <w:r w:rsidRPr="004667BB">
              <w:rPr>
                <w:rFonts w:ascii="Century Gothic" w:hAnsi="Century Gothic"/>
                <w:sz w:val="20"/>
                <w:szCs w:val="20"/>
              </w:rPr>
              <w:t xml:space="preserve">Based on the </w:t>
            </w:r>
            <w:r w:rsidR="00D56D82">
              <w:rPr>
                <w:rFonts w:ascii="Century Gothic" w:hAnsi="Century Gothic"/>
                <w:sz w:val="20"/>
                <w:szCs w:val="20"/>
              </w:rPr>
              <w:t>hotel properties</w:t>
            </w:r>
          </w:p>
        </w:tc>
        <w:tc>
          <w:tcPr>
            <w:tcW w:w="3402" w:type="dxa"/>
          </w:tcPr>
          <w:p w14:paraId="5D0986AF" w14:textId="77777777" w:rsidR="002B3438" w:rsidRPr="007D3284" w:rsidRDefault="002B3438" w:rsidP="002B3438">
            <w:pPr>
              <w:jc w:val="both"/>
              <w:rPr>
                <w:rFonts w:ascii="Century Gothic" w:hAnsi="Century Gothic"/>
                <w:sz w:val="20"/>
                <w:szCs w:val="20"/>
              </w:rPr>
            </w:pPr>
            <w:r>
              <w:rPr>
                <w:rFonts w:ascii="Century Gothic" w:hAnsi="Century Gothic"/>
                <w:sz w:val="20"/>
                <w:szCs w:val="20"/>
              </w:rPr>
              <w:t xml:space="preserve">Marriot </w:t>
            </w:r>
            <w:r w:rsidRPr="007D3284">
              <w:rPr>
                <w:rFonts w:ascii="Century Gothic" w:hAnsi="Century Gothic"/>
                <w:sz w:val="20"/>
                <w:szCs w:val="20"/>
              </w:rPr>
              <w:t xml:space="preserve">have performance obligations to </w:t>
            </w:r>
            <w:proofErr w:type="gramStart"/>
            <w:r w:rsidRPr="007D3284">
              <w:rPr>
                <w:rFonts w:ascii="Century Gothic" w:hAnsi="Century Gothic"/>
                <w:sz w:val="20"/>
                <w:szCs w:val="20"/>
              </w:rPr>
              <w:t>provide</w:t>
            </w:r>
            <w:proofErr w:type="gramEnd"/>
          </w:p>
          <w:p w14:paraId="0F5DF376" w14:textId="0CE9640D" w:rsidR="002B3438" w:rsidRPr="00CC5E94" w:rsidRDefault="00F15438" w:rsidP="00CC5E94">
            <w:pPr>
              <w:jc w:val="both"/>
              <w:rPr>
                <w:rFonts w:ascii="Century Gothic" w:hAnsi="Century Gothic"/>
                <w:sz w:val="20"/>
                <w:szCs w:val="20"/>
              </w:rPr>
            </w:pPr>
            <w:r w:rsidRPr="00F15438">
              <w:rPr>
                <w:rFonts w:ascii="Century Gothic" w:hAnsi="Century Gothic"/>
                <w:sz w:val="20"/>
                <w:szCs w:val="20"/>
              </w:rPr>
              <w:t>franchisees and operators</w:t>
            </w:r>
            <w:r w:rsidR="001077E2">
              <w:rPr>
                <w:rFonts w:ascii="Century Gothic" w:hAnsi="Century Gothic"/>
                <w:sz w:val="20"/>
                <w:szCs w:val="20"/>
              </w:rPr>
              <w:t xml:space="preserve"> a license</w:t>
            </w:r>
            <w:r w:rsidR="002B3438" w:rsidRPr="007D3284">
              <w:rPr>
                <w:rFonts w:ascii="Century Gothic" w:hAnsi="Century Gothic"/>
                <w:sz w:val="20"/>
                <w:szCs w:val="20"/>
              </w:rPr>
              <w:t xml:space="preserve"> to </w:t>
            </w:r>
            <w:r w:rsidR="002B3438">
              <w:rPr>
                <w:rFonts w:ascii="Century Gothic" w:hAnsi="Century Gothic"/>
                <w:sz w:val="20"/>
                <w:szCs w:val="20"/>
              </w:rPr>
              <w:t>their</w:t>
            </w:r>
            <w:r w:rsidR="002B3438" w:rsidRPr="007D3284">
              <w:rPr>
                <w:rFonts w:ascii="Century Gothic" w:hAnsi="Century Gothic"/>
                <w:sz w:val="20"/>
                <w:szCs w:val="20"/>
              </w:rPr>
              <w:t xml:space="preserve"> intellectual property for the use of</w:t>
            </w:r>
            <w:r w:rsidR="002B3438">
              <w:rPr>
                <w:rFonts w:ascii="Century Gothic" w:hAnsi="Century Gothic"/>
                <w:sz w:val="20"/>
                <w:szCs w:val="20"/>
              </w:rPr>
              <w:t xml:space="preserve"> their</w:t>
            </w:r>
            <w:r w:rsidR="002B3438" w:rsidRPr="007D3284">
              <w:rPr>
                <w:rFonts w:ascii="Century Gothic" w:hAnsi="Century Gothic"/>
                <w:sz w:val="20"/>
                <w:szCs w:val="20"/>
              </w:rPr>
              <w:t xml:space="preserve"> brand names. As compensation for such</w:t>
            </w:r>
            <w:r w:rsidR="003800D9">
              <w:rPr>
                <w:rFonts w:ascii="Century Gothic" w:hAnsi="Century Gothic"/>
                <w:sz w:val="20"/>
                <w:szCs w:val="20"/>
              </w:rPr>
              <w:t xml:space="preserve"> </w:t>
            </w:r>
            <w:r w:rsidR="002B3438" w:rsidRPr="007D3284">
              <w:rPr>
                <w:rFonts w:ascii="Century Gothic" w:hAnsi="Century Gothic"/>
                <w:sz w:val="20"/>
                <w:szCs w:val="20"/>
              </w:rPr>
              <w:t xml:space="preserve">services, </w:t>
            </w:r>
            <w:r w:rsidR="002B3438">
              <w:rPr>
                <w:rFonts w:ascii="Century Gothic" w:hAnsi="Century Gothic"/>
                <w:sz w:val="20"/>
                <w:szCs w:val="20"/>
              </w:rPr>
              <w:t xml:space="preserve">they </w:t>
            </w:r>
            <w:r w:rsidR="002B3438" w:rsidRPr="007D3284">
              <w:rPr>
                <w:rFonts w:ascii="Century Gothic" w:hAnsi="Century Gothic"/>
                <w:sz w:val="20"/>
                <w:szCs w:val="20"/>
              </w:rPr>
              <w:t>receive</w:t>
            </w:r>
            <w:r w:rsidR="003F3BB3">
              <w:rPr>
                <w:rFonts w:ascii="Century Gothic" w:hAnsi="Century Gothic"/>
                <w:sz w:val="20"/>
                <w:szCs w:val="20"/>
              </w:rPr>
              <w:t xml:space="preserve"> initial application </w:t>
            </w:r>
            <w:r w:rsidR="002B3438" w:rsidRPr="007D3284">
              <w:rPr>
                <w:rFonts w:ascii="Century Gothic" w:hAnsi="Century Gothic"/>
                <w:sz w:val="20"/>
                <w:szCs w:val="20"/>
              </w:rPr>
              <w:t>fees</w:t>
            </w:r>
            <w:r w:rsidR="003F3BB3">
              <w:rPr>
                <w:rFonts w:ascii="Century Gothic" w:hAnsi="Century Gothic"/>
                <w:sz w:val="20"/>
                <w:szCs w:val="20"/>
              </w:rPr>
              <w:t xml:space="preserve"> and ongoing royalty fees</w:t>
            </w:r>
            <w:r w:rsidR="002B3438" w:rsidRPr="007D3284">
              <w:rPr>
                <w:rFonts w:ascii="Century Gothic" w:hAnsi="Century Gothic"/>
                <w:sz w:val="20"/>
                <w:szCs w:val="20"/>
              </w:rPr>
              <w:t xml:space="preserve"> which are a percentage of the revenues of hotels</w:t>
            </w:r>
            <w:r w:rsidR="00CC5E94">
              <w:rPr>
                <w:rFonts w:ascii="Century Gothic" w:hAnsi="Century Gothic"/>
                <w:sz w:val="20"/>
                <w:szCs w:val="20"/>
              </w:rPr>
              <w:t xml:space="preserve"> </w:t>
            </w:r>
            <w:r w:rsidR="002B3438" w:rsidRPr="007D3284">
              <w:rPr>
                <w:rFonts w:ascii="Century Gothic" w:hAnsi="Century Gothic"/>
                <w:sz w:val="20"/>
                <w:szCs w:val="20"/>
              </w:rPr>
              <w:t>as defined in each contract</w:t>
            </w:r>
            <w:r w:rsidR="002B3438">
              <w:rPr>
                <w:rFonts w:ascii="Century Gothic" w:hAnsi="Century Gothic"/>
                <w:sz w:val="20"/>
                <w:szCs w:val="20"/>
              </w:rPr>
              <w:t xml:space="preserve">. </w:t>
            </w:r>
            <w:r w:rsidR="00CC5E94">
              <w:rPr>
                <w:rFonts w:ascii="Century Gothic" w:hAnsi="Century Gothic"/>
                <w:sz w:val="20"/>
                <w:szCs w:val="20"/>
              </w:rPr>
              <w:t xml:space="preserve">The implication of this driver on the </w:t>
            </w:r>
            <w:r w:rsidR="00A20329">
              <w:rPr>
                <w:rFonts w:ascii="Century Gothic" w:hAnsi="Century Gothic"/>
                <w:sz w:val="20"/>
                <w:szCs w:val="20"/>
              </w:rPr>
              <w:t xml:space="preserve">revenue growth is dependant on the revenue of the franchised hotels which is also subject to the available rooms and </w:t>
            </w:r>
            <w:r w:rsidR="00513DB7">
              <w:rPr>
                <w:rFonts w:ascii="Century Gothic" w:hAnsi="Century Gothic"/>
                <w:sz w:val="20"/>
                <w:szCs w:val="20"/>
              </w:rPr>
              <w:t>occu</w:t>
            </w:r>
            <w:r w:rsidR="009009C9">
              <w:rPr>
                <w:rFonts w:ascii="Century Gothic" w:hAnsi="Century Gothic"/>
                <w:sz w:val="20"/>
                <w:szCs w:val="20"/>
              </w:rPr>
              <w:t>pancy rate</w:t>
            </w:r>
            <w:r w:rsidR="00861F51">
              <w:rPr>
                <w:rFonts w:ascii="Century Gothic" w:hAnsi="Century Gothic"/>
                <w:sz w:val="20"/>
                <w:szCs w:val="20"/>
              </w:rPr>
              <w:t xml:space="preserve"> for these hotels.</w:t>
            </w:r>
          </w:p>
        </w:tc>
      </w:tr>
      <w:tr w:rsidR="00824D4D" w:rsidRPr="00D4466B" w14:paraId="356A37CC" w14:textId="77777777" w:rsidTr="007D3284">
        <w:tc>
          <w:tcPr>
            <w:tcW w:w="2830" w:type="dxa"/>
          </w:tcPr>
          <w:p w14:paraId="348F2779" w14:textId="3FF0F76C" w:rsidR="00824D4D" w:rsidRPr="00D4466B" w:rsidRDefault="001217BD" w:rsidP="00EF6B1D">
            <w:pPr>
              <w:rPr>
                <w:rFonts w:ascii="Century Gothic" w:hAnsi="Century Gothic"/>
                <w:b/>
                <w:bCs/>
                <w:sz w:val="20"/>
                <w:szCs w:val="20"/>
              </w:rPr>
            </w:pPr>
            <w:r w:rsidRPr="00D4466B">
              <w:rPr>
                <w:rFonts w:ascii="Century Gothic" w:hAnsi="Century Gothic"/>
                <w:b/>
                <w:bCs/>
                <w:sz w:val="20"/>
                <w:szCs w:val="20"/>
              </w:rPr>
              <w:t>Owned and Leased Hotel Revenue</w:t>
            </w:r>
          </w:p>
        </w:tc>
        <w:tc>
          <w:tcPr>
            <w:tcW w:w="1678" w:type="dxa"/>
          </w:tcPr>
          <w:p w14:paraId="72EA2A9D" w14:textId="0370706C" w:rsidR="00824D4D" w:rsidRPr="001F0413" w:rsidRDefault="001148B6" w:rsidP="00EF6B1D">
            <w:pPr>
              <w:rPr>
                <w:rFonts w:ascii="Century Gothic" w:hAnsi="Century Gothic"/>
                <w:sz w:val="20"/>
                <w:szCs w:val="20"/>
              </w:rPr>
            </w:pPr>
            <w:r w:rsidRPr="001F0413">
              <w:rPr>
                <w:rFonts w:ascii="Century Gothic" w:hAnsi="Century Gothic"/>
                <w:sz w:val="20"/>
                <w:szCs w:val="20"/>
              </w:rPr>
              <w:t xml:space="preserve">Price varies </w:t>
            </w:r>
            <w:r w:rsidR="00F54B5C" w:rsidRPr="001F0413">
              <w:rPr>
                <w:rFonts w:ascii="Century Gothic" w:hAnsi="Century Gothic"/>
                <w:sz w:val="20"/>
                <w:szCs w:val="20"/>
              </w:rPr>
              <w:t>dependent on locations of the hotels</w:t>
            </w:r>
          </w:p>
        </w:tc>
        <w:tc>
          <w:tcPr>
            <w:tcW w:w="1441" w:type="dxa"/>
          </w:tcPr>
          <w:p w14:paraId="1C71CB30" w14:textId="5AB2CA6C" w:rsidR="00824D4D" w:rsidRPr="001F0413" w:rsidRDefault="00F54B5C" w:rsidP="00EF6B1D">
            <w:pPr>
              <w:rPr>
                <w:rFonts w:ascii="Century Gothic" w:hAnsi="Century Gothic"/>
                <w:sz w:val="20"/>
                <w:szCs w:val="20"/>
              </w:rPr>
            </w:pPr>
            <w:r w:rsidRPr="001F0413">
              <w:rPr>
                <w:rFonts w:ascii="Century Gothic" w:hAnsi="Century Gothic"/>
                <w:sz w:val="20"/>
                <w:szCs w:val="20"/>
              </w:rPr>
              <w:t xml:space="preserve">Number of people checked in for </w:t>
            </w:r>
            <w:r w:rsidR="005A0A32" w:rsidRPr="001F0413">
              <w:rPr>
                <w:rFonts w:ascii="Century Gothic" w:hAnsi="Century Gothic"/>
                <w:sz w:val="20"/>
                <w:szCs w:val="20"/>
              </w:rPr>
              <w:t>the night (hotel guests)</w:t>
            </w:r>
            <w:r w:rsidR="00C15DFD" w:rsidRPr="001F0413">
              <w:rPr>
                <w:rFonts w:ascii="Century Gothic" w:hAnsi="Century Gothic"/>
                <w:sz w:val="20"/>
                <w:szCs w:val="20"/>
              </w:rPr>
              <w:t xml:space="preserve"> for each owned and leased </w:t>
            </w:r>
            <w:proofErr w:type="gramStart"/>
            <w:r w:rsidR="00C15DFD" w:rsidRPr="001F0413">
              <w:rPr>
                <w:rFonts w:ascii="Century Gothic" w:hAnsi="Century Gothic"/>
                <w:sz w:val="20"/>
                <w:szCs w:val="20"/>
              </w:rPr>
              <w:t>hote</w:t>
            </w:r>
            <w:r w:rsidR="006B1BEB" w:rsidRPr="001F0413">
              <w:rPr>
                <w:rFonts w:ascii="Century Gothic" w:hAnsi="Century Gothic"/>
                <w:sz w:val="20"/>
                <w:szCs w:val="20"/>
              </w:rPr>
              <w:t>l</w:t>
            </w:r>
            <w:r w:rsidR="001F0413" w:rsidRPr="001F0413">
              <w:rPr>
                <w:rFonts w:ascii="Century Gothic" w:hAnsi="Century Gothic"/>
                <w:sz w:val="20"/>
                <w:szCs w:val="20"/>
              </w:rPr>
              <w:t>s</w:t>
            </w:r>
            <w:proofErr w:type="gramEnd"/>
            <w:r w:rsidR="009256D3">
              <w:rPr>
                <w:rFonts w:ascii="Century Gothic" w:hAnsi="Century Gothic"/>
                <w:sz w:val="20"/>
                <w:szCs w:val="20"/>
              </w:rPr>
              <w:t>.</w:t>
            </w:r>
          </w:p>
        </w:tc>
        <w:tc>
          <w:tcPr>
            <w:tcW w:w="3402" w:type="dxa"/>
          </w:tcPr>
          <w:p w14:paraId="548CB78B" w14:textId="3282B050" w:rsidR="00824D4D" w:rsidRPr="001F0413" w:rsidRDefault="00334CC6" w:rsidP="00EF6B1D">
            <w:pPr>
              <w:rPr>
                <w:rFonts w:ascii="Century Gothic" w:hAnsi="Century Gothic"/>
                <w:sz w:val="20"/>
                <w:szCs w:val="20"/>
              </w:rPr>
            </w:pPr>
            <w:r w:rsidRPr="001F0413">
              <w:rPr>
                <w:rFonts w:ascii="Century Gothic" w:hAnsi="Century Gothic"/>
                <w:sz w:val="20"/>
                <w:szCs w:val="20"/>
              </w:rPr>
              <w:t xml:space="preserve">The impact of this driver </w:t>
            </w:r>
            <w:r w:rsidR="003A4285" w:rsidRPr="001F0413">
              <w:rPr>
                <w:rFonts w:ascii="Century Gothic" w:hAnsi="Century Gothic"/>
                <w:sz w:val="20"/>
                <w:szCs w:val="20"/>
              </w:rPr>
              <w:t xml:space="preserve">on the company’s revenue growth </w:t>
            </w:r>
            <w:r w:rsidRPr="001F0413">
              <w:rPr>
                <w:rFonts w:ascii="Century Gothic" w:hAnsi="Century Gothic"/>
                <w:sz w:val="20"/>
                <w:szCs w:val="20"/>
              </w:rPr>
              <w:t xml:space="preserve">is </w:t>
            </w:r>
            <w:r w:rsidR="00387D7B" w:rsidRPr="001F0413">
              <w:rPr>
                <w:rFonts w:ascii="Century Gothic" w:hAnsi="Century Gothic"/>
                <w:sz w:val="20"/>
                <w:szCs w:val="20"/>
              </w:rPr>
              <w:t>dependent</w:t>
            </w:r>
            <w:r w:rsidRPr="001F0413">
              <w:rPr>
                <w:rFonts w:ascii="Century Gothic" w:hAnsi="Century Gothic"/>
                <w:sz w:val="20"/>
                <w:szCs w:val="20"/>
              </w:rPr>
              <w:t xml:space="preserve"> on the occup</w:t>
            </w:r>
            <w:r w:rsidR="003A4285" w:rsidRPr="001F0413">
              <w:rPr>
                <w:rFonts w:ascii="Century Gothic" w:hAnsi="Century Gothic"/>
                <w:sz w:val="20"/>
                <w:szCs w:val="20"/>
              </w:rPr>
              <w:t xml:space="preserve">ancy rates and available rooms for each owned and leased hotel. Hence, the higher the number of rooms and </w:t>
            </w:r>
            <w:r w:rsidR="00A43CAD" w:rsidRPr="001F0413">
              <w:rPr>
                <w:rFonts w:ascii="Century Gothic" w:hAnsi="Century Gothic"/>
                <w:sz w:val="20"/>
                <w:szCs w:val="20"/>
              </w:rPr>
              <w:t>owned and leased hotel properties</w:t>
            </w:r>
            <w:r w:rsidR="009256D3">
              <w:rPr>
                <w:rFonts w:ascii="Century Gothic" w:hAnsi="Century Gothic"/>
                <w:sz w:val="20"/>
                <w:szCs w:val="20"/>
              </w:rPr>
              <w:t>.</w:t>
            </w:r>
            <w:r w:rsidR="00A43CAD" w:rsidRPr="001F0413">
              <w:rPr>
                <w:rFonts w:ascii="Century Gothic" w:hAnsi="Century Gothic"/>
                <w:sz w:val="20"/>
                <w:szCs w:val="20"/>
              </w:rPr>
              <w:t xml:space="preserve"> </w:t>
            </w:r>
          </w:p>
        </w:tc>
      </w:tr>
      <w:tr w:rsidR="00824D4D" w:rsidRPr="00D4466B" w14:paraId="4A8BD291" w14:textId="77777777" w:rsidTr="007D3284">
        <w:tc>
          <w:tcPr>
            <w:tcW w:w="2830" w:type="dxa"/>
          </w:tcPr>
          <w:p w14:paraId="46EB60F4" w14:textId="351EBC1D" w:rsidR="00824D4D" w:rsidRPr="00D4466B" w:rsidRDefault="00774A36" w:rsidP="00EF6B1D">
            <w:pPr>
              <w:rPr>
                <w:rFonts w:ascii="Century Gothic" w:hAnsi="Century Gothic"/>
                <w:b/>
                <w:bCs/>
                <w:sz w:val="20"/>
                <w:szCs w:val="20"/>
              </w:rPr>
            </w:pPr>
            <w:r>
              <w:rPr>
                <w:rFonts w:ascii="Century Gothic" w:hAnsi="Century Gothic"/>
                <w:b/>
                <w:bCs/>
                <w:sz w:val="20"/>
                <w:szCs w:val="20"/>
              </w:rPr>
              <w:t>Cost Reimbursement</w:t>
            </w:r>
          </w:p>
        </w:tc>
        <w:tc>
          <w:tcPr>
            <w:tcW w:w="1678" w:type="dxa"/>
          </w:tcPr>
          <w:p w14:paraId="4EF3544B" w14:textId="0FC04CF0" w:rsidR="00824D4D" w:rsidRPr="00D4466B" w:rsidRDefault="00774A36" w:rsidP="00EF6B1D">
            <w:pPr>
              <w:rPr>
                <w:rFonts w:ascii="Century Gothic" w:hAnsi="Century Gothic"/>
                <w:b/>
                <w:bCs/>
                <w:sz w:val="20"/>
                <w:szCs w:val="20"/>
              </w:rPr>
            </w:pPr>
            <w:r>
              <w:rPr>
                <w:rFonts w:ascii="Century Gothic" w:hAnsi="Century Gothic"/>
                <w:b/>
                <w:bCs/>
                <w:sz w:val="20"/>
                <w:szCs w:val="20"/>
              </w:rPr>
              <w:t>Not Av</w:t>
            </w:r>
            <w:r w:rsidR="00957F01">
              <w:rPr>
                <w:rFonts w:ascii="Century Gothic" w:hAnsi="Century Gothic"/>
                <w:b/>
                <w:bCs/>
                <w:sz w:val="20"/>
                <w:szCs w:val="20"/>
              </w:rPr>
              <w:t>ailable</w:t>
            </w:r>
          </w:p>
        </w:tc>
        <w:tc>
          <w:tcPr>
            <w:tcW w:w="1441" w:type="dxa"/>
          </w:tcPr>
          <w:p w14:paraId="67F5B169" w14:textId="539137FF" w:rsidR="00824D4D" w:rsidRPr="00D4466B" w:rsidRDefault="0033569A" w:rsidP="00EF6B1D">
            <w:pPr>
              <w:rPr>
                <w:rFonts w:ascii="Century Gothic" w:hAnsi="Century Gothic"/>
                <w:b/>
                <w:bCs/>
                <w:sz w:val="20"/>
                <w:szCs w:val="20"/>
              </w:rPr>
            </w:pPr>
            <w:r>
              <w:rPr>
                <w:rFonts w:ascii="Century Gothic" w:hAnsi="Century Gothic"/>
                <w:b/>
                <w:bCs/>
                <w:sz w:val="20"/>
                <w:szCs w:val="20"/>
              </w:rPr>
              <w:t>Not Available</w:t>
            </w:r>
          </w:p>
        </w:tc>
        <w:tc>
          <w:tcPr>
            <w:tcW w:w="3402" w:type="dxa"/>
          </w:tcPr>
          <w:p w14:paraId="57A40620" w14:textId="0905BA70" w:rsidR="00824D4D" w:rsidRPr="006D3796" w:rsidRDefault="005D159C" w:rsidP="00EF6B1D">
            <w:pPr>
              <w:rPr>
                <w:rFonts w:ascii="Century Gothic" w:hAnsi="Century Gothic"/>
                <w:sz w:val="20"/>
                <w:szCs w:val="20"/>
              </w:rPr>
            </w:pPr>
            <w:r w:rsidRPr="006D3796">
              <w:rPr>
                <w:rFonts w:ascii="Century Gothic" w:hAnsi="Century Gothic"/>
                <w:sz w:val="20"/>
                <w:szCs w:val="20"/>
              </w:rPr>
              <w:t xml:space="preserve">Under the management and </w:t>
            </w:r>
            <w:r w:rsidR="00EC7CDE" w:rsidRPr="006D3796">
              <w:rPr>
                <w:rFonts w:ascii="Century Gothic" w:hAnsi="Century Gothic"/>
                <w:sz w:val="20"/>
                <w:szCs w:val="20"/>
              </w:rPr>
              <w:t xml:space="preserve">franchise </w:t>
            </w:r>
            <w:r w:rsidR="000F642F" w:rsidRPr="006D3796">
              <w:rPr>
                <w:rFonts w:ascii="Century Gothic" w:hAnsi="Century Gothic"/>
                <w:sz w:val="20"/>
                <w:szCs w:val="20"/>
              </w:rPr>
              <w:t xml:space="preserve">contract, Marriot is </w:t>
            </w:r>
            <w:r w:rsidRPr="006D3796">
              <w:rPr>
                <w:rFonts w:ascii="Century Gothic" w:hAnsi="Century Gothic"/>
                <w:sz w:val="20"/>
                <w:szCs w:val="20"/>
              </w:rPr>
              <w:t xml:space="preserve">entitled </w:t>
            </w:r>
            <w:r w:rsidR="00EC7CDE" w:rsidRPr="006D3796">
              <w:rPr>
                <w:rFonts w:ascii="Century Gothic" w:hAnsi="Century Gothic"/>
                <w:sz w:val="20"/>
                <w:szCs w:val="20"/>
              </w:rPr>
              <w:t xml:space="preserve">to receive reimbursements on costs incurred on </w:t>
            </w:r>
            <w:r w:rsidR="00D82567" w:rsidRPr="006D3796">
              <w:rPr>
                <w:rFonts w:ascii="Century Gothic" w:hAnsi="Century Gothic"/>
                <w:sz w:val="20"/>
                <w:szCs w:val="20"/>
              </w:rPr>
              <w:t xml:space="preserve">managed, </w:t>
            </w:r>
            <w:proofErr w:type="gramStart"/>
            <w:r w:rsidR="00D82567" w:rsidRPr="006D3796">
              <w:rPr>
                <w:rFonts w:ascii="Century Gothic" w:hAnsi="Century Gothic"/>
                <w:sz w:val="20"/>
                <w:szCs w:val="20"/>
              </w:rPr>
              <w:lastRenderedPageBreak/>
              <w:t>franchised</w:t>
            </w:r>
            <w:proofErr w:type="gramEnd"/>
            <w:r w:rsidR="00D82567" w:rsidRPr="006D3796">
              <w:rPr>
                <w:rFonts w:ascii="Century Gothic" w:hAnsi="Century Gothic"/>
                <w:sz w:val="20"/>
                <w:szCs w:val="20"/>
              </w:rPr>
              <w:t xml:space="preserve"> and licensed properties. Hence, the implication of this driver is dependent on </w:t>
            </w:r>
            <w:r w:rsidR="001E1382" w:rsidRPr="006D3796">
              <w:rPr>
                <w:rFonts w:ascii="Century Gothic" w:hAnsi="Century Gothic"/>
                <w:sz w:val="20"/>
                <w:szCs w:val="20"/>
              </w:rPr>
              <w:t>the value of the cost incurred in</w:t>
            </w:r>
            <w:r w:rsidR="006D3796" w:rsidRPr="006D3796">
              <w:rPr>
                <w:rFonts w:ascii="Century Gothic" w:hAnsi="Century Gothic"/>
                <w:sz w:val="20"/>
                <w:szCs w:val="20"/>
              </w:rPr>
              <w:t xml:space="preserve"> related to these properties</w:t>
            </w:r>
          </w:p>
        </w:tc>
      </w:tr>
    </w:tbl>
    <w:p w14:paraId="4330B3A8" w14:textId="066953C3" w:rsidR="00AA48AC" w:rsidRPr="00C04931" w:rsidRDefault="00EB0F74" w:rsidP="00EF6B1D">
      <w:pPr>
        <w:rPr>
          <w:rFonts w:ascii="Century Gothic" w:hAnsi="Century Gothic"/>
          <w:i/>
          <w:iCs/>
          <w:sz w:val="20"/>
          <w:szCs w:val="20"/>
        </w:rPr>
      </w:pPr>
      <w:r w:rsidRPr="00C04931">
        <w:rPr>
          <w:rFonts w:ascii="Century Gothic" w:hAnsi="Century Gothic"/>
          <w:i/>
          <w:iCs/>
          <w:sz w:val="20"/>
          <w:szCs w:val="20"/>
        </w:rPr>
        <w:lastRenderedPageBreak/>
        <w:t xml:space="preserve">Information above is </w:t>
      </w:r>
      <w:r w:rsidR="00C04931" w:rsidRPr="00C04931">
        <w:rPr>
          <w:rFonts w:ascii="Century Gothic" w:hAnsi="Century Gothic"/>
          <w:i/>
          <w:iCs/>
          <w:sz w:val="20"/>
          <w:szCs w:val="20"/>
        </w:rPr>
        <w:t>available in the company’s annual reports</w:t>
      </w:r>
      <w:r w:rsidR="00377B71">
        <w:rPr>
          <w:rFonts w:ascii="Century Gothic" w:hAnsi="Century Gothic"/>
          <w:i/>
          <w:iCs/>
          <w:sz w:val="20"/>
          <w:szCs w:val="20"/>
        </w:rPr>
        <w:t xml:space="preserve"> (FY-2022)</w:t>
      </w:r>
    </w:p>
    <w:p w14:paraId="7A4C4AAC" w14:textId="4F96E530" w:rsidR="00CB44FE" w:rsidRDefault="00CB44FE" w:rsidP="00EF6B1D">
      <w:pPr>
        <w:rPr>
          <w:rFonts w:ascii="Century Gothic" w:hAnsi="Century Gothic"/>
          <w:b/>
          <w:bCs/>
          <w:sz w:val="20"/>
          <w:szCs w:val="20"/>
        </w:rPr>
      </w:pPr>
      <w:r>
        <w:rPr>
          <w:rFonts w:ascii="Century Gothic" w:hAnsi="Century Gothic"/>
          <w:b/>
          <w:bCs/>
          <w:sz w:val="20"/>
          <w:szCs w:val="20"/>
        </w:rPr>
        <w:t>Cost Drivers:</w:t>
      </w:r>
    </w:p>
    <w:p w14:paraId="6E5670AD" w14:textId="3DCF8DA4" w:rsidR="00377B71" w:rsidRDefault="00377B71" w:rsidP="00EF6B1D">
      <w:pPr>
        <w:rPr>
          <w:rFonts w:ascii="Century Gothic" w:hAnsi="Century Gothic"/>
          <w:b/>
          <w:bCs/>
          <w:sz w:val="20"/>
          <w:szCs w:val="20"/>
        </w:rPr>
      </w:pPr>
      <w:r>
        <w:rPr>
          <w:rFonts w:ascii="Century Gothic" w:hAnsi="Century Gothic"/>
          <w:b/>
          <w:bCs/>
          <w:sz w:val="20"/>
          <w:szCs w:val="20"/>
        </w:rPr>
        <w:t xml:space="preserve">It’s important to state that breakdown of the cost items was not provided in the annual </w:t>
      </w:r>
      <w:r w:rsidR="00E50824">
        <w:rPr>
          <w:rFonts w:ascii="Century Gothic" w:hAnsi="Century Gothic"/>
          <w:b/>
          <w:bCs/>
          <w:sz w:val="20"/>
          <w:szCs w:val="20"/>
        </w:rPr>
        <w:t>report.</w:t>
      </w:r>
    </w:p>
    <w:tbl>
      <w:tblPr>
        <w:tblStyle w:val="TableGrid"/>
        <w:tblW w:w="0" w:type="auto"/>
        <w:tblLook w:val="04A0" w:firstRow="1" w:lastRow="0" w:firstColumn="1" w:lastColumn="0" w:noHBand="0" w:noVBand="1"/>
      </w:tblPr>
      <w:tblGrid>
        <w:gridCol w:w="2371"/>
        <w:gridCol w:w="2329"/>
        <w:gridCol w:w="2158"/>
        <w:gridCol w:w="2158"/>
      </w:tblGrid>
      <w:tr w:rsidR="00E97BE6" w14:paraId="08632773" w14:textId="77777777" w:rsidTr="00E97BE6">
        <w:tc>
          <w:tcPr>
            <w:tcW w:w="2371" w:type="dxa"/>
          </w:tcPr>
          <w:p w14:paraId="3E711BE1" w14:textId="214BC804" w:rsidR="00E97BE6" w:rsidRDefault="00E97BE6" w:rsidP="00EF6B1D">
            <w:pPr>
              <w:rPr>
                <w:rFonts w:ascii="Century Gothic" w:hAnsi="Century Gothic"/>
                <w:b/>
                <w:bCs/>
                <w:sz w:val="20"/>
                <w:szCs w:val="20"/>
              </w:rPr>
            </w:pPr>
            <w:r>
              <w:rPr>
                <w:rFonts w:ascii="Century Gothic" w:hAnsi="Century Gothic"/>
                <w:b/>
                <w:bCs/>
                <w:sz w:val="20"/>
                <w:szCs w:val="20"/>
              </w:rPr>
              <w:t>Cost Items</w:t>
            </w:r>
          </w:p>
        </w:tc>
        <w:tc>
          <w:tcPr>
            <w:tcW w:w="2329" w:type="dxa"/>
          </w:tcPr>
          <w:p w14:paraId="144753FE" w14:textId="76A51654" w:rsidR="00E97BE6" w:rsidRDefault="000E3819" w:rsidP="00EF6B1D">
            <w:pPr>
              <w:rPr>
                <w:rFonts w:ascii="Century Gothic" w:hAnsi="Century Gothic"/>
                <w:b/>
                <w:bCs/>
                <w:sz w:val="20"/>
                <w:szCs w:val="20"/>
              </w:rPr>
            </w:pPr>
            <w:r>
              <w:rPr>
                <w:rFonts w:ascii="Century Gothic" w:hAnsi="Century Gothic"/>
                <w:b/>
                <w:bCs/>
                <w:sz w:val="20"/>
                <w:szCs w:val="20"/>
              </w:rPr>
              <w:t>Direct/Indirect</w:t>
            </w:r>
          </w:p>
        </w:tc>
        <w:tc>
          <w:tcPr>
            <w:tcW w:w="2158" w:type="dxa"/>
          </w:tcPr>
          <w:p w14:paraId="3DF9EA43" w14:textId="690297C0" w:rsidR="00E97BE6" w:rsidRDefault="000E3819" w:rsidP="00EF6B1D">
            <w:pPr>
              <w:rPr>
                <w:rFonts w:ascii="Century Gothic" w:hAnsi="Century Gothic"/>
                <w:b/>
                <w:bCs/>
                <w:sz w:val="20"/>
                <w:szCs w:val="20"/>
              </w:rPr>
            </w:pPr>
            <w:r>
              <w:rPr>
                <w:rFonts w:ascii="Century Gothic" w:hAnsi="Century Gothic"/>
                <w:b/>
                <w:bCs/>
                <w:sz w:val="20"/>
                <w:szCs w:val="20"/>
              </w:rPr>
              <w:t>Variable or Fixed</w:t>
            </w:r>
          </w:p>
        </w:tc>
        <w:tc>
          <w:tcPr>
            <w:tcW w:w="2158" w:type="dxa"/>
          </w:tcPr>
          <w:p w14:paraId="0F6DF52B" w14:textId="617D6C01" w:rsidR="00E97BE6" w:rsidRDefault="00E50824" w:rsidP="00EF6B1D">
            <w:pPr>
              <w:rPr>
                <w:rFonts w:ascii="Century Gothic" w:hAnsi="Century Gothic"/>
                <w:b/>
                <w:bCs/>
                <w:sz w:val="20"/>
                <w:szCs w:val="20"/>
              </w:rPr>
            </w:pPr>
            <w:r>
              <w:rPr>
                <w:rFonts w:ascii="Century Gothic" w:hAnsi="Century Gothic"/>
                <w:b/>
                <w:bCs/>
                <w:sz w:val="20"/>
                <w:szCs w:val="20"/>
              </w:rPr>
              <w:t>Correlation with Revenue</w:t>
            </w:r>
          </w:p>
        </w:tc>
      </w:tr>
      <w:tr w:rsidR="00E97BE6" w14:paraId="7C899CBF" w14:textId="77777777" w:rsidTr="00254443">
        <w:trPr>
          <w:trHeight w:val="415"/>
        </w:trPr>
        <w:tc>
          <w:tcPr>
            <w:tcW w:w="2371" w:type="dxa"/>
          </w:tcPr>
          <w:p w14:paraId="5EED1C6D" w14:textId="62DC1DB3" w:rsidR="00E97BE6" w:rsidRPr="0088505D" w:rsidRDefault="00E97BE6" w:rsidP="00EF6B1D">
            <w:pPr>
              <w:rPr>
                <w:rFonts w:ascii="Century Gothic" w:hAnsi="Century Gothic"/>
                <w:b/>
                <w:bCs/>
                <w:sz w:val="20"/>
                <w:szCs w:val="20"/>
              </w:rPr>
            </w:pPr>
            <w:r w:rsidRPr="0088505D">
              <w:rPr>
                <w:rFonts w:ascii="Century Gothic" w:hAnsi="Century Gothic"/>
                <w:b/>
                <w:bCs/>
                <w:sz w:val="20"/>
                <w:szCs w:val="20"/>
              </w:rPr>
              <w:t>Owned and Leased costs-</w:t>
            </w:r>
          </w:p>
        </w:tc>
        <w:tc>
          <w:tcPr>
            <w:tcW w:w="2329" w:type="dxa"/>
          </w:tcPr>
          <w:p w14:paraId="49685D89" w14:textId="285B8D9C" w:rsidR="00E97BE6" w:rsidRPr="0088505D" w:rsidRDefault="00940B3B" w:rsidP="00EF6B1D">
            <w:pPr>
              <w:rPr>
                <w:rFonts w:ascii="Century Gothic" w:hAnsi="Century Gothic"/>
                <w:sz w:val="20"/>
                <w:szCs w:val="20"/>
              </w:rPr>
            </w:pPr>
            <w:r w:rsidRPr="0088505D">
              <w:rPr>
                <w:rFonts w:ascii="Century Gothic" w:hAnsi="Century Gothic"/>
                <w:sz w:val="20"/>
                <w:szCs w:val="20"/>
              </w:rPr>
              <w:t xml:space="preserve">It can </w:t>
            </w:r>
            <w:r w:rsidR="00985245" w:rsidRPr="0088505D">
              <w:rPr>
                <w:rFonts w:ascii="Century Gothic" w:hAnsi="Century Gothic"/>
                <w:sz w:val="20"/>
                <w:szCs w:val="20"/>
              </w:rPr>
              <w:t>Direct</w:t>
            </w:r>
            <w:r w:rsidR="00E97BE6" w:rsidRPr="0088505D">
              <w:rPr>
                <w:rFonts w:ascii="Century Gothic" w:hAnsi="Century Gothic"/>
                <w:sz w:val="20"/>
                <w:szCs w:val="20"/>
              </w:rPr>
              <w:t xml:space="preserve"> cost</w:t>
            </w:r>
            <w:r w:rsidRPr="0088505D">
              <w:rPr>
                <w:rFonts w:ascii="Century Gothic" w:hAnsi="Century Gothic"/>
                <w:sz w:val="20"/>
                <w:szCs w:val="20"/>
              </w:rPr>
              <w:t>s</w:t>
            </w:r>
          </w:p>
        </w:tc>
        <w:tc>
          <w:tcPr>
            <w:tcW w:w="2158" w:type="dxa"/>
          </w:tcPr>
          <w:p w14:paraId="68CB63F4" w14:textId="5175812A" w:rsidR="00E97BE6" w:rsidRPr="0088505D" w:rsidRDefault="00254443" w:rsidP="00EF6B1D">
            <w:pPr>
              <w:rPr>
                <w:rFonts w:ascii="Century Gothic" w:hAnsi="Century Gothic"/>
                <w:sz w:val="20"/>
                <w:szCs w:val="20"/>
              </w:rPr>
            </w:pPr>
            <w:r w:rsidRPr="0088505D">
              <w:rPr>
                <w:rFonts w:ascii="Century Gothic" w:hAnsi="Century Gothic"/>
                <w:sz w:val="20"/>
                <w:szCs w:val="20"/>
              </w:rPr>
              <w:t xml:space="preserve">Variable </w:t>
            </w:r>
            <w:r w:rsidR="00700852" w:rsidRPr="0088505D">
              <w:rPr>
                <w:rFonts w:ascii="Century Gothic" w:hAnsi="Century Gothic"/>
                <w:sz w:val="20"/>
                <w:szCs w:val="20"/>
              </w:rPr>
              <w:t>as it depends on occupancy rate and number of guests for each night</w:t>
            </w:r>
          </w:p>
        </w:tc>
        <w:tc>
          <w:tcPr>
            <w:tcW w:w="2158" w:type="dxa"/>
          </w:tcPr>
          <w:p w14:paraId="43D925BD" w14:textId="6161801D" w:rsidR="00E97BE6" w:rsidRPr="0088505D" w:rsidRDefault="00985245" w:rsidP="00EF6B1D">
            <w:pPr>
              <w:rPr>
                <w:rFonts w:ascii="Century Gothic" w:hAnsi="Century Gothic"/>
                <w:sz w:val="20"/>
                <w:szCs w:val="20"/>
              </w:rPr>
            </w:pPr>
            <w:r w:rsidRPr="0088505D">
              <w:rPr>
                <w:rFonts w:ascii="Century Gothic" w:hAnsi="Century Gothic"/>
                <w:sz w:val="20"/>
                <w:szCs w:val="20"/>
              </w:rPr>
              <w:t>Th</w:t>
            </w:r>
            <w:r w:rsidR="00E82511" w:rsidRPr="0088505D">
              <w:rPr>
                <w:rFonts w:ascii="Century Gothic" w:hAnsi="Century Gothic"/>
                <w:sz w:val="20"/>
                <w:szCs w:val="20"/>
              </w:rPr>
              <w:t>ese</w:t>
            </w:r>
            <w:r w:rsidRPr="0088505D">
              <w:rPr>
                <w:rFonts w:ascii="Century Gothic" w:hAnsi="Century Gothic"/>
                <w:sz w:val="20"/>
                <w:szCs w:val="20"/>
              </w:rPr>
              <w:t xml:space="preserve"> cost</w:t>
            </w:r>
            <w:r w:rsidR="00E82511" w:rsidRPr="0088505D">
              <w:rPr>
                <w:rFonts w:ascii="Century Gothic" w:hAnsi="Century Gothic"/>
                <w:sz w:val="20"/>
                <w:szCs w:val="20"/>
              </w:rPr>
              <w:t>s are</w:t>
            </w:r>
            <w:r w:rsidRPr="0088505D">
              <w:rPr>
                <w:rFonts w:ascii="Century Gothic" w:hAnsi="Century Gothic"/>
                <w:sz w:val="20"/>
                <w:szCs w:val="20"/>
              </w:rPr>
              <w:t xml:space="preserve"> associated </w:t>
            </w:r>
            <w:r w:rsidR="00E82511" w:rsidRPr="0088505D">
              <w:rPr>
                <w:rFonts w:ascii="Century Gothic" w:hAnsi="Century Gothic"/>
                <w:sz w:val="20"/>
                <w:szCs w:val="20"/>
              </w:rPr>
              <w:t>with</w:t>
            </w:r>
            <w:r w:rsidR="0088505D">
              <w:rPr>
                <w:rFonts w:ascii="Century Gothic" w:hAnsi="Century Gothic"/>
                <w:sz w:val="20"/>
                <w:szCs w:val="20"/>
              </w:rPr>
              <w:t xml:space="preserve"> owned and leased properties</w:t>
            </w:r>
          </w:p>
        </w:tc>
      </w:tr>
      <w:tr w:rsidR="00E97BE6" w14:paraId="58C3FAA8" w14:textId="77777777" w:rsidTr="00E97BE6">
        <w:tc>
          <w:tcPr>
            <w:tcW w:w="2371" w:type="dxa"/>
          </w:tcPr>
          <w:p w14:paraId="464F4A77" w14:textId="1528DAE6" w:rsidR="00E97BE6" w:rsidRPr="0088505D" w:rsidRDefault="00045C4C" w:rsidP="00EF6B1D">
            <w:pPr>
              <w:rPr>
                <w:rFonts w:ascii="Century Gothic" w:hAnsi="Century Gothic"/>
                <w:b/>
                <w:bCs/>
                <w:sz w:val="20"/>
                <w:szCs w:val="20"/>
              </w:rPr>
            </w:pPr>
            <w:r w:rsidRPr="0088505D">
              <w:rPr>
                <w:rFonts w:ascii="Century Gothic" w:hAnsi="Century Gothic"/>
                <w:b/>
                <w:bCs/>
                <w:sz w:val="20"/>
                <w:szCs w:val="20"/>
              </w:rPr>
              <w:t>Depreciation, amortization, and other</w:t>
            </w:r>
          </w:p>
        </w:tc>
        <w:tc>
          <w:tcPr>
            <w:tcW w:w="2329" w:type="dxa"/>
          </w:tcPr>
          <w:p w14:paraId="6AE89377" w14:textId="4A90FC66" w:rsidR="00E97BE6" w:rsidRPr="0088505D" w:rsidRDefault="00B3583E" w:rsidP="00EF6B1D">
            <w:pPr>
              <w:rPr>
                <w:rFonts w:ascii="Century Gothic" w:hAnsi="Century Gothic"/>
                <w:sz w:val="20"/>
                <w:szCs w:val="20"/>
              </w:rPr>
            </w:pPr>
            <w:r w:rsidRPr="0088505D">
              <w:rPr>
                <w:rFonts w:ascii="Century Gothic" w:hAnsi="Century Gothic"/>
                <w:sz w:val="20"/>
                <w:szCs w:val="20"/>
              </w:rPr>
              <w:t>Indirect cost</w:t>
            </w:r>
          </w:p>
        </w:tc>
        <w:tc>
          <w:tcPr>
            <w:tcW w:w="2158" w:type="dxa"/>
          </w:tcPr>
          <w:p w14:paraId="6A5E8CDD" w14:textId="727AC98C" w:rsidR="00E97BE6" w:rsidRPr="0088505D" w:rsidRDefault="0080585C" w:rsidP="00EF6B1D">
            <w:pPr>
              <w:rPr>
                <w:rFonts w:ascii="Century Gothic" w:hAnsi="Century Gothic"/>
                <w:sz w:val="20"/>
                <w:szCs w:val="20"/>
              </w:rPr>
            </w:pPr>
            <w:r w:rsidRPr="0088505D">
              <w:rPr>
                <w:rFonts w:ascii="Century Gothic" w:hAnsi="Century Gothic"/>
                <w:sz w:val="20"/>
                <w:szCs w:val="20"/>
              </w:rPr>
              <w:t>This cost can be variable</w:t>
            </w:r>
            <w:r w:rsidR="00011508">
              <w:rPr>
                <w:rFonts w:ascii="Century Gothic" w:hAnsi="Century Gothic"/>
                <w:sz w:val="20"/>
                <w:szCs w:val="20"/>
              </w:rPr>
              <w:t>/fixed</w:t>
            </w:r>
            <w:r w:rsidRPr="0088505D">
              <w:rPr>
                <w:rFonts w:ascii="Century Gothic" w:hAnsi="Century Gothic"/>
                <w:sz w:val="20"/>
                <w:szCs w:val="20"/>
              </w:rPr>
              <w:t xml:space="preserve"> which is largely dependent on </w:t>
            </w:r>
            <w:r w:rsidR="00940B3B" w:rsidRPr="0088505D">
              <w:rPr>
                <w:rFonts w:ascii="Century Gothic" w:hAnsi="Century Gothic"/>
                <w:sz w:val="20"/>
                <w:szCs w:val="20"/>
              </w:rPr>
              <w:t xml:space="preserve">the depreciation and amortization </w:t>
            </w:r>
            <w:r w:rsidR="0033289F" w:rsidRPr="0088505D">
              <w:rPr>
                <w:rFonts w:ascii="Century Gothic" w:hAnsi="Century Gothic"/>
                <w:sz w:val="20"/>
                <w:szCs w:val="20"/>
              </w:rPr>
              <w:t xml:space="preserve">methods </w:t>
            </w:r>
            <w:r w:rsidR="004A2A45" w:rsidRPr="0088505D">
              <w:rPr>
                <w:rFonts w:ascii="Century Gothic" w:hAnsi="Century Gothic"/>
                <w:sz w:val="20"/>
                <w:szCs w:val="20"/>
              </w:rPr>
              <w:t>used by Marriot</w:t>
            </w:r>
            <w:r w:rsidR="00EF4E89" w:rsidRPr="0088505D">
              <w:rPr>
                <w:rFonts w:ascii="Century Gothic" w:hAnsi="Century Gothic"/>
                <w:sz w:val="20"/>
                <w:szCs w:val="20"/>
              </w:rPr>
              <w:t>.</w:t>
            </w:r>
          </w:p>
        </w:tc>
        <w:tc>
          <w:tcPr>
            <w:tcW w:w="2158" w:type="dxa"/>
          </w:tcPr>
          <w:p w14:paraId="776E2D12" w14:textId="24DD0155" w:rsidR="00E97BE6" w:rsidRPr="0088505D" w:rsidRDefault="00011508" w:rsidP="00EF6B1D">
            <w:pPr>
              <w:rPr>
                <w:rFonts w:ascii="Century Gothic" w:hAnsi="Century Gothic"/>
                <w:sz w:val="20"/>
                <w:szCs w:val="20"/>
              </w:rPr>
            </w:pPr>
            <w:r>
              <w:rPr>
                <w:rFonts w:ascii="Century Gothic" w:hAnsi="Century Gothic"/>
                <w:sz w:val="20"/>
                <w:szCs w:val="20"/>
              </w:rPr>
              <w:t>These are generally fixed cost</w:t>
            </w:r>
            <w:r w:rsidR="008B4F05">
              <w:rPr>
                <w:rFonts w:ascii="Century Gothic" w:hAnsi="Century Gothic"/>
                <w:sz w:val="20"/>
                <w:szCs w:val="20"/>
              </w:rPr>
              <w:t>s</w:t>
            </w:r>
            <w:r w:rsidR="00BB31E9">
              <w:rPr>
                <w:rFonts w:ascii="Century Gothic" w:hAnsi="Century Gothic"/>
                <w:sz w:val="20"/>
                <w:szCs w:val="20"/>
              </w:rPr>
              <w:t xml:space="preserve"> which will be incurred </w:t>
            </w:r>
            <w:proofErr w:type="gramStart"/>
            <w:r w:rsidR="00BB31E9">
              <w:rPr>
                <w:rFonts w:ascii="Century Gothic" w:hAnsi="Century Gothic"/>
                <w:sz w:val="20"/>
                <w:szCs w:val="20"/>
              </w:rPr>
              <w:t>regardless</w:t>
            </w:r>
            <w:proofErr w:type="gramEnd"/>
            <w:r w:rsidR="00BB31E9">
              <w:rPr>
                <w:rFonts w:ascii="Century Gothic" w:hAnsi="Century Gothic"/>
                <w:sz w:val="20"/>
                <w:szCs w:val="20"/>
              </w:rPr>
              <w:t xml:space="preserve"> if the company generates </w:t>
            </w:r>
            <w:r w:rsidR="008B4F05">
              <w:rPr>
                <w:rFonts w:ascii="Century Gothic" w:hAnsi="Century Gothic"/>
                <w:sz w:val="20"/>
                <w:szCs w:val="20"/>
              </w:rPr>
              <w:t>revenue or not.</w:t>
            </w:r>
          </w:p>
        </w:tc>
      </w:tr>
      <w:tr w:rsidR="00E97BE6" w14:paraId="3BED96A1" w14:textId="77777777" w:rsidTr="00E97BE6">
        <w:tc>
          <w:tcPr>
            <w:tcW w:w="2371" w:type="dxa"/>
          </w:tcPr>
          <w:p w14:paraId="7173E741" w14:textId="75777FB6" w:rsidR="00E97BE6" w:rsidRPr="0088505D" w:rsidRDefault="007A5D58" w:rsidP="00EF6B1D">
            <w:pPr>
              <w:rPr>
                <w:rFonts w:ascii="Century Gothic" w:hAnsi="Century Gothic"/>
                <w:b/>
                <w:bCs/>
                <w:sz w:val="20"/>
                <w:szCs w:val="20"/>
              </w:rPr>
            </w:pPr>
            <w:r w:rsidRPr="0088505D">
              <w:rPr>
                <w:rFonts w:ascii="Century Gothic" w:hAnsi="Century Gothic"/>
                <w:b/>
                <w:bCs/>
                <w:sz w:val="20"/>
                <w:szCs w:val="20"/>
              </w:rPr>
              <w:t>General</w:t>
            </w:r>
            <w:r w:rsidR="00CF6352" w:rsidRPr="0088505D">
              <w:rPr>
                <w:rFonts w:ascii="Century Gothic" w:hAnsi="Century Gothic"/>
                <w:b/>
                <w:bCs/>
                <w:sz w:val="20"/>
                <w:szCs w:val="20"/>
              </w:rPr>
              <w:t xml:space="preserve"> and</w:t>
            </w:r>
            <w:r w:rsidR="00B3583E" w:rsidRPr="0088505D">
              <w:rPr>
                <w:rFonts w:ascii="Century Gothic" w:hAnsi="Century Gothic"/>
                <w:b/>
                <w:bCs/>
                <w:sz w:val="20"/>
                <w:szCs w:val="20"/>
              </w:rPr>
              <w:t xml:space="preserve"> </w:t>
            </w:r>
            <w:r w:rsidRPr="0088505D">
              <w:rPr>
                <w:rFonts w:ascii="Century Gothic" w:hAnsi="Century Gothic"/>
                <w:b/>
                <w:bCs/>
                <w:sz w:val="20"/>
                <w:szCs w:val="20"/>
              </w:rPr>
              <w:t>administrative</w:t>
            </w:r>
            <w:r w:rsidR="008B4F05">
              <w:rPr>
                <w:rFonts w:ascii="Century Gothic" w:hAnsi="Century Gothic"/>
                <w:b/>
                <w:bCs/>
                <w:sz w:val="20"/>
                <w:szCs w:val="20"/>
              </w:rPr>
              <w:t xml:space="preserve"> cost</w:t>
            </w:r>
          </w:p>
        </w:tc>
        <w:tc>
          <w:tcPr>
            <w:tcW w:w="2329" w:type="dxa"/>
          </w:tcPr>
          <w:p w14:paraId="067B9BDB" w14:textId="52FBB124" w:rsidR="00E97BE6" w:rsidRPr="0088505D" w:rsidRDefault="00CF6352" w:rsidP="00EF6B1D">
            <w:pPr>
              <w:rPr>
                <w:rFonts w:ascii="Century Gothic" w:hAnsi="Century Gothic"/>
                <w:sz w:val="20"/>
                <w:szCs w:val="20"/>
              </w:rPr>
            </w:pPr>
            <w:r w:rsidRPr="0088505D">
              <w:rPr>
                <w:rFonts w:ascii="Century Gothic" w:hAnsi="Century Gothic"/>
                <w:sz w:val="20"/>
                <w:szCs w:val="20"/>
              </w:rPr>
              <w:t>I</w:t>
            </w:r>
            <w:r w:rsidR="00B3583E" w:rsidRPr="0088505D">
              <w:rPr>
                <w:rFonts w:ascii="Century Gothic" w:hAnsi="Century Gothic"/>
                <w:sz w:val="20"/>
                <w:szCs w:val="20"/>
              </w:rPr>
              <w:t>ndirect Cost</w:t>
            </w:r>
          </w:p>
        </w:tc>
        <w:tc>
          <w:tcPr>
            <w:tcW w:w="2158" w:type="dxa"/>
          </w:tcPr>
          <w:p w14:paraId="2E513FDC" w14:textId="786AF77F" w:rsidR="00E97BE6" w:rsidRPr="0088505D" w:rsidRDefault="00EF4E89" w:rsidP="00EF6B1D">
            <w:pPr>
              <w:rPr>
                <w:rFonts w:ascii="Century Gothic" w:hAnsi="Century Gothic"/>
                <w:sz w:val="20"/>
                <w:szCs w:val="20"/>
              </w:rPr>
            </w:pPr>
            <w:r w:rsidRPr="0088505D">
              <w:rPr>
                <w:rFonts w:ascii="Century Gothic" w:hAnsi="Century Gothic"/>
                <w:sz w:val="20"/>
                <w:szCs w:val="20"/>
              </w:rPr>
              <w:t xml:space="preserve">Certain </w:t>
            </w:r>
            <w:r w:rsidR="007A4AD5" w:rsidRPr="0088505D">
              <w:rPr>
                <w:rFonts w:ascii="Century Gothic" w:hAnsi="Century Gothic"/>
                <w:sz w:val="20"/>
                <w:szCs w:val="20"/>
              </w:rPr>
              <w:t>cost items can be fixed and variable</w:t>
            </w:r>
          </w:p>
        </w:tc>
        <w:tc>
          <w:tcPr>
            <w:tcW w:w="2158" w:type="dxa"/>
          </w:tcPr>
          <w:p w14:paraId="4F16E21F" w14:textId="704910B1" w:rsidR="00E97BE6" w:rsidRPr="0088505D" w:rsidRDefault="008B4F05" w:rsidP="00EF6B1D">
            <w:pPr>
              <w:rPr>
                <w:rFonts w:ascii="Century Gothic" w:hAnsi="Century Gothic"/>
                <w:sz w:val="20"/>
                <w:szCs w:val="20"/>
              </w:rPr>
            </w:pPr>
            <w:r>
              <w:rPr>
                <w:rFonts w:ascii="Century Gothic" w:hAnsi="Century Gothic"/>
                <w:sz w:val="20"/>
                <w:szCs w:val="20"/>
              </w:rPr>
              <w:t xml:space="preserve">These are generally fixed costs which will be incurred </w:t>
            </w:r>
            <w:proofErr w:type="gramStart"/>
            <w:r>
              <w:rPr>
                <w:rFonts w:ascii="Century Gothic" w:hAnsi="Century Gothic"/>
                <w:sz w:val="20"/>
                <w:szCs w:val="20"/>
              </w:rPr>
              <w:t>regardless</w:t>
            </w:r>
            <w:proofErr w:type="gramEnd"/>
            <w:r>
              <w:rPr>
                <w:rFonts w:ascii="Century Gothic" w:hAnsi="Century Gothic"/>
                <w:sz w:val="20"/>
                <w:szCs w:val="20"/>
              </w:rPr>
              <w:t xml:space="preserve"> if the company generates revenue or not.</w:t>
            </w:r>
          </w:p>
        </w:tc>
      </w:tr>
      <w:tr w:rsidR="00045C4C" w14:paraId="0002BB7F" w14:textId="77777777" w:rsidTr="00E97BE6">
        <w:tc>
          <w:tcPr>
            <w:tcW w:w="2371" w:type="dxa"/>
          </w:tcPr>
          <w:p w14:paraId="48568BE8" w14:textId="78A8FEDF" w:rsidR="00045C4C" w:rsidRPr="0088505D" w:rsidRDefault="00014540" w:rsidP="00EF6B1D">
            <w:pPr>
              <w:rPr>
                <w:rFonts w:ascii="Century Gothic" w:hAnsi="Century Gothic"/>
                <w:b/>
                <w:bCs/>
                <w:sz w:val="20"/>
                <w:szCs w:val="20"/>
              </w:rPr>
            </w:pPr>
            <w:r w:rsidRPr="0088505D">
              <w:rPr>
                <w:rFonts w:ascii="Century Gothic" w:hAnsi="Century Gothic"/>
                <w:b/>
                <w:bCs/>
                <w:sz w:val="20"/>
                <w:szCs w:val="20"/>
              </w:rPr>
              <w:t>Restructuring, merger-related charges, and other</w:t>
            </w:r>
          </w:p>
        </w:tc>
        <w:tc>
          <w:tcPr>
            <w:tcW w:w="2329" w:type="dxa"/>
          </w:tcPr>
          <w:p w14:paraId="3B421F72" w14:textId="41699EC1" w:rsidR="00045C4C" w:rsidRPr="0088505D" w:rsidRDefault="00B3583E" w:rsidP="00EF6B1D">
            <w:pPr>
              <w:rPr>
                <w:rFonts w:ascii="Century Gothic" w:hAnsi="Century Gothic"/>
                <w:sz w:val="20"/>
                <w:szCs w:val="20"/>
              </w:rPr>
            </w:pPr>
            <w:r w:rsidRPr="0088505D">
              <w:rPr>
                <w:rFonts w:ascii="Century Gothic" w:hAnsi="Century Gothic"/>
                <w:sz w:val="20"/>
                <w:szCs w:val="20"/>
              </w:rPr>
              <w:t>Indirect Cost</w:t>
            </w:r>
          </w:p>
        </w:tc>
        <w:tc>
          <w:tcPr>
            <w:tcW w:w="2158" w:type="dxa"/>
          </w:tcPr>
          <w:p w14:paraId="72BD1BEC" w14:textId="7BDE9487" w:rsidR="00045C4C" w:rsidRPr="0088505D" w:rsidRDefault="007A4AD5" w:rsidP="00EF6B1D">
            <w:pPr>
              <w:rPr>
                <w:rFonts w:ascii="Century Gothic" w:hAnsi="Century Gothic"/>
                <w:sz w:val="20"/>
                <w:szCs w:val="20"/>
              </w:rPr>
            </w:pPr>
            <w:r w:rsidRPr="0088505D">
              <w:rPr>
                <w:rFonts w:ascii="Century Gothic" w:hAnsi="Century Gothic"/>
                <w:sz w:val="20"/>
                <w:szCs w:val="20"/>
              </w:rPr>
              <w:t>Variable as it is not reoccurring expenses</w:t>
            </w:r>
          </w:p>
        </w:tc>
        <w:tc>
          <w:tcPr>
            <w:tcW w:w="2158" w:type="dxa"/>
          </w:tcPr>
          <w:p w14:paraId="5BE51FD3" w14:textId="07BF3C28" w:rsidR="00045C4C" w:rsidRPr="0088505D" w:rsidRDefault="00ED528D" w:rsidP="00EF6B1D">
            <w:pPr>
              <w:rPr>
                <w:rFonts w:ascii="Century Gothic" w:hAnsi="Century Gothic"/>
                <w:sz w:val="20"/>
                <w:szCs w:val="20"/>
              </w:rPr>
            </w:pPr>
            <w:r>
              <w:rPr>
                <w:rFonts w:ascii="Century Gothic" w:hAnsi="Century Gothic"/>
                <w:sz w:val="20"/>
                <w:szCs w:val="20"/>
              </w:rPr>
              <w:t xml:space="preserve"> </w:t>
            </w:r>
            <w:r w:rsidR="001A2C12">
              <w:rPr>
                <w:rFonts w:ascii="Century Gothic" w:hAnsi="Century Gothic"/>
                <w:sz w:val="20"/>
                <w:szCs w:val="20"/>
              </w:rPr>
              <w:t>These c</w:t>
            </w:r>
            <w:r w:rsidR="005E7C41">
              <w:rPr>
                <w:rFonts w:ascii="Century Gothic" w:hAnsi="Century Gothic"/>
                <w:sz w:val="20"/>
                <w:szCs w:val="20"/>
              </w:rPr>
              <w:t>ost</w:t>
            </w:r>
            <w:r w:rsidR="00105F12">
              <w:rPr>
                <w:rFonts w:ascii="Century Gothic" w:hAnsi="Century Gothic"/>
                <w:sz w:val="20"/>
                <w:szCs w:val="20"/>
              </w:rPr>
              <w:t xml:space="preserve">s are </w:t>
            </w:r>
            <w:r w:rsidR="00A22BC2">
              <w:rPr>
                <w:rFonts w:ascii="Century Gothic" w:hAnsi="Century Gothic"/>
                <w:sz w:val="20"/>
                <w:szCs w:val="20"/>
              </w:rPr>
              <w:t>not necessarily correlated to revenue earned. However, they are cost associated wi</w:t>
            </w:r>
            <w:r w:rsidR="00C47161">
              <w:rPr>
                <w:rFonts w:ascii="Century Gothic" w:hAnsi="Century Gothic"/>
                <w:sz w:val="20"/>
                <w:szCs w:val="20"/>
              </w:rPr>
              <w:t xml:space="preserve">th one-time business </w:t>
            </w:r>
            <w:r w:rsidR="00741CF5">
              <w:rPr>
                <w:rFonts w:ascii="Century Gothic" w:hAnsi="Century Gothic"/>
                <w:sz w:val="20"/>
                <w:szCs w:val="20"/>
              </w:rPr>
              <w:t>strategic projects.</w:t>
            </w:r>
          </w:p>
        </w:tc>
      </w:tr>
      <w:tr w:rsidR="00045C4C" w14:paraId="47902612" w14:textId="77777777" w:rsidTr="00E97BE6">
        <w:tc>
          <w:tcPr>
            <w:tcW w:w="2371" w:type="dxa"/>
          </w:tcPr>
          <w:p w14:paraId="438901D9" w14:textId="76EE2294" w:rsidR="00045C4C" w:rsidRPr="0088505D" w:rsidRDefault="000E6116" w:rsidP="00EF6B1D">
            <w:pPr>
              <w:rPr>
                <w:rFonts w:ascii="Century Gothic" w:hAnsi="Century Gothic"/>
                <w:b/>
                <w:bCs/>
                <w:sz w:val="20"/>
                <w:szCs w:val="20"/>
              </w:rPr>
            </w:pPr>
            <w:r w:rsidRPr="0088505D">
              <w:rPr>
                <w:rFonts w:ascii="Century Gothic" w:hAnsi="Century Gothic"/>
                <w:b/>
                <w:bCs/>
                <w:sz w:val="20"/>
                <w:szCs w:val="20"/>
              </w:rPr>
              <w:t>Reimbursed expenses</w:t>
            </w:r>
          </w:p>
        </w:tc>
        <w:tc>
          <w:tcPr>
            <w:tcW w:w="2329" w:type="dxa"/>
          </w:tcPr>
          <w:p w14:paraId="7A18AFFB" w14:textId="0F7CE634" w:rsidR="00045C4C" w:rsidRPr="0088505D" w:rsidRDefault="00B3583E" w:rsidP="00EF6B1D">
            <w:pPr>
              <w:rPr>
                <w:rFonts w:ascii="Century Gothic" w:hAnsi="Century Gothic"/>
                <w:sz w:val="20"/>
                <w:szCs w:val="20"/>
              </w:rPr>
            </w:pPr>
            <w:r w:rsidRPr="0088505D">
              <w:rPr>
                <w:rFonts w:ascii="Century Gothic" w:hAnsi="Century Gothic"/>
                <w:sz w:val="20"/>
                <w:szCs w:val="20"/>
              </w:rPr>
              <w:t>Direct</w:t>
            </w:r>
            <w:r w:rsidR="00254443" w:rsidRPr="0088505D">
              <w:rPr>
                <w:rFonts w:ascii="Century Gothic" w:hAnsi="Century Gothic"/>
                <w:sz w:val="20"/>
                <w:szCs w:val="20"/>
              </w:rPr>
              <w:t xml:space="preserve"> Cost</w:t>
            </w:r>
          </w:p>
        </w:tc>
        <w:tc>
          <w:tcPr>
            <w:tcW w:w="2158" w:type="dxa"/>
          </w:tcPr>
          <w:p w14:paraId="20241B55" w14:textId="7D470453" w:rsidR="00045C4C" w:rsidRPr="0088505D" w:rsidRDefault="00DA2FB8" w:rsidP="00EF6B1D">
            <w:pPr>
              <w:rPr>
                <w:rFonts w:ascii="Century Gothic" w:hAnsi="Century Gothic"/>
                <w:sz w:val="20"/>
                <w:szCs w:val="20"/>
              </w:rPr>
            </w:pPr>
            <w:r w:rsidRPr="0088505D">
              <w:rPr>
                <w:rFonts w:ascii="Century Gothic" w:hAnsi="Century Gothic"/>
                <w:sz w:val="20"/>
                <w:szCs w:val="20"/>
              </w:rPr>
              <w:t xml:space="preserve">Variable </w:t>
            </w:r>
          </w:p>
        </w:tc>
        <w:tc>
          <w:tcPr>
            <w:tcW w:w="2158" w:type="dxa"/>
          </w:tcPr>
          <w:p w14:paraId="24395C21" w14:textId="582142D4" w:rsidR="00045C4C" w:rsidRPr="0088505D" w:rsidRDefault="00741CF5" w:rsidP="00EF6B1D">
            <w:pPr>
              <w:rPr>
                <w:rFonts w:ascii="Century Gothic" w:hAnsi="Century Gothic"/>
                <w:sz w:val="20"/>
                <w:szCs w:val="20"/>
              </w:rPr>
            </w:pPr>
            <w:r>
              <w:rPr>
                <w:rFonts w:ascii="Century Gothic" w:hAnsi="Century Gothic"/>
                <w:sz w:val="20"/>
                <w:szCs w:val="20"/>
              </w:rPr>
              <w:t xml:space="preserve">These costs are related to the </w:t>
            </w:r>
            <w:proofErr w:type="spellStart"/>
            <w:r w:rsidR="00645118">
              <w:rPr>
                <w:rFonts w:ascii="Century Gothic" w:hAnsi="Century Gothic"/>
                <w:sz w:val="20"/>
                <w:szCs w:val="20"/>
              </w:rPr>
              <w:t>the</w:t>
            </w:r>
            <w:proofErr w:type="spellEnd"/>
            <w:r w:rsidR="00645118">
              <w:rPr>
                <w:rFonts w:ascii="Century Gothic" w:hAnsi="Century Gothic"/>
                <w:sz w:val="20"/>
                <w:szCs w:val="20"/>
              </w:rPr>
              <w:t xml:space="preserve"> management </w:t>
            </w:r>
            <w:r w:rsidR="007E0AAB">
              <w:rPr>
                <w:rFonts w:ascii="Century Gothic" w:hAnsi="Century Gothic"/>
                <w:sz w:val="20"/>
                <w:szCs w:val="20"/>
              </w:rPr>
              <w:t>of franchised and managed properties</w:t>
            </w:r>
          </w:p>
        </w:tc>
      </w:tr>
    </w:tbl>
    <w:p w14:paraId="54862982" w14:textId="45F5AE18" w:rsidR="00877367" w:rsidRDefault="00877367" w:rsidP="00EF6B1D">
      <w:pPr>
        <w:rPr>
          <w:rFonts w:ascii="Century Gothic" w:hAnsi="Century Gothic"/>
          <w:b/>
          <w:bCs/>
          <w:sz w:val="20"/>
          <w:szCs w:val="20"/>
        </w:rPr>
      </w:pPr>
    </w:p>
    <w:p w14:paraId="65722BB8" w14:textId="72177B6D" w:rsidR="00C625A4" w:rsidRDefault="00C625A4" w:rsidP="00EF6B1D">
      <w:pPr>
        <w:rPr>
          <w:rFonts w:ascii="Century Gothic" w:hAnsi="Century Gothic"/>
          <w:b/>
          <w:bCs/>
          <w:sz w:val="20"/>
          <w:szCs w:val="20"/>
        </w:rPr>
      </w:pPr>
      <w:r>
        <w:rPr>
          <w:rFonts w:ascii="Century Gothic" w:hAnsi="Century Gothic"/>
          <w:b/>
          <w:bCs/>
          <w:sz w:val="20"/>
          <w:szCs w:val="20"/>
        </w:rPr>
        <w:t xml:space="preserve">Company’s performance in relation to </w:t>
      </w:r>
      <w:r w:rsidR="00FC6595">
        <w:rPr>
          <w:rFonts w:ascii="Century Gothic" w:hAnsi="Century Gothic"/>
          <w:b/>
          <w:bCs/>
          <w:sz w:val="20"/>
          <w:szCs w:val="20"/>
        </w:rPr>
        <w:t>cost and revenue drivers</w:t>
      </w:r>
      <w:r w:rsidR="00020D8A">
        <w:rPr>
          <w:rFonts w:ascii="Century Gothic" w:hAnsi="Century Gothic"/>
          <w:b/>
          <w:bCs/>
          <w:sz w:val="20"/>
          <w:szCs w:val="20"/>
        </w:rPr>
        <w:t>:</w:t>
      </w:r>
    </w:p>
    <w:p w14:paraId="5D7DA723" w14:textId="39D72829" w:rsidR="0047656F" w:rsidRDefault="00AE3F3C" w:rsidP="00DC6EA4">
      <w:pPr>
        <w:rPr>
          <w:rFonts w:ascii="Century Gothic" w:hAnsi="Century Gothic"/>
          <w:sz w:val="20"/>
          <w:szCs w:val="20"/>
        </w:rPr>
      </w:pPr>
      <w:r w:rsidRPr="00F0494F">
        <w:rPr>
          <w:rFonts w:ascii="Century Gothic" w:hAnsi="Century Gothic"/>
          <w:sz w:val="20"/>
          <w:szCs w:val="20"/>
        </w:rPr>
        <w:t xml:space="preserve">Marriot performance increased significantly in FY-2022 </w:t>
      </w:r>
      <w:r w:rsidR="00DC6EA4" w:rsidRPr="00F0494F">
        <w:rPr>
          <w:rFonts w:ascii="Century Gothic" w:hAnsi="Century Gothic"/>
          <w:sz w:val="20"/>
          <w:szCs w:val="20"/>
        </w:rPr>
        <w:t>improved significantly compared to 2021 due to the continued recovery in lodging</w:t>
      </w:r>
      <w:r w:rsidR="00F0494F" w:rsidRPr="00F0494F">
        <w:rPr>
          <w:rFonts w:ascii="Century Gothic" w:hAnsi="Century Gothic"/>
          <w:sz w:val="20"/>
          <w:szCs w:val="20"/>
        </w:rPr>
        <w:t xml:space="preserve"> </w:t>
      </w:r>
      <w:r w:rsidR="00DC6EA4" w:rsidRPr="00F0494F">
        <w:rPr>
          <w:rFonts w:ascii="Century Gothic" w:hAnsi="Century Gothic"/>
          <w:sz w:val="20"/>
          <w:szCs w:val="20"/>
        </w:rPr>
        <w:t xml:space="preserve">demand from the impacts of COVID-19. The </w:t>
      </w:r>
      <w:r w:rsidR="00DC6EA4" w:rsidRPr="00F0494F">
        <w:rPr>
          <w:rFonts w:ascii="Century Gothic" w:hAnsi="Century Gothic"/>
          <w:sz w:val="20"/>
          <w:szCs w:val="20"/>
        </w:rPr>
        <w:lastRenderedPageBreak/>
        <w:t xml:space="preserve">discussion below presents an additional analysis of our consolidated results </w:t>
      </w:r>
      <w:r w:rsidR="004B12FF" w:rsidRPr="00F0494F">
        <w:rPr>
          <w:rFonts w:ascii="Century Gothic" w:hAnsi="Century Gothic"/>
          <w:sz w:val="20"/>
          <w:szCs w:val="20"/>
        </w:rPr>
        <w:t>of operations</w:t>
      </w:r>
      <w:r w:rsidR="00DC6EA4" w:rsidRPr="00F0494F">
        <w:rPr>
          <w:rFonts w:ascii="Century Gothic" w:hAnsi="Century Gothic"/>
          <w:sz w:val="20"/>
          <w:szCs w:val="20"/>
        </w:rPr>
        <w:t xml:space="preserve"> for 2022 compared to 202</w:t>
      </w:r>
      <w:r w:rsidR="00F0494F" w:rsidRPr="00F0494F">
        <w:rPr>
          <w:rFonts w:ascii="Century Gothic" w:hAnsi="Century Gothic"/>
          <w:sz w:val="20"/>
          <w:szCs w:val="20"/>
        </w:rPr>
        <w:t>1</w:t>
      </w:r>
      <w:r w:rsidR="00F0494F">
        <w:rPr>
          <w:rFonts w:ascii="Century Gothic" w:hAnsi="Century Gothic"/>
          <w:sz w:val="20"/>
          <w:szCs w:val="20"/>
        </w:rPr>
        <w:t>:</w:t>
      </w:r>
    </w:p>
    <w:p w14:paraId="1F2A55E6" w14:textId="3D1F4121" w:rsidR="004B12FF" w:rsidRDefault="004B12FF" w:rsidP="00DC6EA4">
      <w:pPr>
        <w:rPr>
          <w:rFonts w:ascii="Century Gothic" w:hAnsi="Century Gothic"/>
          <w:sz w:val="20"/>
          <w:szCs w:val="20"/>
        </w:rPr>
      </w:pPr>
      <w:r>
        <w:rPr>
          <w:noProof/>
        </w:rPr>
        <w:drawing>
          <wp:inline distT="0" distB="0" distL="0" distR="0" wp14:anchorId="73126275" wp14:editId="23CAD557">
            <wp:extent cx="5836758" cy="2222205"/>
            <wp:effectExtent l="0" t="0" r="12065" b="6985"/>
            <wp:docPr id="1800567319" name="Chart 1">
              <a:extLst xmlns:a="http://schemas.openxmlformats.org/drawingml/2006/main">
                <a:ext uri="{FF2B5EF4-FFF2-40B4-BE49-F238E27FC236}">
                  <a16:creationId xmlns:a16="http://schemas.microsoft.com/office/drawing/2014/main" id="{849DD1BA-2BDD-F198-137C-4790C7554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34CEA0" w14:textId="045DA837" w:rsidR="00A3611C" w:rsidRPr="008D61B0" w:rsidRDefault="00A3611C" w:rsidP="008D61B0">
      <w:pPr>
        <w:pStyle w:val="ListParagraph"/>
        <w:numPr>
          <w:ilvl w:val="0"/>
          <w:numId w:val="2"/>
        </w:numPr>
        <w:rPr>
          <w:rFonts w:ascii="Century Gothic" w:hAnsi="Century Gothic"/>
          <w:sz w:val="20"/>
          <w:szCs w:val="20"/>
        </w:rPr>
      </w:pPr>
      <w:r w:rsidRPr="008D61B0">
        <w:rPr>
          <w:rFonts w:ascii="Century Gothic" w:hAnsi="Century Gothic"/>
          <w:sz w:val="20"/>
          <w:szCs w:val="20"/>
        </w:rPr>
        <w:t>The increase in base management fees primarily reflected higher RevPAR and unit growth</w:t>
      </w:r>
      <w:r w:rsidR="00D5213E">
        <w:rPr>
          <w:rFonts w:ascii="Century Gothic" w:hAnsi="Century Gothic"/>
          <w:sz w:val="20"/>
          <w:szCs w:val="20"/>
        </w:rPr>
        <w:t>.</w:t>
      </w:r>
    </w:p>
    <w:p w14:paraId="75F1EB9A" w14:textId="7A35389F" w:rsidR="00A3611C" w:rsidRPr="008D61B0" w:rsidRDefault="00A3611C" w:rsidP="008D61B0">
      <w:pPr>
        <w:pStyle w:val="ListParagraph"/>
        <w:numPr>
          <w:ilvl w:val="0"/>
          <w:numId w:val="2"/>
        </w:numPr>
        <w:rPr>
          <w:rFonts w:ascii="Century Gothic" w:hAnsi="Century Gothic"/>
          <w:sz w:val="20"/>
          <w:szCs w:val="20"/>
        </w:rPr>
      </w:pPr>
      <w:r w:rsidRPr="008D61B0">
        <w:rPr>
          <w:rFonts w:ascii="Century Gothic" w:hAnsi="Century Gothic"/>
          <w:sz w:val="20"/>
          <w:szCs w:val="20"/>
        </w:rPr>
        <w:t>The increase in franchise fees primarily reflected higher RevPAR, higher co-branded credit card fees) and</w:t>
      </w:r>
      <w:r w:rsidR="008D61B0" w:rsidRPr="008D61B0">
        <w:rPr>
          <w:rFonts w:ascii="Century Gothic" w:hAnsi="Century Gothic"/>
          <w:sz w:val="20"/>
          <w:szCs w:val="20"/>
        </w:rPr>
        <w:t xml:space="preserve"> </w:t>
      </w:r>
      <w:proofErr w:type="gramStart"/>
      <w:r w:rsidRPr="008D61B0">
        <w:rPr>
          <w:rFonts w:ascii="Century Gothic" w:hAnsi="Century Gothic"/>
          <w:sz w:val="20"/>
          <w:szCs w:val="20"/>
        </w:rPr>
        <w:t xml:space="preserve">unit </w:t>
      </w:r>
      <w:r w:rsidR="00D5213E">
        <w:rPr>
          <w:rFonts w:ascii="Century Gothic" w:hAnsi="Century Gothic"/>
          <w:sz w:val="20"/>
          <w:szCs w:val="20"/>
        </w:rPr>
        <w:t>.</w:t>
      </w:r>
      <w:proofErr w:type="gramEnd"/>
    </w:p>
    <w:p w14:paraId="00A28F41" w14:textId="66CA25D1" w:rsidR="00D5213E" w:rsidRPr="00D5213E" w:rsidRDefault="00A3611C" w:rsidP="00C057FE">
      <w:pPr>
        <w:pStyle w:val="ListParagraph"/>
        <w:numPr>
          <w:ilvl w:val="0"/>
          <w:numId w:val="2"/>
        </w:numPr>
        <w:rPr>
          <w:rFonts w:ascii="Century Gothic" w:hAnsi="Century Gothic"/>
          <w:b/>
          <w:bCs/>
          <w:sz w:val="20"/>
          <w:szCs w:val="20"/>
        </w:rPr>
      </w:pPr>
      <w:r w:rsidRPr="00D5213E">
        <w:rPr>
          <w:rFonts w:ascii="Century Gothic" w:hAnsi="Century Gothic"/>
          <w:sz w:val="20"/>
          <w:szCs w:val="20"/>
        </w:rPr>
        <w:t>The increase in incentive management fees primarily reflected higher profits at certain managed hotels and unit growth</w:t>
      </w:r>
      <w:r w:rsidR="00D5213E">
        <w:rPr>
          <w:rFonts w:ascii="Century Gothic" w:hAnsi="Century Gothic"/>
          <w:sz w:val="20"/>
          <w:szCs w:val="20"/>
        </w:rPr>
        <w:t>.</w:t>
      </w:r>
    </w:p>
    <w:p w14:paraId="1AC461A5" w14:textId="77777777" w:rsidR="00D5213E" w:rsidRPr="00D5213E" w:rsidRDefault="00D5213E" w:rsidP="00D5213E">
      <w:pPr>
        <w:ind w:left="360"/>
        <w:rPr>
          <w:rFonts w:ascii="Century Gothic" w:hAnsi="Century Gothic"/>
          <w:b/>
          <w:bCs/>
          <w:sz w:val="20"/>
          <w:szCs w:val="20"/>
        </w:rPr>
      </w:pPr>
    </w:p>
    <w:p w14:paraId="1A7BF35B" w14:textId="775E5BC5" w:rsidR="00FC6595" w:rsidRPr="00D5213E" w:rsidRDefault="00FC6595" w:rsidP="00D5213E">
      <w:pPr>
        <w:rPr>
          <w:rFonts w:ascii="Century Gothic" w:hAnsi="Century Gothic"/>
          <w:b/>
          <w:bCs/>
          <w:sz w:val="20"/>
          <w:szCs w:val="20"/>
        </w:rPr>
      </w:pPr>
      <w:r w:rsidRPr="00D5213E">
        <w:rPr>
          <w:rFonts w:ascii="Century Gothic" w:hAnsi="Century Gothic"/>
          <w:b/>
          <w:bCs/>
          <w:sz w:val="20"/>
          <w:szCs w:val="20"/>
        </w:rPr>
        <w:t>Identifiable Peers:</w:t>
      </w:r>
    </w:p>
    <w:p w14:paraId="172548BF" w14:textId="00323F78" w:rsidR="00020D8A" w:rsidRDefault="00244DE9" w:rsidP="00901ED5">
      <w:pPr>
        <w:jc w:val="both"/>
        <w:rPr>
          <w:rFonts w:ascii="Century Gothic" w:hAnsi="Century Gothic"/>
          <w:sz w:val="20"/>
          <w:szCs w:val="20"/>
        </w:rPr>
      </w:pPr>
      <w:r w:rsidRPr="005522A1">
        <w:rPr>
          <w:rFonts w:ascii="Century Gothic" w:hAnsi="Century Gothic"/>
          <w:b/>
          <w:bCs/>
          <w:sz w:val="20"/>
          <w:szCs w:val="20"/>
        </w:rPr>
        <w:t>Hilton Worldwide Holdings Inc (HWHI) is</w:t>
      </w:r>
      <w:r w:rsidRPr="005522A1">
        <w:rPr>
          <w:rFonts w:ascii="Century Gothic" w:hAnsi="Century Gothic"/>
          <w:sz w:val="20"/>
          <w:szCs w:val="20"/>
        </w:rPr>
        <w:t xml:space="preserve"> a global hospitality company. It operates a chain of luxury and full-service hotels and resorts, extended-stay suites, and focused-service hotels. The company offers lodging, food, boarding, restaurants, dining, and loyalty programs. HWHI operates hotels under various brands such as Waldorf Astoria Hotels &amp; Resorts, LXR Hotels &amp; Resorts, Canopy by Hilton, Curio Collection by Hilton, Conrad Hotels &amp; Resorts, Spark by Hilton, Hilton Hotels &amp; Resorts, DoubleTree by Hilton, Embassy Suites by Hilton, Tru by Hilton, Hilton Garden Inn, Hampton by Hilton, Homewood Suites by Hilton, </w:t>
      </w:r>
      <w:proofErr w:type="spellStart"/>
      <w:r w:rsidRPr="005522A1">
        <w:rPr>
          <w:rFonts w:ascii="Century Gothic" w:hAnsi="Century Gothic"/>
          <w:sz w:val="20"/>
          <w:szCs w:val="20"/>
        </w:rPr>
        <w:t>Signia</w:t>
      </w:r>
      <w:proofErr w:type="spellEnd"/>
      <w:r w:rsidRPr="005522A1">
        <w:rPr>
          <w:rFonts w:ascii="Century Gothic" w:hAnsi="Century Gothic"/>
          <w:sz w:val="20"/>
          <w:szCs w:val="20"/>
        </w:rPr>
        <w:t xml:space="preserve"> by Hilton, Motto by Hilton, Home2 Suites by </w:t>
      </w:r>
      <w:proofErr w:type="gramStart"/>
      <w:r w:rsidRPr="005522A1">
        <w:rPr>
          <w:rFonts w:ascii="Century Gothic" w:hAnsi="Century Gothic"/>
          <w:sz w:val="20"/>
          <w:szCs w:val="20"/>
        </w:rPr>
        <w:t>Hilton</w:t>
      </w:r>
      <w:proofErr w:type="gramEnd"/>
      <w:r w:rsidRPr="005522A1">
        <w:rPr>
          <w:rFonts w:ascii="Century Gothic" w:hAnsi="Century Gothic"/>
          <w:sz w:val="20"/>
          <w:szCs w:val="20"/>
        </w:rPr>
        <w:t xml:space="preserve"> and Hilton Grand Vacations. The company manages customer loyalty program under the Hilton Honors brand. HWHI is headquartered in McLean, Virginia, the US</w:t>
      </w:r>
      <w:r w:rsidR="00020D8A">
        <w:rPr>
          <w:rFonts w:ascii="Century Gothic" w:hAnsi="Century Gothic"/>
          <w:sz w:val="20"/>
          <w:szCs w:val="20"/>
        </w:rPr>
        <w:t>.</w:t>
      </w:r>
    </w:p>
    <w:p w14:paraId="4DCB6822" w14:textId="3DF88397" w:rsidR="00861FC1" w:rsidRDefault="00020D8A" w:rsidP="00901ED5">
      <w:pPr>
        <w:jc w:val="both"/>
        <w:rPr>
          <w:rFonts w:ascii="Century Gothic" w:hAnsi="Century Gothic"/>
          <w:sz w:val="20"/>
          <w:szCs w:val="20"/>
        </w:rPr>
      </w:pPr>
      <w:r>
        <w:rPr>
          <w:rFonts w:ascii="Century Gothic" w:hAnsi="Century Gothic"/>
          <w:sz w:val="20"/>
          <w:szCs w:val="20"/>
        </w:rPr>
        <w:t>The company’s re</w:t>
      </w:r>
      <w:r w:rsidR="005A7EEB">
        <w:rPr>
          <w:rFonts w:ascii="Century Gothic" w:hAnsi="Century Gothic"/>
          <w:sz w:val="20"/>
          <w:szCs w:val="20"/>
        </w:rPr>
        <w:t xml:space="preserve">venue drivers are </w:t>
      </w:r>
      <w:proofErr w:type="gramStart"/>
      <w:r w:rsidR="005A7EEB">
        <w:rPr>
          <w:rFonts w:ascii="Century Gothic" w:hAnsi="Century Gothic"/>
          <w:sz w:val="20"/>
          <w:szCs w:val="20"/>
        </w:rPr>
        <w:t>similar to</w:t>
      </w:r>
      <w:proofErr w:type="gramEnd"/>
      <w:r w:rsidR="005A7EEB">
        <w:rPr>
          <w:rFonts w:ascii="Century Gothic" w:hAnsi="Century Gothic"/>
          <w:sz w:val="20"/>
          <w:szCs w:val="20"/>
        </w:rPr>
        <w:t xml:space="preserve"> Marriot</w:t>
      </w:r>
      <w:r w:rsidR="000D61AB">
        <w:rPr>
          <w:rFonts w:ascii="Century Gothic" w:hAnsi="Century Gothic"/>
          <w:sz w:val="20"/>
          <w:szCs w:val="20"/>
        </w:rPr>
        <w:t>. Considering that both companies offer same services which includes licencing, franchise, ma</w:t>
      </w:r>
      <w:r w:rsidR="001A3E1C">
        <w:rPr>
          <w:rFonts w:ascii="Century Gothic" w:hAnsi="Century Gothic"/>
          <w:sz w:val="20"/>
          <w:szCs w:val="20"/>
        </w:rPr>
        <w:t>nagement of hotel</w:t>
      </w:r>
      <w:r w:rsidR="00195F40">
        <w:rPr>
          <w:rFonts w:ascii="Century Gothic" w:hAnsi="Century Gothic"/>
          <w:sz w:val="20"/>
          <w:szCs w:val="20"/>
        </w:rPr>
        <w:t xml:space="preserve"> properties and other hospi</w:t>
      </w:r>
      <w:r w:rsidR="008924BC">
        <w:rPr>
          <w:rFonts w:ascii="Century Gothic" w:hAnsi="Century Gothic"/>
          <w:sz w:val="20"/>
          <w:szCs w:val="20"/>
        </w:rPr>
        <w:t xml:space="preserve">tality and leisure </w:t>
      </w:r>
      <w:r w:rsidR="00861FC1">
        <w:rPr>
          <w:rFonts w:ascii="Century Gothic" w:hAnsi="Century Gothic"/>
          <w:sz w:val="20"/>
          <w:szCs w:val="20"/>
        </w:rPr>
        <w:t xml:space="preserve">products and services. Below are Hilton’s revenue and cost </w:t>
      </w:r>
      <w:proofErr w:type="gramStart"/>
      <w:r w:rsidR="00861FC1">
        <w:rPr>
          <w:rFonts w:ascii="Century Gothic" w:hAnsi="Century Gothic"/>
          <w:sz w:val="20"/>
          <w:szCs w:val="20"/>
        </w:rPr>
        <w:t>drivers</w:t>
      </w:r>
      <w:proofErr w:type="gramEnd"/>
    </w:p>
    <w:tbl>
      <w:tblPr>
        <w:tblStyle w:val="TableGrid"/>
        <w:tblW w:w="0" w:type="auto"/>
        <w:tblLook w:val="04A0" w:firstRow="1" w:lastRow="0" w:firstColumn="1" w:lastColumn="0" w:noHBand="0" w:noVBand="1"/>
      </w:tblPr>
      <w:tblGrid>
        <w:gridCol w:w="4500"/>
        <w:gridCol w:w="4500"/>
      </w:tblGrid>
      <w:tr w:rsidR="00861FC1" w:rsidRPr="00901ED5" w14:paraId="62F5A578" w14:textId="77777777" w:rsidTr="00901ED5">
        <w:trPr>
          <w:trHeight w:val="310"/>
        </w:trPr>
        <w:tc>
          <w:tcPr>
            <w:tcW w:w="4500" w:type="dxa"/>
          </w:tcPr>
          <w:p w14:paraId="715C0ACD" w14:textId="583DB71B" w:rsidR="00861FC1" w:rsidRPr="00901ED5" w:rsidRDefault="00901ED5" w:rsidP="00EF6B1D">
            <w:pPr>
              <w:rPr>
                <w:rFonts w:ascii="Century Gothic" w:hAnsi="Century Gothic"/>
                <w:b/>
                <w:bCs/>
                <w:sz w:val="20"/>
                <w:szCs w:val="20"/>
              </w:rPr>
            </w:pPr>
            <w:r w:rsidRPr="00901ED5">
              <w:rPr>
                <w:rFonts w:ascii="Century Gothic" w:hAnsi="Century Gothic"/>
                <w:b/>
                <w:bCs/>
                <w:sz w:val="20"/>
                <w:szCs w:val="20"/>
              </w:rPr>
              <w:t>Revenue Drivers</w:t>
            </w:r>
          </w:p>
        </w:tc>
        <w:tc>
          <w:tcPr>
            <w:tcW w:w="4500" w:type="dxa"/>
          </w:tcPr>
          <w:p w14:paraId="7317611E" w14:textId="06BFA18E" w:rsidR="00861FC1" w:rsidRPr="00901ED5" w:rsidRDefault="00901ED5" w:rsidP="00EF6B1D">
            <w:pPr>
              <w:rPr>
                <w:rFonts w:ascii="Century Gothic" w:hAnsi="Century Gothic"/>
                <w:b/>
                <w:bCs/>
                <w:sz w:val="20"/>
                <w:szCs w:val="20"/>
              </w:rPr>
            </w:pPr>
            <w:r w:rsidRPr="00901ED5">
              <w:rPr>
                <w:rFonts w:ascii="Century Gothic" w:hAnsi="Century Gothic"/>
                <w:b/>
                <w:bCs/>
                <w:sz w:val="20"/>
                <w:szCs w:val="20"/>
              </w:rPr>
              <w:t>Cost Drivers</w:t>
            </w:r>
          </w:p>
        </w:tc>
      </w:tr>
      <w:tr w:rsidR="00861FC1" w14:paraId="0B9C04C4" w14:textId="77777777" w:rsidTr="00901ED5">
        <w:trPr>
          <w:trHeight w:val="310"/>
        </w:trPr>
        <w:tc>
          <w:tcPr>
            <w:tcW w:w="4500" w:type="dxa"/>
          </w:tcPr>
          <w:p w14:paraId="04D9EA41" w14:textId="0CA4ADA0" w:rsidR="00861FC1" w:rsidRPr="0047656F" w:rsidRDefault="00DD46A9" w:rsidP="00EF6B1D">
            <w:pPr>
              <w:rPr>
                <w:rFonts w:ascii="Century Gothic" w:hAnsi="Century Gothic"/>
                <w:sz w:val="20"/>
                <w:szCs w:val="20"/>
              </w:rPr>
            </w:pPr>
            <w:r w:rsidRPr="0047656F">
              <w:rPr>
                <w:rFonts w:ascii="Century Gothic" w:hAnsi="Century Gothic"/>
                <w:sz w:val="20"/>
                <w:szCs w:val="20"/>
              </w:rPr>
              <w:t>Base Management and Incentive</w:t>
            </w:r>
          </w:p>
        </w:tc>
        <w:tc>
          <w:tcPr>
            <w:tcW w:w="4500" w:type="dxa"/>
          </w:tcPr>
          <w:p w14:paraId="36FC642E" w14:textId="01D3BF88" w:rsidR="00861FC1" w:rsidRPr="0047656F" w:rsidRDefault="0068783B" w:rsidP="00EF6B1D">
            <w:pPr>
              <w:rPr>
                <w:rFonts w:ascii="Century Gothic" w:hAnsi="Century Gothic"/>
                <w:sz w:val="20"/>
                <w:szCs w:val="20"/>
              </w:rPr>
            </w:pPr>
            <w:r w:rsidRPr="0047656F">
              <w:rPr>
                <w:rFonts w:ascii="Century Gothic" w:hAnsi="Century Gothic"/>
                <w:sz w:val="20"/>
                <w:szCs w:val="20"/>
              </w:rPr>
              <w:t>Owned and Leased costs</w:t>
            </w:r>
            <w:r w:rsidR="00BE66EF" w:rsidRPr="0047656F">
              <w:rPr>
                <w:rFonts w:ascii="Century Gothic" w:hAnsi="Century Gothic"/>
                <w:sz w:val="20"/>
                <w:szCs w:val="20"/>
              </w:rPr>
              <w:t xml:space="preserve"> related to the management of owned </w:t>
            </w:r>
            <w:r w:rsidR="0047656F" w:rsidRPr="0047656F">
              <w:rPr>
                <w:rFonts w:ascii="Century Gothic" w:hAnsi="Century Gothic"/>
                <w:sz w:val="20"/>
                <w:szCs w:val="20"/>
              </w:rPr>
              <w:t>and leased hotel properties</w:t>
            </w:r>
          </w:p>
        </w:tc>
      </w:tr>
      <w:tr w:rsidR="00861FC1" w14:paraId="06151B20" w14:textId="77777777" w:rsidTr="00901ED5">
        <w:trPr>
          <w:trHeight w:val="333"/>
        </w:trPr>
        <w:tc>
          <w:tcPr>
            <w:tcW w:w="4500" w:type="dxa"/>
          </w:tcPr>
          <w:p w14:paraId="7B6F94B0" w14:textId="6F732A86" w:rsidR="00861FC1" w:rsidRPr="0047656F" w:rsidRDefault="0025001B" w:rsidP="00EF6B1D">
            <w:pPr>
              <w:rPr>
                <w:rFonts w:ascii="Century Gothic" w:hAnsi="Century Gothic"/>
                <w:sz w:val="20"/>
                <w:szCs w:val="20"/>
              </w:rPr>
            </w:pPr>
            <w:r w:rsidRPr="0047656F">
              <w:rPr>
                <w:rFonts w:ascii="Century Gothic" w:hAnsi="Century Gothic"/>
                <w:sz w:val="20"/>
                <w:szCs w:val="20"/>
              </w:rPr>
              <w:t>Franchise fee and Royalty fee</w:t>
            </w:r>
          </w:p>
        </w:tc>
        <w:tc>
          <w:tcPr>
            <w:tcW w:w="4500" w:type="dxa"/>
          </w:tcPr>
          <w:p w14:paraId="02A81AB4" w14:textId="2761CAF3" w:rsidR="00861FC1" w:rsidRDefault="00BE66EF" w:rsidP="00EF6B1D">
            <w:pPr>
              <w:rPr>
                <w:rFonts w:ascii="Century Gothic" w:hAnsi="Century Gothic"/>
                <w:sz w:val="20"/>
                <w:szCs w:val="20"/>
              </w:rPr>
            </w:pPr>
            <w:r>
              <w:rPr>
                <w:rFonts w:ascii="Century Gothic" w:hAnsi="Century Gothic"/>
                <w:sz w:val="20"/>
                <w:szCs w:val="20"/>
              </w:rPr>
              <w:t>General and Administrative expenses</w:t>
            </w:r>
          </w:p>
        </w:tc>
      </w:tr>
      <w:tr w:rsidR="00861FC1" w14:paraId="2C38B83C" w14:textId="77777777" w:rsidTr="00901ED5">
        <w:trPr>
          <w:trHeight w:val="310"/>
        </w:trPr>
        <w:tc>
          <w:tcPr>
            <w:tcW w:w="4500" w:type="dxa"/>
          </w:tcPr>
          <w:p w14:paraId="72BE42C9" w14:textId="521FB44C" w:rsidR="00861FC1" w:rsidRPr="0047656F" w:rsidRDefault="0025001B" w:rsidP="00EF6B1D">
            <w:pPr>
              <w:rPr>
                <w:rFonts w:ascii="Century Gothic" w:hAnsi="Century Gothic"/>
                <w:sz w:val="20"/>
                <w:szCs w:val="20"/>
              </w:rPr>
            </w:pPr>
            <w:r w:rsidRPr="0047656F">
              <w:rPr>
                <w:rFonts w:ascii="Century Gothic" w:hAnsi="Century Gothic"/>
                <w:sz w:val="20"/>
                <w:szCs w:val="20"/>
              </w:rPr>
              <w:t xml:space="preserve">Owned and Leased Hotel </w:t>
            </w:r>
            <w:r w:rsidR="00193357" w:rsidRPr="0047656F">
              <w:rPr>
                <w:rFonts w:ascii="Century Gothic" w:hAnsi="Century Gothic"/>
                <w:sz w:val="20"/>
                <w:szCs w:val="20"/>
              </w:rPr>
              <w:t>fees</w:t>
            </w:r>
          </w:p>
        </w:tc>
        <w:tc>
          <w:tcPr>
            <w:tcW w:w="4500" w:type="dxa"/>
          </w:tcPr>
          <w:p w14:paraId="081517A5" w14:textId="7147295D" w:rsidR="00861FC1" w:rsidRDefault="0047656F" w:rsidP="00EF6B1D">
            <w:pPr>
              <w:rPr>
                <w:rFonts w:ascii="Century Gothic" w:hAnsi="Century Gothic"/>
                <w:sz w:val="20"/>
                <w:szCs w:val="20"/>
              </w:rPr>
            </w:pPr>
            <w:r>
              <w:rPr>
                <w:rFonts w:ascii="Century Gothic" w:hAnsi="Century Gothic"/>
                <w:sz w:val="20"/>
                <w:szCs w:val="20"/>
              </w:rPr>
              <w:t>Depreciation and Amortization</w:t>
            </w:r>
          </w:p>
        </w:tc>
      </w:tr>
    </w:tbl>
    <w:p w14:paraId="6C4865C1" w14:textId="77777777" w:rsidR="005A7EEB" w:rsidRDefault="005A7EEB" w:rsidP="00EF6B1D">
      <w:pPr>
        <w:rPr>
          <w:rFonts w:ascii="Century Gothic" w:hAnsi="Century Gothic"/>
          <w:sz w:val="20"/>
          <w:szCs w:val="20"/>
        </w:rPr>
      </w:pPr>
    </w:p>
    <w:p w14:paraId="7BFE0826" w14:textId="278D216F" w:rsidR="00232967" w:rsidRDefault="00232967" w:rsidP="00FE1759">
      <w:pPr>
        <w:jc w:val="both"/>
        <w:rPr>
          <w:rFonts w:ascii="Century Gothic" w:hAnsi="Century Gothic"/>
          <w:sz w:val="20"/>
          <w:szCs w:val="20"/>
        </w:rPr>
      </w:pPr>
      <w:r w:rsidRPr="006D2A4C">
        <w:rPr>
          <w:rFonts w:ascii="Century Gothic" w:hAnsi="Century Gothic"/>
          <w:b/>
          <w:bCs/>
          <w:sz w:val="20"/>
          <w:szCs w:val="20"/>
        </w:rPr>
        <w:t>Hyatt Hotels Corp (Hyatt)</w:t>
      </w:r>
      <w:r w:rsidRPr="006D2A4C">
        <w:rPr>
          <w:rFonts w:ascii="Century Gothic" w:hAnsi="Century Gothic"/>
          <w:sz w:val="20"/>
          <w:szCs w:val="20"/>
        </w:rPr>
        <w:t xml:space="preserve"> is a global hospitality company. The company manages franchises, owns, and develops hotels, resorts, and residential properties. Hyatt operates under multiple brands including Unbound Collection by Hyatt, Alila, Destination by Hyatt, Park Hyatt, Andaz, Hyatt, Grand Hyatt, Hyatt Regency, Hyatt Place, Hyatt House, Hyatt Ziva, Miraval, Hyatt Residence Club, Hyatt Zilara, Thompson Hotels, Caption by Hyatt, Joie de Vivre, </w:t>
      </w:r>
      <w:proofErr w:type="spellStart"/>
      <w:r w:rsidRPr="006D2A4C">
        <w:rPr>
          <w:rFonts w:ascii="Century Gothic" w:hAnsi="Century Gothic"/>
          <w:sz w:val="20"/>
          <w:szCs w:val="20"/>
        </w:rPr>
        <w:t>UrCove</w:t>
      </w:r>
      <w:proofErr w:type="spellEnd"/>
      <w:r w:rsidRPr="006D2A4C">
        <w:rPr>
          <w:rFonts w:ascii="Century Gothic" w:hAnsi="Century Gothic"/>
          <w:sz w:val="20"/>
          <w:szCs w:val="20"/>
        </w:rPr>
        <w:t xml:space="preserve">, and </w:t>
      </w:r>
      <w:r w:rsidRPr="006D2A4C">
        <w:rPr>
          <w:rFonts w:ascii="Century Gothic" w:hAnsi="Century Gothic"/>
          <w:sz w:val="20"/>
          <w:szCs w:val="20"/>
        </w:rPr>
        <w:lastRenderedPageBreak/>
        <w:t xml:space="preserve">Hyatt Centric. The restaurants and bars inside hotels offer a wide variety of food and beverages and provide a range of services. The company’s hotels are usually located in high-density areas such as urban, airport, suburban, and convention and resort destinations. It has a business presence across Europe, North America, and Asia. Hyatt is headquartered in Chicago, Illinois, </w:t>
      </w:r>
      <w:r>
        <w:rPr>
          <w:rFonts w:ascii="Century Gothic" w:hAnsi="Century Gothic"/>
          <w:sz w:val="20"/>
          <w:szCs w:val="20"/>
        </w:rPr>
        <w:t>United States</w:t>
      </w:r>
    </w:p>
    <w:p w14:paraId="6CBA90A9" w14:textId="691B3F80" w:rsidR="00BB0585" w:rsidRDefault="00BB0585" w:rsidP="00BB0585">
      <w:pPr>
        <w:jc w:val="both"/>
        <w:rPr>
          <w:rFonts w:ascii="Century Gothic" w:hAnsi="Century Gothic"/>
          <w:sz w:val="20"/>
          <w:szCs w:val="20"/>
        </w:rPr>
      </w:pPr>
      <w:r>
        <w:rPr>
          <w:rFonts w:ascii="Century Gothic" w:hAnsi="Century Gothic"/>
          <w:sz w:val="20"/>
          <w:szCs w:val="20"/>
        </w:rPr>
        <w:t xml:space="preserve">The company’s revenue drivers are </w:t>
      </w:r>
      <w:proofErr w:type="gramStart"/>
      <w:r>
        <w:rPr>
          <w:rFonts w:ascii="Century Gothic" w:hAnsi="Century Gothic"/>
          <w:sz w:val="20"/>
          <w:szCs w:val="20"/>
        </w:rPr>
        <w:t>similar to</w:t>
      </w:r>
      <w:proofErr w:type="gramEnd"/>
      <w:r>
        <w:rPr>
          <w:rFonts w:ascii="Century Gothic" w:hAnsi="Century Gothic"/>
          <w:sz w:val="20"/>
          <w:szCs w:val="20"/>
        </w:rPr>
        <w:t xml:space="preserve"> Marriot. Considering that both companies offer same services which includes licencing, franchise, management of hotel properties and other hospitality and leisure products and services. Below are Hilton’s revenue and cost drivers</w:t>
      </w:r>
      <w:r w:rsidR="0047656F">
        <w:rPr>
          <w:rFonts w:ascii="Century Gothic" w:hAnsi="Century Gothic"/>
          <w:sz w:val="20"/>
          <w:szCs w:val="20"/>
        </w:rPr>
        <w:t>:</w:t>
      </w:r>
    </w:p>
    <w:tbl>
      <w:tblPr>
        <w:tblStyle w:val="TableGrid"/>
        <w:tblW w:w="0" w:type="auto"/>
        <w:tblLook w:val="04A0" w:firstRow="1" w:lastRow="0" w:firstColumn="1" w:lastColumn="0" w:noHBand="0" w:noVBand="1"/>
      </w:tblPr>
      <w:tblGrid>
        <w:gridCol w:w="4500"/>
        <w:gridCol w:w="4500"/>
      </w:tblGrid>
      <w:tr w:rsidR="0047656F" w:rsidRPr="00901ED5" w14:paraId="6AA3B891" w14:textId="77777777" w:rsidTr="009A69E1">
        <w:trPr>
          <w:trHeight w:val="310"/>
        </w:trPr>
        <w:tc>
          <w:tcPr>
            <w:tcW w:w="4500" w:type="dxa"/>
          </w:tcPr>
          <w:p w14:paraId="5EAAC3BA" w14:textId="77777777" w:rsidR="0047656F" w:rsidRPr="00901ED5" w:rsidRDefault="0047656F" w:rsidP="009A69E1">
            <w:pPr>
              <w:rPr>
                <w:rFonts w:ascii="Century Gothic" w:hAnsi="Century Gothic"/>
                <w:b/>
                <w:bCs/>
                <w:sz w:val="20"/>
                <w:szCs w:val="20"/>
              </w:rPr>
            </w:pPr>
            <w:r w:rsidRPr="00901ED5">
              <w:rPr>
                <w:rFonts w:ascii="Century Gothic" w:hAnsi="Century Gothic"/>
                <w:b/>
                <w:bCs/>
                <w:sz w:val="20"/>
                <w:szCs w:val="20"/>
              </w:rPr>
              <w:t>Revenue Drivers</w:t>
            </w:r>
          </w:p>
        </w:tc>
        <w:tc>
          <w:tcPr>
            <w:tcW w:w="4500" w:type="dxa"/>
          </w:tcPr>
          <w:p w14:paraId="5823A5FD" w14:textId="77777777" w:rsidR="0047656F" w:rsidRPr="00901ED5" w:rsidRDefault="0047656F" w:rsidP="009A69E1">
            <w:pPr>
              <w:rPr>
                <w:rFonts w:ascii="Century Gothic" w:hAnsi="Century Gothic"/>
                <w:b/>
                <w:bCs/>
                <w:sz w:val="20"/>
                <w:szCs w:val="20"/>
              </w:rPr>
            </w:pPr>
            <w:r w:rsidRPr="00901ED5">
              <w:rPr>
                <w:rFonts w:ascii="Century Gothic" w:hAnsi="Century Gothic"/>
                <w:b/>
                <w:bCs/>
                <w:sz w:val="20"/>
                <w:szCs w:val="20"/>
              </w:rPr>
              <w:t>Cost Drivers</w:t>
            </w:r>
          </w:p>
        </w:tc>
      </w:tr>
      <w:tr w:rsidR="0047656F" w14:paraId="7309BDB0" w14:textId="77777777" w:rsidTr="009A69E1">
        <w:trPr>
          <w:trHeight w:val="310"/>
        </w:trPr>
        <w:tc>
          <w:tcPr>
            <w:tcW w:w="4500" w:type="dxa"/>
          </w:tcPr>
          <w:p w14:paraId="25EC94D4"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Base Management and Incentive</w:t>
            </w:r>
          </w:p>
        </w:tc>
        <w:tc>
          <w:tcPr>
            <w:tcW w:w="4500" w:type="dxa"/>
          </w:tcPr>
          <w:p w14:paraId="0016500D"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Owned and Leased costs related to the management of owned and leased hotel properties</w:t>
            </w:r>
          </w:p>
        </w:tc>
      </w:tr>
      <w:tr w:rsidR="0047656F" w14:paraId="079EDF15" w14:textId="77777777" w:rsidTr="009A69E1">
        <w:trPr>
          <w:trHeight w:val="333"/>
        </w:trPr>
        <w:tc>
          <w:tcPr>
            <w:tcW w:w="4500" w:type="dxa"/>
          </w:tcPr>
          <w:p w14:paraId="57BF0744"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Franchise fee and Royalty fee</w:t>
            </w:r>
          </w:p>
        </w:tc>
        <w:tc>
          <w:tcPr>
            <w:tcW w:w="4500" w:type="dxa"/>
          </w:tcPr>
          <w:p w14:paraId="5686ACC5" w14:textId="77777777" w:rsidR="0047656F" w:rsidRDefault="0047656F" w:rsidP="009A69E1">
            <w:pPr>
              <w:rPr>
                <w:rFonts w:ascii="Century Gothic" w:hAnsi="Century Gothic"/>
                <w:sz w:val="20"/>
                <w:szCs w:val="20"/>
              </w:rPr>
            </w:pPr>
            <w:r>
              <w:rPr>
                <w:rFonts w:ascii="Century Gothic" w:hAnsi="Century Gothic"/>
                <w:sz w:val="20"/>
                <w:szCs w:val="20"/>
              </w:rPr>
              <w:t>General and Administrative expenses</w:t>
            </w:r>
          </w:p>
        </w:tc>
      </w:tr>
      <w:tr w:rsidR="0047656F" w14:paraId="70041EB7" w14:textId="77777777" w:rsidTr="009A69E1">
        <w:trPr>
          <w:trHeight w:val="310"/>
        </w:trPr>
        <w:tc>
          <w:tcPr>
            <w:tcW w:w="4500" w:type="dxa"/>
          </w:tcPr>
          <w:p w14:paraId="74E0D01D" w14:textId="77777777" w:rsidR="0047656F" w:rsidRPr="0047656F" w:rsidRDefault="0047656F" w:rsidP="009A69E1">
            <w:pPr>
              <w:rPr>
                <w:rFonts w:ascii="Century Gothic" w:hAnsi="Century Gothic"/>
                <w:sz w:val="20"/>
                <w:szCs w:val="20"/>
              </w:rPr>
            </w:pPr>
            <w:r w:rsidRPr="0047656F">
              <w:rPr>
                <w:rFonts w:ascii="Century Gothic" w:hAnsi="Century Gothic"/>
                <w:sz w:val="20"/>
                <w:szCs w:val="20"/>
              </w:rPr>
              <w:t>Owned and Leased Hotel fees</w:t>
            </w:r>
          </w:p>
        </w:tc>
        <w:tc>
          <w:tcPr>
            <w:tcW w:w="4500" w:type="dxa"/>
          </w:tcPr>
          <w:p w14:paraId="6F9CDE2C" w14:textId="77777777" w:rsidR="0047656F" w:rsidRDefault="0047656F" w:rsidP="009A69E1">
            <w:pPr>
              <w:rPr>
                <w:rFonts w:ascii="Century Gothic" w:hAnsi="Century Gothic"/>
                <w:sz w:val="20"/>
                <w:szCs w:val="20"/>
              </w:rPr>
            </w:pPr>
            <w:r>
              <w:rPr>
                <w:rFonts w:ascii="Century Gothic" w:hAnsi="Century Gothic"/>
                <w:sz w:val="20"/>
                <w:szCs w:val="20"/>
              </w:rPr>
              <w:t>Depreciation and Amortization</w:t>
            </w:r>
          </w:p>
        </w:tc>
      </w:tr>
    </w:tbl>
    <w:p w14:paraId="0B64981D" w14:textId="77777777" w:rsidR="00BB0585" w:rsidRDefault="00BB0585" w:rsidP="00FE1759">
      <w:pPr>
        <w:jc w:val="both"/>
        <w:rPr>
          <w:rFonts w:ascii="Century Gothic" w:hAnsi="Century Gothic"/>
          <w:b/>
          <w:bCs/>
          <w:sz w:val="20"/>
          <w:szCs w:val="20"/>
        </w:rPr>
      </w:pPr>
    </w:p>
    <w:p w14:paraId="6AD7AEEF" w14:textId="77777777" w:rsidR="00FC6595" w:rsidRDefault="00FC6595" w:rsidP="00EF6B1D">
      <w:pPr>
        <w:rPr>
          <w:rFonts w:ascii="Century Gothic" w:hAnsi="Century Gothic"/>
          <w:b/>
          <w:bCs/>
          <w:sz w:val="20"/>
          <w:szCs w:val="20"/>
        </w:rPr>
      </w:pPr>
    </w:p>
    <w:p w14:paraId="1290B7C6" w14:textId="4FEA3B8F" w:rsidR="006969AC" w:rsidRDefault="008623E7" w:rsidP="007705D3">
      <w:pPr>
        <w:jc w:val="both"/>
        <w:rPr>
          <w:rFonts w:ascii="Century Gothic" w:hAnsi="Century Gothic"/>
          <w:sz w:val="20"/>
          <w:szCs w:val="20"/>
        </w:rPr>
      </w:pPr>
      <w:r w:rsidRPr="00A9069E">
        <w:rPr>
          <w:rFonts w:ascii="Century Gothic" w:hAnsi="Century Gothic"/>
          <w:b/>
          <w:bCs/>
          <w:sz w:val="20"/>
          <w:szCs w:val="20"/>
        </w:rPr>
        <w:t>Johnson &amp; Johnson (J&amp;J</w:t>
      </w:r>
      <w:r w:rsidRPr="00A9069E">
        <w:rPr>
          <w:rFonts w:ascii="Century Gothic" w:hAnsi="Century Gothic"/>
          <w:sz w:val="20"/>
          <w:szCs w:val="20"/>
        </w:rPr>
        <w:t xml:space="preserve">)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women’s </w:t>
      </w:r>
      <w:proofErr w:type="gramStart"/>
      <w:r w:rsidRPr="00A9069E">
        <w:rPr>
          <w:rFonts w:ascii="Century Gothic" w:hAnsi="Century Gothic"/>
          <w:sz w:val="20"/>
          <w:szCs w:val="20"/>
        </w:rPr>
        <w:t>health</w:t>
      </w:r>
      <w:proofErr w:type="gramEnd"/>
      <w:r w:rsidRPr="00A9069E">
        <w:rPr>
          <w:rFonts w:ascii="Century Gothic" w:hAnsi="Century Gothic"/>
          <w:sz w:val="20"/>
          <w:szCs w:val="20"/>
        </w:rPr>
        <w:t xml:space="preserve"> and wound care categories; and medical devices for use in the cardiovascular, orthopaedic, neurovascular care, general surgery and vision care fields. J&amp;J distributes pharmaceutical and medical products to retailers, wholesalers, health care professionals and hospitals; and offers consumer products through retail outlets and distributors. The company offers its products in the US; Europe; Asia-Pacific and Africa; and Western Hemisphere (excluding the US). J&amp;J is headquartered in New Brunswick, New Jersey, the US.</w:t>
      </w:r>
    </w:p>
    <w:p w14:paraId="3A61A8E9" w14:textId="77777777" w:rsidR="00A264AA" w:rsidRDefault="00A264AA" w:rsidP="007705D3">
      <w:pPr>
        <w:jc w:val="both"/>
        <w:rPr>
          <w:rFonts w:ascii="Century Gothic" w:hAnsi="Century Gothic"/>
          <w:sz w:val="20"/>
          <w:szCs w:val="20"/>
        </w:rPr>
      </w:pPr>
    </w:p>
    <w:p w14:paraId="5BEC87F4" w14:textId="77777777" w:rsidR="00A264AA" w:rsidRDefault="00A264AA" w:rsidP="00A264AA">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1C288D16" w14:textId="77777777" w:rsidR="00A264AA" w:rsidRDefault="00A264AA" w:rsidP="00A264AA">
      <w:pPr>
        <w:pStyle w:val="Default"/>
        <w:spacing w:after="240" w:line="240" w:lineRule="auto"/>
        <w:rPr>
          <w:rFonts w:ascii="Times New Roman" w:eastAsia="Times New Roman" w:hAnsi="Times New Roman" w:cs="Times New Roman"/>
          <w:sz w:val="24"/>
          <w:szCs w:val="24"/>
        </w:rPr>
      </w:pPr>
    </w:p>
    <w:p w14:paraId="5AB9389E" w14:textId="77777777" w:rsidR="00A264AA" w:rsidRPr="00556097" w:rsidRDefault="00A264AA" w:rsidP="00A264AA">
      <w:pPr>
        <w:rPr>
          <w:highlight w:val="green"/>
          <w:u w:val="single"/>
        </w:rPr>
      </w:pPr>
      <w:r w:rsidRPr="00556097">
        <w:rPr>
          <w:highlight w:val="green"/>
          <w:u w:val="single"/>
        </w:rPr>
        <w:t>Cost Drivers</w:t>
      </w:r>
      <w:r>
        <w:rPr>
          <w:highlight w:val="green"/>
          <w:u w:val="single"/>
        </w:rPr>
        <w:t xml:space="preserve"> – as % of revenue (trend analysis)</w:t>
      </w:r>
    </w:p>
    <w:p w14:paraId="0EBDE503" w14:textId="77777777" w:rsidR="00A264AA" w:rsidRPr="00556097" w:rsidRDefault="00A264AA" w:rsidP="00A264AA">
      <w:pPr>
        <w:pStyle w:val="ListParagraph"/>
        <w:numPr>
          <w:ilvl w:val="0"/>
          <w:numId w:val="3"/>
        </w:numPr>
        <w:rPr>
          <w:highlight w:val="green"/>
          <w:u w:val="single"/>
        </w:rPr>
      </w:pPr>
      <w:r w:rsidRPr="00556097">
        <w:rPr>
          <w:highlight w:val="green"/>
        </w:rPr>
        <w:t>Selling, Marketing and Administrative Expenses</w:t>
      </w:r>
    </w:p>
    <w:p w14:paraId="26074EE0" w14:textId="77777777" w:rsidR="00A264AA" w:rsidRPr="00556097" w:rsidRDefault="00A264AA" w:rsidP="00A264AA">
      <w:pPr>
        <w:pStyle w:val="ListParagraph"/>
        <w:numPr>
          <w:ilvl w:val="0"/>
          <w:numId w:val="3"/>
        </w:numPr>
        <w:rPr>
          <w:highlight w:val="green"/>
          <w:u w:val="single"/>
        </w:rPr>
      </w:pPr>
      <w:r w:rsidRPr="00556097">
        <w:rPr>
          <w:highlight w:val="green"/>
        </w:rPr>
        <w:t>Research and Development Expenses</w:t>
      </w:r>
    </w:p>
    <w:p w14:paraId="0169B65B" w14:textId="77777777" w:rsidR="00A264AA" w:rsidRPr="00E10FB1" w:rsidRDefault="00A264AA" w:rsidP="00A264AA">
      <w:pPr>
        <w:pStyle w:val="ListParagraph"/>
        <w:numPr>
          <w:ilvl w:val="0"/>
          <w:numId w:val="3"/>
        </w:numPr>
        <w:rPr>
          <w:highlight w:val="green"/>
          <w:u w:val="single"/>
        </w:rPr>
      </w:pPr>
      <w:r w:rsidRPr="00556097">
        <w:rPr>
          <w:highlight w:val="green"/>
        </w:rPr>
        <w:t>In-process research and development</w:t>
      </w:r>
    </w:p>
    <w:p w14:paraId="4F855F67" w14:textId="77777777" w:rsidR="00A264AA" w:rsidRPr="00E10FB1" w:rsidRDefault="00A264AA" w:rsidP="00A264AA">
      <w:pPr>
        <w:pStyle w:val="ListParagraph"/>
        <w:numPr>
          <w:ilvl w:val="0"/>
          <w:numId w:val="3"/>
        </w:numPr>
        <w:rPr>
          <w:highlight w:val="green"/>
          <w:u w:val="single"/>
        </w:rPr>
      </w:pPr>
      <w:r w:rsidRPr="00E10FB1">
        <w:rPr>
          <w:highlight w:val="green"/>
        </w:rPr>
        <w:t xml:space="preserve">Cost of products </w:t>
      </w:r>
      <w:proofErr w:type="gramStart"/>
      <w:r w:rsidRPr="00E10FB1">
        <w:rPr>
          <w:highlight w:val="green"/>
        </w:rPr>
        <w:t>sold</w:t>
      </w:r>
      <w:proofErr w:type="gramEnd"/>
    </w:p>
    <w:p w14:paraId="5B54B690" w14:textId="77777777" w:rsidR="00A264AA" w:rsidRPr="007705D3" w:rsidRDefault="00A264AA" w:rsidP="007705D3">
      <w:pPr>
        <w:jc w:val="both"/>
        <w:rPr>
          <w:rFonts w:ascii="Century Gothic" w:hAnsi="Century Gothic"/>
          <w:sz w:val="20"/>
          <w:szCs w:val="20"/>
        </w:rPr>
      </w:pPr>
    </w:p>
    <w:sectPr w:rsidR="00A264AA" w:rsidRPr="00770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0E95"/>
    <w:multiLevelType w:val="hybridMultilevel"/>
    <w:tmpl w:val="649C5416"/>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B2B38"/>
    <w:multiLevelType w:val="hybridMultilevel"/>
    <w:tmpl w:val="7E365F10"/>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5799">
    <w:abstractNumId w:val="0"/>
  </w:num>
  <w:num w:numId="2" w16cid:durableId="595091314">
    <w:abstractNumId w:val="2"/>
  </w:num>
  <w:num w:numId="3" w16cid:durableId="372845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75"/>
    <w:rsid w:val="00001CAC"/>
    <w:rsid w:val="00011508"/>
    <w:rsid w:val="00014540"/>
    <w:rsid w:val="00020D8A"/>
    <w:rsid w:val="00045C4C"/>
    <w:rsid w:val="00066F0A"/>
    <w:rsid w:val="00081001"/>
    <w:rsid w:val="00083E59"/>
    <w:rsid w:val="000B2C3E"/>
    <w:rsid w:val="000C37BC"/>
    <w:rsid w:val="000D61AB"/>
    <w:rsid w:val="000E3819"/>
    <w:rsid w:val="000E6116"/>
    <w:rsid w:val="000F642F"/>
    <w:rsid w:val="00105F12"/>
    <w:rsid w:val="001077E2"/>
    <w:rsid w:val="001148B6"/>
    <w:rsid w:val="001217BD"/>
    <w:rsid w:val="0014441D"/>
    <w:rsid w:val="00193357"/>
    <w:rsid w:val="00195F40"/>
    <w:rsid w:val="001A2C12"/>
    <w:rsid w:val="001A3E1C"/>
    <w:rsid w:val="001E1382"/>
    <w:rsid w:val="001F0413"/>
    <w:rsid w:val="00232967"/>
    <w:rsid w:val="00244DE9"/>
    <w:rsid w:val="0025001B"/>
    <w:rsid w:val="00254443"/>
    <w:rsid w:val="002B3438"/>
    <w:rsid w:val="002E5D77"/>
    <w:rsid w:val="0033289F"/>
    <w:rsid w:val="00334CC6"/>
    <w:rsid w:val="0033569A"/>
    <w:rsid w:val="00366A87"/>
    <w:rsid w:val="00370520"/>
    <w:rsid w:val="00377B71"/>
    <w:rsid w:val="003800D9"/>
    <w:rsid w:val="00384062"/>
    <w:rsid w:val="00387D7B"/>
    <w:rsid w:val="003A4285"/>
    <w:rsid w:val="003F3BB3"/>
    <w:rsid w:val="003F63BA"/>
    <w:rsid w:val="00410D22"/>
    <w:rsid w:val="00416C34"/>
    <w:rsid w:val="004667BB"/>
    <w:rsid w:val="0047656F"/>
    <w:rsid w:val="004A2A45"/>
    <w:rsid w:val="004B12FF"/>
    <w:rsid w:val="00513DB7"/>
    <w:rsid w:val="005A0A32"/>
    <w:rsid w:val="005A7EEB"/>
    <w:rsid w:val="005D159C"/>
    <w:rsid w:val="005E7C41"/>
    <w:rsid w:val="005F46CB"/>
    <w:rsid w:val="00600FEB"/>
    <w:rsid w:val="00645118"/>
    <w:rsid w:val="006562C4"/>
    <w:rsid w:val="0068783B"/>
    <w:rsid w:val="006969AC"/>
    <w:rsid w:val="006B1BEB"/>
    <w:rsid w:val="006D3796"/>
    <w:rsid w:val="00700852"/>
    <w:rsid w:val="00707A2A"/>
    <w:rsid w:val="00741CF5"/>
    <w:rsid w:val="0074564C"/>
    <w:rsid w:val="007705D3"/>
    <w:rsid w:val="00774A36"/>
    <w:rsid w:val="007A4AD5"/>
    <w:rsid w:val="007A5D58"/>
    <w:rsid w:val="007D3284"/>
    <w:rsid w:val="007E0AAB"/>
    <w:rsid w:val="0080585C"/>
    <w:rsid w:val="00824D4D"/>
    <w:rsid w:val="00861F51"/>
    <w:rsid w:val="00861FC1"/>
    <w:rsid w:val="008623E7"/>
    <w:rsid w:val="00877367"/>
    <w:rsid w:val="00877C83"/>
    <w:rsid w:val="0088505D"/>
    <w:rsid w:val="008924BC"/>
    <w:rsid w:val="008B4F05"/>
    <w:rsid w:val="008D61B0"/>
    <w:rsid w:val="009009C9"/>
    <w:rsid w:val="00901ED5"/>
    <w:rsid w:val="009256D3"/>
    <w:rsid w:val="009406B0"/>
    <w:rsid w:val="00940B3B"/>
    <w:rsid w:val="00957F01"/>
    <w:rsid w:val="00985245"/>
    <w:rsid w:val="00A00291"/>
    <w:rsid w:val="00A05EAC"/>
    <w:rsid w:val="00A20329"/>
    <w:rsid w:val="00A22BC2"/>
    <w:rsid w:val="00A264AA"/>
    <w:rsid w:val="00A3611C"/>
    <w:rsid w:val="00A43CAD"/>
    <w:rsid w:val="00A9152A"/>
    <w:rsid w:val="00AA48AC"/>
    <w:rsid w:val="00AE3F3C"/>
    <w:rsid w:val="00B0313E"/>
    <w:rsid w:val="00B3583E"/>
    <w:rsid w:val="00B5234A"/>
    <w:rsid w:val="00B85F6A"/>
    <w:rsid w:val="00BA58A7"/>
    <w:rsid w:val="00BB0585"/>
    <w:rsid w:val="00BB31E9"/>
    <w:rsid w:val="00BE66EF"/>
    <w:rsid w:val="00C04931"/>
    <w:rsid w:val="00C057FE"/>
    <w:rsid w:val="00C15DFD"/>
    <w:rsid w:val="00C4627F"/>
    <w:rsid w:val="00C47161"/>
    <w:rsid w:val="00C625A4"/>
    <w:rsid w:val="00C83775"/>
    <w:rsid w:val="00C85A4A"/>
    <w:rsid w:val="00C91BF0"/>
    <w:rsid w:val="00CB44FE"/>
    <w:rsid w:val="00CC5E94"/>
    <w:rsid w:val="00CF6352"/>
    <w:rsid w:val="00D4466B"/>
    <w:rsid w:val="00D5213E"/>
    <w:rsid w:val="00D56D82"/>
    <w:rsid w:val="00D82567"/>
    <w:rsid w:val="00D9420D"/>
    <w:rsid w:val="00DA2FB8"/>
    <w:rsid w:val="00DC6EA4"/>
    <w:rsid w:val="00DD46A9"/>
    <w:rsid w:val="00DE3AFF"/>
    <w:rsid w:val="00E50824"/>
    <w:rsid w:val="00E82511"/>
    <w:rsid w:val="00E97BE6"/>
    <w:rsid w:val="00EB0F74"/>
    <w:rsid w:val="00EB6E39"/>
    <w:rsid w:val="00EC7CDE"/>
    <w:rsid w:val="00ED528D"/>
    <w:rsid w:val="00EF4E89"/>
    <w:rsid w:val="00EF6B1D"/>
    <w:rsid w:val="00F0494F"/>
    <w:rsid w:val="00F15438"/>
    <w:rsid w:val="00F54B5C"/>
    <w:rsid w:val="00F67A94"/>
    <w:rsid w:val="00F83369"/>
    <w:rsid w:val="00FC6595"/>
    <w:rsid w:val="00FE1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0951"/>
  <w15:chartTrackingRefBased/>
  <w15:docId w15:val="{BC9E3320-97AE-45BF-B1A6-29E0AB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B0"/>
    <w:pPr>
      <w:ind w:left="720"/>
      <w:contextualSpacing/>
    </w:pPr>
  </w:style>
  <w:style w:type="paragraph" w:customStyle="1" w:styleId="Default">
    <w:name w:val="Default"/>
    <w:rsid w:val="00A264AA"/>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bal\Downloads\1694601778_Task%204%20Revenue%20&amp;%20Cost%20Driv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r>
              <a:rPr lang="en-GB" sz="1000"/>
              <a:t>Gross Revenue Breakdown($'million)</a:t>
            </a:r>
          </a:p>
        </c:rich>
      </c:tx>
      <c:layout>
        <c:manualLayout>
          <c:xMode val="edge"/>
          <c:yMode val="edge"/>
          <c:x val="0.3949701246133891"/>
          <c:y val="2.059732234809474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en-US"/>
        </a:p>
      </c:txPr>
    </c:title>
    <c:autoTitleDeleted val="0"/>
    <c:plotArea>
      <c:layout>
        <c:manualLayout>
          <c:layoutTarget val="inner"/>
          <c:xMode val="edge"/>
          <c:yMode val="edge"/>
          <c:x val="9.183615947473435E-2"/>
          <c:y val="0.18436718702531432"/>
          <c:w val="0.75435366847232455"/>
          <c:h val="0.56352298632005093"/>
        </c:manualLayout>
      </c:layout>
      <c:barChart>
        <c:barDir val="col"/>
        <c:grouping val="clustered"/>
        <c:varyColors val="0"/>
        <c:ser>
          <c:idx val="0"/>
          <c:order val="0"/>
          <c:tx>
            <c:strRef>
              <c:f>Sheet1!$B$3</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Sheet1!$B$4:$B$7</c:f>
              <c:numCache>
                <c:formatCode>_-* #,##0_-;\-* #,##0_-;_-* "-"??_-;_-@_-</c:formatCode>
                <c:ptCount val="4"/>
                <c:pt idx="0">
                  <c:v>669</c:v>
                </c:pt>
                <c:pt idx="1">
                  <c:v>1790</c:v>
                </c:pt>
                <c:pt idx="2">
                  <c:v>235</c:v>
                </c:pt>
                <c:pt idx="3">
                  <c:v>796</c:v>
                </c:pt>
              </c:numCache>
            </c:numRef>
          </c:val>
          <c:extLst>
            <c:ext xmlns:c16="http://schemas.microsoft.com/office/drawing/2014/chart" uri="{C3380CC4-5D6E-409C-BE32-E72D297353CC}">
              <c16:uniqueId val="{00000000-B687-4063-85BD-4FE504FF6438}"/>
            </c:ext>
          </c:extLst>
        </c:ser>
        <c:ser>
          <c:idx val="1"/>
          <c:order val="1"/>
          <c:tx>
            <c:strRef>
              <c:f>Sheet1!$C$3</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Sheet1!$C$4:$C$7</c:f>
              <c:numCache>
                <c:formatCode>_-* #,##0_-;\-* #,##0_-;_-* "-"??_-;_-@_-</c:formatCode>
                <c:ptCount val="4"/>
                <c:pt idx="0">
                  <c:v>1004</c:v>
                </c:pt>
                <c:pt idx="1">
                  <c:v>2505</c:v>
                </c:pt>
                <c:pt idx="2">
                  <c:v>529</c:v>
                </c:pt>
                <c:pt idx="3">
                  <c:v>1367</c:v>
                </c:pt>
              </c:numCache>
            </c:numRef>
          </c:val>
          <c:extLst>
            <c:ext xmlns:c16="http://schemas.microsoft.com/office/drawing/2014/chart" uri="{C3380CC4-5D6E-409C-BE32-E72D297353CC}">
              <c16:uniqueId val="{00000001-B687-4063-85BD-4FE504FF6438}"/>
            </c:ext>
          </c:extLst>
        </c:ser>
        <c:dLbls>
          <c:showLegendKey val="0"/>
          <c:showVal val="1"/>
          <c:showCatName val="0"/>
          <c:showSerName val="0"/>
          <c:showPercent val="0"/>
          <c:showBubbleSize val="0"/>
        </c:dLbls>
        <c:gapWidth val="219"/>
        <c:overlap val="-27"/>
        <c:axId val="438509935"/>
        <c:axId val="557812031"/>
      </c:barChart>
      <c:lineChart>
        <c:grouping val="standard"/>
        <c:varyColors val="0"/>
        <c:ser>
          <c:idx val="2"/>
          <c:order val="2"/>
          <c:tx>
            <c:strRef>
              <c:f>Sheet1!$D$3</c:f>
              <c:strCache>
                <c:ptCount val="1"/>
                <c:pt idx="0">
                  <c:v>Change(%)</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Sheet1!$A$4:$A$7</c:f>
              <c:strCache>
                <c:ptCount val="4"/>
                <c:pt idx="0">
                  <c:v>Basic and Management Fee</c:v>
                </c:pt>
                <c:pt idx="1">
                  <c:v>Franchise Fee</c:v>
                </c:pt>
                <c:pt idx="2">
                  <c:v>Incentive Management Fee</c:v>
                </c:pt>
                <c:pt idx="3">
                  <c:v>Owned and Leased Fee</c:v>
                </c:pt>
              </c:strCache>
            </c:strRef>
          </c:cat>
          <c:val>
            <c:numRef>
              <c:f>Sheet1!$D$4:$D$7</c:f>
              <c:numCache>
                <c:formatCode>0%</c:formatCode>
                <c:ptCount val="4"/>
                <c:pt idx="0">
                  <c:v>0.50074738415545594</c:v>
                </c:pt>
                <c:pt idx="1">
                  <c:v>0.3994413407821229</c:v>
                </c:pt>
                <c:pt idx="2">
                  <c:v>1.2510638297872341</c:v>
                </c:pt>
                <c:pt idx="3">
                  <c:v>0.71733668341708545</c:v>
                </c:pt>
              </c:numCache>
            </c:numRef>
          </c:val>
          <c:smooth val="0"/>
          <c:extLst>
            <c:ext xmlns:c16="http://schemas.microsoft.com/office/drawing/2014/chart" uri="{C3380CC4-5D6E-409C-BE32-E72D297353CC}">
              <c16:uniqueId val="{00000002-B687-4063-85BD-4FE504FF6438}"/>
            </c:ext>
          </c:extLst>
        </c:ser>
        <c:dLbls>
          <c:showLegendKey val="0"/>
          <c:showVal val="1"/>
          <c:showCatName val="0"/>
          <c:showSerName val="0"/>
          <c:showPercent val="0"/>
          <c:showBubbleSize val="0"/>
        </c:dLbls>
        <c:marker val="1"/>
        <c:smooth val="0"/>
        <c:axId val="438525295"/>
        <c:axId val="557810047"/>
      </c:lineChart>
      <c:catAx>
        <c:axId val="43850993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557812031"/>
        <c:crosses val="autoZero"/>
        <c:auto val="1"/>
        <c:lblAlgn val="ctr"/>
        <c:lblOffset val="100"/>
        <c:noMultiLvlLbl val="0"/>
      </c:catAx>
      <c:valAx>
        <c:axId val="557812031"/>
        <c:scaling>
          <c:orientation val="minMax"/>
        </c:scaling>
        <c:delete val="0"/>
        <c:axPos val="l"/>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438509935"/>
        <c:crosses val="autoZero"/>
        <c:crossBetween val="between"/>
      </c:valAx>
      <c:valAx>
        <c:axId val="557810047"/>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438525295"/>
        <c:crosses val="max"/>
        <c:crossBetween val="between"/>
      </c:valAx>
      <c:catAx>
        <c:axId val="438525295"/>
        <c:scaling>
          <c:orientation val="minMax"/>
        </c:scaling>
        <c:delete val="1"/>
        <c:axPos val="t"/>
        <c:numFmt formatCode="General" sourceLinked="1"/>
        <c:majorTickMark val="out"/>
        <c:minorTickMark val="none"/>
        <c:tickLblPos val="nextTo"/>
        <c:crossAx val="557810047"/>
        <c:crosses val="max"/>
        <c:auto val="1"/>
        <c:lblAlgn val="ctr"/>
        <c:lblOffset val="100"/>
        <c:noMultiLvlLbl val="0"/>
      </c:catAx>
      <c:spPr>
        <a:noFill/>
        <a:ln>
          <a:noFill/>
        </a:ln>
        <a:effectLst/>
      </c:spPr>
    </c:plotArea>
    <c:legend>
      <c:legendPos val="r"/>
      <c:layout>
        <c:manualLayout>
          <c:xMode val="edge"/>
          <c:yMode val="edge"/>
          <c:x val="0.30050794298085171"/>
          <c:y val="0.92562509423389805"/>
          <c:w val="0.43589126563539232"/>
          <c:h val="5.11620854834398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F10DE5A0143458839880AD7F7C682" ma:contentTypeVersion="3" ma:contentTypeDescription="Create a new document." ma:contentTypeScope="" ma:versionID="ca7b2455712dceebcc1bc8054c40f34c">
  <xsd:schema xmlns:xsd="http://www.w3.org/2001/XMLSchema" xmlns:xs="http://www.w3.org/2001/XMLSchema" xmlns:p="http://schemas.microsoft.com/office/2006/metadata/properties" xmlns:ns3="c39336f1-59f3-4188-9ae9-2e530703b8a3" targetNamespace="http://schemas.microsoft.com/office/2006/metadata/properties" ma:root="true" ma:fieldsID="bf62c4d3442bea1981c27c846ae9b992" ns3:_="">
    <xsd:import namespace="c39336f1-59f3-4188-9ae9-2e530703b8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336f1-59f3-4188-9ae9-2e530703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A9006-81DC-4C4F-A7A0-FD382C17B3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E02A5-E263-4776-89CD-0D920769D3DD}">
  <ds:schemaRefs>
    <ds:schemaRef ds:uri="http://schemas.microsoft.com/sharepoint/v3/contenttype/forms"/>
  </ds:schemaRefs>
</ds:datastoreItem>
</file>

<file path=customXml/itemProps3.xml><?xml version="1.0" encoding="utf-8"?>
<ds:datastoreItem xmlns:ds="http://schemas.openxmlformats.org/officeDocument/2006/customXml" ds:itemID="{3A5F7A89-67C1-44B3-8D25-C0C28A5B8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336f1-59f3-4188-9ae9-2e530703b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Abolaji Yusuf</dc:creator>
  <cp:keywords/>
  <dc:description/>
  <cp:lastModifiedBy>Shamla Yoosoof</cp:lastModifiedBy>
  <cp:revision>2</cp:revision>
  <dcterms:created xsi:type="dcterms:W3CDTF">2023-10-16T16:12:00Z</dcterms:created>
  <dcterms:modified xsi:type="dcterms:W3CDTF">2023-10-16T16:12:00Z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0x010100146F10DE5A0143458839880AD7F7C682</vt:lpwstr>
  </property>
</Properties>
</file>