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ABFBB" w14:textId="6AA893C0" w:rsidR="00BA3E0E" w:rsidRDefault="00BA3E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CBB2B14" wp14:editId="63708C09">
                <wp:simplePos x="0" y="0"/>
                <wp:positionH relativeFrom="margin">
                  <wp:align>right</wp:align>
                </wp:positionH>
                <wp:positionV relativeFrom="paragraph">
                  <wp:posOffset>2964180</wp:posOffset>
                </wp:positionV>
                <wp:extent cx="3939540" cy="2331720"/>
                <wp:effectExtent l="0" t="0" r="22860" b="1143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33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B4159" w14:textId="77777777" w:rsidR="00BA3E0E" w:rsidRDefault="00BA3E0E" w:rsidP="00BA3E0E">
                            <w:r w:rsidRPr="00017B2B">
                              <w:rPr>
                                <w:b/>
                                <w:bCs/>
                              </w:rPr>
                              <w:t xml:space="preserve">Point </w:t>
                            </w:r>
                            <w:r>
                              <w:rPr>
                                <w:b/>
                                <w:bCs/>
                              </w:rPr>
                              <w:t>1</w:t>
                            </w:r>
                            <w:r w:rsidRPr="00017B2B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We expect revenue growth to be stable at around 8% per annum, with the greatest segment growth occurring in EMEA and APLA regions. Greater China has great potential for growth but is still unstable due to the impact of COVID-19.</w:t>
                            </w:r>
                          </w:p>
                          <w:p w14:paraId="7746B843" w14:textId="77777777" w:rsidR="00BA3E0E" w:rsidRPr="00B92FD6" w:rsidRDefault="00BA3E0E" w:rsidP="00BA3E0E">
                            <w:r>
                              <w:t>Footwear will remain the strongest revenue driver across all regions, but apparel revenue in EMEA is expected to grow at a high rate of almost 15% so that revenues almost rival that of footwear in the region.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B2B1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9pt;margin-top:233.4pt;width:310.2pt;height:183.6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">
                <v:textbox>
                  <w:txbxContent>
                    <w:p w14:paraId="373B4159" w14:textId="77777777" w:rsidR="00BA3E0E" w:rsidRDefault="00BA3E0E" w:rsidP="00BA3E0E">
                      <w:r w:rsidRPr="00017B2B">
                        <w:rPr>
                          <w:b/>
                          <w:bCs/>
                        </w:rPr>
                        <w:t xml:space="preserve">Point </w:t>
                      </w:r>
                      <w:r>
                        <w:rPr>
                          <w:b/>
                          <w:bCs/>
                        </w:rPr>
                        <w:t>1</w:t>
                      </w:r>
                      <w:r w:rsidRPr="00017B2B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>We expect revenue growth to be stable at around 8% per annum, with the greatest segment growth occurring in EMEA and APLA regions. Greater China has great potential for growth but is still unstable due to the impact of COVID-19.</w:t>
                      </w:r>
                    </w:p>
                    <w:p w14:paraId="7746B843" w14:textId="77777777" w:rsidR="00BA3E0E" w:rsidRPr="00B92FD6" w:rsidRDefault="00BA3E0E" w:rsidP="00BA3E0E">
                      <w:r>
                        <w:t>Footwear will remain the strongest revenue driver across all regions, but apparel revenue in EMEA is expected to grow at a high rate of almost 15% so that revenues almost rival that of footwear in the region.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FB91327" wp14:editId="2A20AFDD">
                <wp:simplePos x="0" y="0"/>
                <wp:positionH relativeFrom="margin">
                  <wp:posOffset>2910840</wp:posOffset>
                </wp:positionH>
                <wp:positionV relativeFrom="paragraph">
                  <wp:posOffset>5433060</wp:posOffset>
                </wp:positionV>
                <wp:extent cx="3939540" cy="1592580"/>
                <wp:effectExtent l="0" t="0" r="2286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BB901" w14:textId="77777777" w:rsidR="00BA3E0E" w:rsidRPr="00B92FD6" w:rsidRDefault="00BA3E0E" w:rsidP="00BA3E0E">
                            <w:r w:rsidRPr="00017B2B">
                              <w:rPr>
                                <w:b/>
                                <w:bCs/>
                              </w:rPr>
                              <w:t>Point 2: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EBITDA margins are expected to remain in the high teens to early twenties. Currently, North America contributes roughly 40% of total group revenue, with EMEA at 27% and APLA at 13%. Future forecasts predict EMEA growing to represent roughly 30% of revenue. Historically, Nike has invested heavily in improving production lines and increasing its digital presence, this is now likely to slow down as focus shifts to future growth.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91327" id="Text Box 2" o:spid="_x0000_s1027" type="#_x0000_t202" style="position:absolute;margin-left:229.2pt;margin-top:427.8pt;width:310.2pt;height:125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">
                <v:textbox>
                  <w:txbxContent>
                    <w:p w14:paraId="02FBB901" w14:textId="77777777" w:rsidR="00BA3E0E" w:rsidRPr="00B92FD6" w:rsidRDefault="00BA3E0E" w:rsidP="00BA3E0E">
                      <w:r w:rsidRPr="00017B2B">
                        <w:rPr>
                          <w:b/>
                          <w:bCs/>
                        </w:rPr>
                        <w:t>Point 2: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>EBITDA margins are expected to remain in the high teens to early twenties. Currently, North America contributes roughly 40% of total group revenue, with EMEA at 27% and APLA at 13%. Future forecasts predict EMEA growing to represent roughly 30% of revenue. Historically, Nike has invested heavily in improving production lines and increasing its digital presence, this is now likely to slow down as focus shifts to future growth.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076BF4" wp14:editId="0EC5521A">
                <wp:simplePos x="0" y="0"/>
                <wp:positionH relativeFrom="margin">
                  <wp:align>right</wp:align>
                </wp:positionH>
                <wp:positionV relativeFrom="paragraph">
                  <wp:posOffset>7155180</wp:posOffset>
                </wp:positionV>
                <wp:extent cx="3954780" cy="1965960"/>
                <wp:effectExtent l="0" t="0" r="26670" b="1524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780" cy="196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D1570" w14:textId="77777777" w:rsidR="00BA3E0E" w:rsidRDefault="00BA3E0E" w:rsidP="00BA3E0E">
                            <w:r w:rsidRPr="00017B2B">
                              <w:rPr>
                                <w:b/>
                                <w:bCs/>
                              </w:rPr>
                              <w:t>Point 3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t xml:space="preserve"> EPS is likely to see a continuation of its growth rate in the low tens. </w:t>
                            </w:r>
                          </w:p>
                          <w:p w14:paraId="729C1CF0" w14:textId="77777777" w:rsidR="00BA3E0E" w:rsidRDefault="00BA3E0E" w:rsidP="00BA3E0E">
                            <w:r>
                              <w:t>FCFF will see consistent growth of between 8-12% each year.</w:t>
                            </w:r>
                          </w:p>
                          <w:p w14:paraId="6A0F0651" w14:textId="77777777" w:rsidR="00BA3E0E" w:rsidRDefault="00BA3E0E" w:rsidP="00BA3E0E">
                            <w:r>
                              <w:t xml:space="preserve">Capex growth should be stable, keeping a very low 1.5% of revenue. </w:t>
                            </w:r>
                          </w:p>
                          <w:p w14:paraId="5D723740" w14:textId="77777777" w:rsidR="00BA3E0E" w:rsidRPr="00B92FD6" w:rsidRDefault="00BA3E0E" w:rsidP="00BA3E0E">
                            <w:r>
                              <w:t>Nike’s focus on production improvements and direct-to-consumer digital efforts are set to reap the benefits of the current positive trends.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76BF4" id="Text Box 3" o:spid="_x0000_s1028" type="#_x0000_t202" style="position:absolute;margin-left:260.2pt;margin-top:563.4pt;width:311.4pt;height:154.8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">
                <v:textbox>
                  <w:txbxContent>
                    <w:p w14:paraId="0E2D1570" w14:textId="77777777" w:rsidR="00BA3E0E" w:rsidRDefault="00BA3E0E" w:rsidP="00BA3E0E">
                      <w:r w:rsidRPr="00017B2B">
                        <w:rPr>
                          <w:b/>
                          <w:bCs/>
                        </w:rPr>
                        <w:t>Point 3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>
                        <w:t xml:space="preserve"> EPS is likely to see a continuation of its growth rate in the low tens. </w:t>
                      </w:r>
                    </w:p>
                    <w:p w14:paraId="729C1CF0" w14:textId="77777777" w:rsidR="00BA3E0E" w:rsidRDefault="00BA3E0E" w:rsidP="00BA3E0E">
                      <w:r>
                        <w:t>FCFF will see consistent growth of between 8-12% each year.</w:t>
                      </w:r>
                    </w:p>
                    <w:p w14:paraId="6A0F0651" w14:textId="77777777" w:rsidR="00BA3E0E" w:rsidRDefault="00BA3E0E" w:rsidP="00BA3E0E">
                      <w:r>
                        <w:t xml:space="preserve">Capex growth should be stable, keeping a very low 1.5% of revenue. </w:t>
                      </w:r>
                    </w:p>
                    <w:p w14:paraId="5D723740" w14:textId="77777777" w:rsidR="00BA3E0E" w:rsidRPr="00B92FD6" w:rsidRDefault="00BA3E0E" w:rsidP="00BA3E0E">
                      <w:r>
                        <w:t>Nike’s focus on production improvements and direct-to-consumer digital efforts are set to reap the benefits of the current positive trends.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EB567C" wp14:editId="59619EE0">
                <wp:simplePos x="0" y="0"/>
                <wp:positionH relativeFrom="margin">
                  <wp:align>right</wp:align>
                </wp:positionH>
                <wp:positionV relativeFrom="paragraph">
                  <wp:posOffset>1463040</wp:posOffset>
                </wp:positionV>
                <wp:extent cx="3909060" cy="1363980"/>
                <wp:effectExtent l="0" t="0" r="1524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060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7E7C6" w14:textId="77777777" w:rsidR="00BA3E0E" w:rsidRDefault="00BA3E0E" w:rsidP="00BA3E0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17B2B">
                              <w:rPr>
                                <w:b/>
                                <w:bCs/>
                              </w:rPr>
                              <w:t>Investment thesis:</w:t>
                            </w:r>
                          </w:p>
                          <w:p w14:paraId="43F35460" w14:textId="77777777" w:rsidR="00BA3E0E" w:rsidRPr="00017B2B" w:rsidRDefault="00BA3E0E" w:rsidP="00BA3E0E">
                            <w:r w:rsidRPr="006C301A">
                              <w:t>Based on our DCF analysis, which values the stock at $144.5</w:t>
                            </w:r>
                            <w:r>
                              <w:t>0</w:t>
                            </w:r>
                            <w:r w:rsidRPr="006C301A">
                              <w:t>, it is currently undervalued at $107.18, indicating a strong potential for significant appreciation and a solid investment opportunity.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B567C" id="_x0000_s1029" type="#_x0000_t202" style="position:absolute;margin-left:256.6pt;margin-top:115.2pt;width:307.8pt;height:107.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">
                <v:textbox>
                  <w:txbxContent>
                    <w:p w14:paraId="0627E7C6" w14:textId="77777777" w:rsidR="00BA3E0E" w:rsidRDefault="00BA3E0E" w:rsidP="00BA3E0E">
                      <w:pPr>
                        <w:rPr>
                          <w:b/>
                          <w:bCs/>
                        </w:rPr>
                      </w:pPr>
                      <w:r w:rsidRPr="00017B2B">
                        <w:rPr>
                          <w:b/>
                          <w:bCs/>
                        </w:rPr>
                        <w:t>Investment thesis:</w:t>
                      </w:r>
                    </w:p>
                    <w:p w14:paraId="43F35460" w14:textId="77777777" w:rsidR="00BA3E0E" w:rsidRPr="00017B2B" w:rsidRDefault="00BA3E0E" w:rsidP="00BA3E0E">
                      <w:r w:rsidRPr="006C301A">
                        <w:t>Based on our DCF analysis, which values the stock at $144.5</w:t>
                      </w:r>
                      <w:r>
                        <w:t>0</w:t>
                      </w:r>
                      <w:r w:rsidRPr="006C301A">
                        <w:t>, it is currently undervalued at $107.18, indicating a strong potential for significant appreciation and a solid investment opportunity.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18CA53" wp14:editId="7F16888C">
                <wp:simplePos x="0" y="0"/>
                <wp:positionH relativeFrom="margin">
                  <wp:align>left</wp:align>
                </wp:positionH>
                <wp:positionV relativeFrom="paragraph">
                  <wp:posOffset>1417320</wp:posOffset>
                </wp:positionV>
                <wp:extent cx="2804160" cy="7695565"/>
                <wp:effectExtent l="0" t="0" r="15240" b="19685"/>
                <wp:wrapSquare wrapText="bothSides"/>
                <wp:docPr id="21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4160" cy="7695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2767E046" w14:textId="77777777" w:rsidR="00BA3E0E" w:rsidRPr="00B92FD6" w:rsidRDefault="00BA3E0E" w:rsidP="00BA3E0E">
                            <w:pPr>
                              <w:spacing w:before="880" w:after="240" w:line="240" w:lineRule="auto"/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</w:pPr>
                            <w:r w:rsidRPr="00B92FD6">
                              <w:rPr>
                                <w:rFonts w:asciiTheme="majorHAnsi" w:eastAsiaTheme="majorEastAsia" w:hAnsiTheme="majorHAnsi" w:cstheme="majorBidi"/>
                                <w:sz w:val="28"/>
                                <w:szCs w:val="28"/>
                              </w:rPr>
                              <w:t>Keep this blank for tables</w:t>
                            </w: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8CA53" id="AutoShape 14" o:spid="_x0000_s1030" style="position:absolute;margin-left:0;margin-top:111.6pt;width:220.8pt;height:605.9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" fillcolor="white [3212]" strokecolor="#737373 [1614]" strokeweight="1.25pt">
                <v:textbox inset="14.4pt,36pt,14.4pt,5.76pt">
                  <w:txbxContent>
                    <w:p w14:paraId="2767E046" w14:textId="77777777" w:rsidR="00BA3E0E" w:rsidRPr="00B92FD6" w:rsidRDefault="00BA3E0E" w:rsidP="00BA3E0E">
                      <w:pPr>
                        <w:spacing w:before="880" w:after="240" w:line="240" w:lineRule="auto"/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</w:pPr>
                      <w:r w:rsidRPr="00B92FD6"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  <w:t xml:space="preserve">Keep this blank for </w:t>
                      </w:r>
                      <w:proofErr w:type="gramStart"/>
                      <w:r w:rsidRPr="00B92FD6">
                        <w:rPr>
                          <w:rFonts w:asciiTheme="majorHAnsi" w:eastAsiaTheme="majorEastAsia" w:hAnsiTheme="majorHAnsi" w:cstheme="majorBidi"/>
                          <w:sz w:val="28"/>
                          <w:szCs w:val="28"/>
                        </w:rPr>
                        <w:t>tables</w:t>
                      </w:r>
                      <w:proofErr w:type="gramEnd"/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815E1E" wp14:editId="6404771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42760" cy="1341120"/>
                <wp:effectExtent l="0" t="0" r="1524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276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40632" w14:textId="77777777" w:rsidR="00BA3E0E" w:rsidRPr="00BA3E0E" w:rsidRDefault="00BA3E0E" w:rsidP="00BA3E0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A3E0E">
                              <w:rPr>
                                <w:b/>
                                <w:bCs/>
                              </w:rPr>
                              <w:t>NIKE, Inc.</w:t>
                            </w:r>
                          </w:p>
                          <w:p w14:paraId="28DE8721" w14:textId="77777777" w:rsidR="00BA3E0E" w:rsidRPr="00BA3E0E" w:rsidRDefault="00BA3E0E" w:rsidP="00BA3E0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A3E0E">
                              <w:rPr>
                                <w:b/>
                                <w:bCs/>
                              </w:rPr>
                              <w:t>NYSE: NKE</w:t>
                            </w:r>
                          </w:p>
                          <w:p w14:paraId="7BF2C418" w14:textId="77777777" w:rsidR="00BA3E0E" w:rsidRPr="00BA3E0E" w:rsidRDefault="00BA3E0E" w:rsidP="00BA3E0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A3E0E">
                              <w:rPr>
                                <w:b/>
                                <w:bCs/>
                              </w:rPr>
                              <w:t>107.18</w:t>
                            </w:r>
                          </w:p>
                          <w:p w14:paraId="2B59B505" w14:textId="24C61BE2" w:rsidR="00BA3E0E" w:rsidRPr="00BA3E0E" w:rsidRDefault="00BA3E0E" w:rsidP="00BA3E0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A3E0E">
                              <w:rPr>
                                <w:b/>
                                <w:bCs/>
                              </w:rPr>
                              <w:t>Upside to current share price: 0.35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815E1E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487.6pt;margin-top:0;width:538.8pt;height:105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">
                <v:textbox>
                  <w:txbxContent>
                    <w:p w14:paraId="2A340632" w14:textId="77777777" w:rsidR="00BA3E0E" w:rsidRPr="00BA3E0E" w:rsidRDefault="00BA3E0E" w:rsidP="00BA3E0E">
                      <w:pPr>
                        <w:rPr>
                          <w:b/>
                          <w:bCs/>
                        </w:rPr>
                      </w:pPr>
                      <w:r w:rsidRPr="00BA3E0E">
                        <w:rPr>
                          <w:b/>
                          <w:bCs/>
                        </w:rPr>
                        <w:t>NIKE, Inc.</w:t>
                      </w:r>
                    </w:p>
                    <w:p w14:paraId="28DE8721" w14:textId="77777777" w:rsidR="00BA3E0E" w:rsidRPr="00BA3E0E" w:rsidRDefault="00BA3E0E" w:rsidP="00BA3E0E">
                      <w:pPr>
                        <w:rPr>
                          <w:b/>
                          <w:bCs/>
                        </w:rPr>
                      </w:pPr>
                      <w:r w:rsidRPr="00BA3E0E">
                        <w:rPr>
                          <w:b/>
                          <w:bCs/>
                        </w:rPr>
                        <w:t>NYSE: NKE</w:t>
                      </w:r>
                    </w:p>
                    <w:p w14:paraId="7BF2C418" w14:textId="77777777" w:rsidR="00BA3E0E" w:rsidRPr="00BA3E0E" w:rsidRDefault="00BA3E0E" w:rsidP="00BA3E0E">
                      <w:pPr>
                        <w:rPr>
                          <w:b/>
                          <w:bCs/>
                        </w:rPr>
                      </w:pPr>
                      <w:r w:rsidRPr="00BA3E0E">
                        <w:rPr>
                          <w:b/>
                          <w:bCs/>
                        </w:rPr>
                        <w:t>107.18</w:t>
                      </w:r>
                    </w:p>
                    <w:p w14:paraId="2B59B505" w14:textId="24C61BE2" w:rsidR="00BA3E0E" w:rsidRPr="00BA3E0E" w:rsidRDefault="00BA3E0E" w:rsidP="00BA3E0E">
                      <w:pPr>
                        <w:rPr>
                          <w:b/>
                          <w:bCs/>
                        </w:rPr>
                      </w:pPr>
                      <w:r w:rsidRPr="00BA3E0E">
                        <w:rPr>
                          <w:b/>
                          <w:bCs/>
                        </w:rPr>
                        <w:t>Upside to current share price: 0.35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A3E0E" w:rsidSect="003A6E2C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6013B7"/>
    <w:multiLevelType w:val="hybridMultilevel"/>
    <w:tmpl w:val="2C788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034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E0E"/>
    <w:rsid w:val="003A6E2C"/>
    <w:rsid w:val="00AF652A"/>
    <w:rsid w:val="00BA3E0E"/>
    <w:rsid w:val="00DB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75D91"/>
  <w15:chartTrackingRefBased/>
  <w15:docId w15:val="{A3F16900-0B5B-4BE2-991F-FAF99E80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E0E"/>
    <w:pPr>
      <w:spacing w:line="259" w:lineRule="auto"/>
    </w:pPr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3E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E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E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E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E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E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E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E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E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E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E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E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E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E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E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E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E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E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E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E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E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E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E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E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E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E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E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E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E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Sheldon Trinder</dc:creator>
  <cp:keywords/>
  <dc:description/>
  <cp:lastModifiedBy>Sheldon Trinder</cp:lastModifiedBy>
  <cp:revision>2</cp:revision>
  <dcterms:created xsi:type="dcterms:W3CDTF">2024-02-13T14:25:00Z</dcterms:created>
  <dcterms:modified xsi:type="dcterms:W3CDTF">2024-02-13T14:27:00Z</dcterms:modified>
</cp:coreProperties>
</file>