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D037" w14:textId="32B58398" w:rsidR="00132570" w:rsidRPr="002A5316" w:rsidRDefault="00BC5869">
      <w:pPr>
        <w:pStyle w:val="Heading1"/>
        <w:rPr>
          <w:rFonts w:ascii="Trebuchet MS" w:hAnsi="Trebuchet MS" w:cstheme="minorHAnsi"/>
          <w:color w:val="000000" w:themeColor="text1"/>
          <w:u w:val="single"/>
        </w:rPr>
      </w:pPr>
      <w:r w:rsidRPr="002A5316">
        <w:rPr>
          <w:rFonts w:ascii="Trebuchet MS" w:hAnsi="Trebuchet MS" w:cstheme="minorHAnsi"/>
          <w:color w:val="000000" w:themeColor="text1"/>
          <w:u w:val="single"/>
        </w:rPr>
        <w:t>R</w:t>
      </w:r>
      <w:r w:rsidR="002A5316" w:rsidRPr="002A5316">
        <w:rPr>
          <w:rFonts w:ascii="Trebuchet MS" w:hAnsi="Trebuchet MS" w:cstheme="minorHAnsi"/>
          <w:color w:val="000000" w:themeColor="text1"/>
          <w:u w:val="single"/>
        </w:rPr>
        <w:t xml:space="preserve">Evenue </w:t>
      </w:r>
      <w:r w:rsidRPr="002A5316">
        <w:rPr>
          <w:rFonts w:ascii="Trebuchet MS" w:hAnsi="Trebuchet MS" w:cstheme="minorHAnsi"/>
          <w:color w:val="000000" w:themeColor="text1"/>
          <w:u w:val="single"/>
        </w:rPr>
        <w:t>&amp;</w:t>
      </w:r>
      <w:r w:rsidR="002A5316" w:rsidRPr="002A5316">
        <w:rPr>
          <w:rFonts w:ascii="Trebuchet MS" w:hAnsi="Trebuchet MS" w:cstheme="minorHAnsi"/>
          <w:color w:val="000000" w:themeColor="text1"/>
          <w:u w:val="single"/>
        </w:rPr>
        <w:t xml:space="preserve"> </w:t>
      </w:r>
      <w:r w:rsidRPr="002A5316">
        <w:rPr>
          <w:rFonts w:ascii="Trebuchet MS" w:hAnsi="Trebuchet MS" w:cstheme="minorHAnsi"/>
          <w:color w:val="000000" w:themeColor="text1"/>
          <w:u w:val="single"/>
        </w:rPr>
        <w:t>c</w:t>
      </w:r>
      <w:r w:rsidR="002A5316" w:rsidRPr="002A5316">
        <w:rPr>
          <w:rFonts w:ascii="Trebuchet MS" w:hAnsi="Trebuchet MS" w:cstheme="minorHAnsi"/>
          <w:color w:val="000000" w:themeColor="text1"/>
          <w:u w:val="single"/>
        </w:rPr>
        <w:t>ost</w:t>
      </w:r>
      <w:r w:rsidR="002A5316">
        <w:rPr>
          <w:rFonts w:ascii="Trebuchet MS" w:hAnsi="Trebuchet MS" w:cstheme="minorHAnsi"/>
          <w:color w:val="000000" w:themeColor="text1"/>
          <w:u w:val="single"/>
        </w:rPr>
        <w:t xml:space="preserve"> (R&amp;C)</w:t>
      </w:r>
      <w:r w:rsidRPr="002A5316">
        <w:rPr>
          <w:rFonts w:ascii="Trebuchet MS" w:hAnsi="Trebuchet MS" w:cstheme="minorHAnsi"/>
          <w:color w:val="000000" w:themeColor="text1"/>
          <w:u w:val="single"/>
        </w:rPr>
        <w:t xml:space="preserve"> dRIVERS</w:t>
      </w:r>
    </w:p>
    <w:p w14:paraId="4988B0A9" w14:textId="6B3E1F50" w:rsidR="00132570" w:rsidRPr="002A5316" w:rsidRDefault="002A5316">
      <w:pPr>
        <w:rPr>
          <w:rFonts w:ascii="Trebuchet MS" w:hAnsi="Trebuchet MS" w:cstheme="minorHAnsi"/>
          <w:b/>
          <w:bCs/>
        </w:rPr>
      </w:pPr>
      <w:r w:rsidRPr="002A5316">
        <w:rPr>
          <w:rFonts w:ascii="Trebuchet MS" w:hAnsi="Trebuchet MS" w:cstheme="minorHAnsi"/>
          <w:b/>
          <w:bCs/>
        </w:rPr>
        <w:t xml:space="preserve">Company Selection: </w:t>
      </w:r>
      <w:r w:rsidR="00BC5869" w:rsidRPr="002A5316">
        <w:rPr>
          <w:rFonts w:ascii="Trebuchet MS" w:hAnsi="Trebuchet MS" w:cstheme="minorHAnsi"/>
          <w:b/>
          <w:bCs/>
        </w:rPr>
        <w:t>Marriot</w:t>
      </w:r>
      <w:r w:rsidR="00E1421C">
        <w:rPr>
          <w:rFonts w:ascii="Trebuchet MS" w:hAnsi="Trebuchet MS" w:cstheme="minorHAnsi"/>
          <w:b/>
          <w:bCs/>
        </w:rPr>
        <w:t>t</w:t>
      </w:r>
      <w:r w:rsidR="00BC5869" w:rsidRPr="002A5316">
        <w:rPr>
          <w:rFonts w:ascii="Trebuchet MS" w:hAnsi="Trebuchet MS" w:cstheme="minorHAnsi"/>
          <w:b/>
          <w:bCs/>
        </w:rPr>
        <w:t xml:space="preserve"> In</w:t>
      </w:r>
      <w:r w:rsidR="007D1DC0" w:rsidRPr="002A5316">
        <w:rPr>
          <w:rFonts w:ascii="Trebuchet MS" w:hAnsi="Trebuchet MS" w:cstheme="minorHAnsi"/>
          <w:b/>
          <w:bCs/>
        </w:rPr>
        <w:t>c. and Johnson &amp; Johnson</w:t>
      </w:r>
    </w:p>
    <w:p w14:paraId="1BEE25B4" w14:textId="49441FBF" w:rsidR="00132570" w:rsidRPr="002A5316" w:rsidRDefault="00690135" w:rsidP="002A5316">
      <w:pPr>
        <w:pStyle w:val="Heading2"/>
        <w:numPr>
          <w:ilvl w:val="0"/>
          <w:numId w:val="9"/>
        </w:numPr>
        <w:rPr>
          <w:rFonts w:ascii="Trebuchet MS" w:hAnsi="Trebuchet MS" w:cstheme="minorHAnsi"/>
          <w:color w:val="000000" w:themeColor="text1"/>
        </w:rPr>
      </w:pPr>
      <w:r w:rsidRPr="002A5316">
        <w:rPr>
          <w:rFonts w:ascii="Trebuchet MS" w:hAnsi="Trebuchet MS" w:cstheme="minorHAnsi"/>
          <w:color w:val="000000" w:themeColor="text1"/>
        </w:rPr>
        <w:t>Marriot</w:t>
      </w:r>
      <w:r w:rsidR="00E1421C">
        <w:rPr>
          <w:rFonts w:ascii="Trebuchet MS" w:hAnsi="Trebuchet MS" w:cstheme="minorHAnsi"/>
          <w:color w:val="000000" w:themeColor="text1"/>
        </w:rPr>
        <w:t>t</w:t>
      </w:r>
      <w:r w:rsidRPr="002A5316">
        <w:rPr>
          <w:rFonts w:ascii="Trebuchet MS" w:hAnsi="Trebuchet MS" w:cstheme="minorHAnsi"/>
          <w:color w:val="000000" w:themeColor="text1"/>
        </w:rPr>
        <w:t xml:space="preserve"> inc.</w:t>
      </w:r>
    </w:p>
    <w:p w14:paraId="06ECA81E" w14:textId="5D17CA8E" w:rsidR="00690135" w:rsidRDefault="00690135" w:rsidP="00690135">
      <w:pPr>
        <w:pStyle w:val="ListBullet"/>
        <w:numPr>
          <w:ilvl w:val="0"/>
          <w:numId w:val="0"/>
        </w:numPr>
      </w:pPr>
    </w:p>
    <w:p w14:paraId="2C6FE941" w14:textId="15AA0ED2" w:rsidR="00E97E0E" w:rsidRDefault="002A5316" w:rsidP="00690135">
      <w:pPr>
        <w:pStyle w:val="ListBullet"/>
        <w:numPr>
          <w:ilvl w:val="0"/>
          <w:numId w:val="0"/>
        </w:numPr>
        <w:rPr>
          <w:color w:val="000000" w:themeColor="text1"/>
        </w:rPr>
      </w:pPr>
      <w:r>
        <w:rPr>
          <w:color w:val="000000" w:themeColor="text1"/>
        </w:rPr>
        <w:t>Marrio</w:t>
      </w:r>
      <w:r w:rsidR="00E1421C">
        <w:rPr>
          <w:color w:val="000000" w:themeColor="text1"/>
        </w:rPr>
        <w:t>t</w:t>
      </w:r>
      <w:r>
        <w:rPr>
          <w:color w:val="000000" w:themeColor="text1"/>
        </w:rPr>
        <w:t>t’s position as a mature market leader in full-service hotels &amp; resorts gives rise to the question as to</w:t>
      </w:r>
      <w:r w:rsidR="00E97E0E">
        <w:rPr>
          <w:color w:val="000000" w:themeColor="text1"/>
        </w:rPr>
        <w:t xml:space="preserve"> what</w:t>
      </w:r>
      <w:r>
        <w:rPr>
          <w:color w:val="000000" w:themeColor="text1"/>
        </w:rPr>
        <w:t xml:space="preserve"> </w:t>
      </w:r>
      <w:r w:rsidR="00E97E0E">
        <w:rPr>
          <w:color w:val="000000" w:themeColor="text1"/>
        </w:rPr>
        <w:t xml:space="preserve">their expense structure looks like, </w:t>
      </w:r>
      <w:r>
        <w:rPr>
          <w:color w:val="000000" w:themeColor="text1"/>
        </w:rPr>
        <w:t xml:space="preserve">how they have developed such a strong offering, and where the </w:t>
      </w:r>
      <w:r w:rsidR="00E97E0E">
        <w:rPr>
          <w:color w:val="000000" w:themeColor="text1"/>
        </w:rPr>
        <w:t xml:space="preserve">apparent </w:t>
      </w:r>
      <w:r>
        <w:rPr>
          <w:color w:val="000000" w:themeColor="text1"/>
        </w:rPr>
        <w:t xml:space="preserve">affinity of </w:t>
      </w:r>
      <w:r w:rsidR="00E97E0E">
        <w:rPr>
          <w:color w:val="000000" w:themeColor="text1"/>
        </w:rPr>
        <w:t>its</w:t>
      </w:r>
      <w:r>
        <w:rPr>
          <w:color w:val="000000" w:themeColor="text1"/>
        </w:rPr>
        <w:t xml:space="preserve"> customers to the brand originates from. To delve deeper into this, it is vital to map out the R&amp;C drivers that underpin the global </w:t>
      </w:r>
      <w:r w:rsidR="00AA75C7">
        <w:rPr>
          <w:color w:val="000000" w:themeColor="text1"/>
        </w:rPr>
        <w:t>pure-play</w:t>
      </w:r>
      <w:r>
        <w:rPr>
          <w:color w:val="000000" w:themeColor="text1"/>
        </w:rPr>
        <w:t xml:space="preserve"> company’s operations.</w:t>
      </w:r>
      <w:r w:rsidR="00E4768C">
        <w:rPr>
          <w:color w:val="000000" w:themeColor="text1"/>
        </w:rPr>
        <w:t xml:space="preserve"> </w:t>
      </w:r>
    </w:p>
    <w:p w14:paraId="38BE8B37" w14:textId="00EF95A0" w:rsidR="00E97E0E" w:rsidRDefault="00E97E0E" w:rsidP="00690135">
      <w:pPr>
        <w:pStyle w:val="ListBullet"/>
        <w:numPr>
          <w:ilvl w:val="0"/>
          <w:numId w:val="0"/>
        </w:numPr>
        <w:rPr>
          <w:color w:val="000000" w:themeColor="text1"/>
        </w:rPr>
      </w:pPr>
    </w:p>
    <w:p w14:paraId="024BCA09" w14:textId="13A15AF3" w:rsidR="00E97E0E" w:rsidRPr="00E97E0E" w:rsidRDefault="00AA75C7" w:rsidP="00690135">
      <w:pPr>
        <w:pStyle w:val="ListBullet"/>
        <w:numPr>
          <w:ilvl w:val="0"/>
          <w:numId w:val="0"/>
        </w:numPr>
        <w:rPr>
          <w:b/>
          <w:bCs/>
          <w:color w:val="000000" w:themeColor="text1"/>
        </w:rPr>
      </w:pPr>
      <w:r>
        <w:rPr>
          <w:b/>
          <w:bCs/>
          <w:color w:val="000000" w:themeColor="text1"/>
        </w:rPr>
        <w:t>Hybrid</w:t>
      </w:r>
      <w:r w:rsidR="00532B91">
        <w:rPr>
          <w:b/>
          <w:bCs/>
          <w:color w:val="000000" w:themeColor="text1"/>
        </w:rPr>
        <w:t>-</w:t>
      </w:r>
      <w:r>
        <w:rPr>
          <w:b/>
          <w:bCs/>
          <w:color w:val="000000" w:themeColor="text1"/>
        </w:rPr>
        <w:t>Hospitality</w:t>
      </w:r>
      <w:r w:rsidR="00E97E0E" w:rsidRPr="00E97E0E">
        <w:rPr>
          <w:b/>
          <w:bCs/>
          <w:color w:val="000000" w:themeColor="text1"/>
        </w:rPr>
        <w:t>:</w:t>
      </w:r>
    </w:p>
    <w:p w14:paraId="130553D5" w14:textId="4E6DDB35" w:rsidR="00E97E0E" w:rsidRDefault="00E97E0E" w:rsidP="00690135">
      <w:pPr>
        <w:pStyle w:val="ListBullet"/>
        <w:numPr>
          <w:ilvl w:val="0"/>
          <w:numId w:val="0"/>
        </w:numPr>
        <w:rPr>
          <w:color w:val="000000" w:themeColor="text1"/>
        </w:rPr>
      </w:pPr>
    </w:p>
    <w:p w14:paraId="677F6F5F" w14:textId="352FB394" w:rsidR="00E97E0E" w:rsidRDefault="00E97E0E" w:rsidP="00690135">
      <w:pPr>
        <w:pStyle w:val="ListBullet"/>
        <w:numPr>
          <w:ilvl w:val="0"/>
          <w:numId w:val="0"/>
        </w:numPr>
        <w:rPr>
          <w:color w:val="000000" w:themeColor="text1"/>
        </w:rPr>
      </w:pPr>
      <w:r>
        <w:rPr>
          <w:color w:val="000000" w:themeColor="text1"/>
        </w:rPr>
        <w:t>To identify and analyse revenue drivers, we must first determine how Marriot</w:t>
      </w:r>
      <w:r w:rsidR="00C15E06">
        <w:rPr>
          <w:color w:val="000000" w:themeColor="text1"/>
        </w:rPr>
        <w:t>t</w:t>
      </w:r>
      <w:r>
        <w:rPr>
          <w:color w:val="000000" w:themeColor="text1"/>
        </w:rPr>
        <w:t xml:space="preserve">’s service offering can be split into sales inputs. Fortunately, the “Revenue Recognition” (p.41/42) section of Marriot’s Annual Report (2022) provides an applicable breakdown of their income statement, with reference to their revenue generation structure, and the proportionate make-up of these underlying drivers to their total revenue. By analysing these components, we </w:t>
      </w:r>
      <w:r w:rsidR="00AA75C7">
        <w:rPr>
          <w:color w:val="000000" w:themeColor="text1"/>
        </w:rPr>
        <w:t>can</w:t>
      </w:r>
      <w:r>
        <w:rPr>
          <w:color w:val="000000" w:themeColor="text1"/>
        </w:rPr>
        <w:t xml:space="preserve"> </w:t>
      </w:r>
      <w:r w:rsidR="00396687">
        <w:rPr>
          <w:color w:val="000000" w:themeColor="text1"/>
        </w:rPr>
        <w:t xml:space="preserve">compartmentalise </w:t>
      </w:r>
      <w:r>
        <w:rPr>
          <w:color w:val="000000" w:themeColor="text1"/>
        </w:rPr>
        <w:t xml:space="preserve">the wider business model that Marriot opts to utilise to fuel its market </w:t>
      </w:r>
      <w:r w:rsidR="00532B91">
        <w:rPr>
          <w:color w:val="000000" w:themeColor="text1"/>
        </w:rPr>
        <w:t xml:space="preserve">strategy. </w:t>
      </w:r>
    </w:p>
    <w:p w14:paraId="5CDDCA3A" w14:textId="43A3E950" w:rsidR="00532B91" w:rsidRDefault="00532B91" w:rsidP="00690135">
      <w:pPr>
        <w:pStyle w:val="ListBullet"/>
        <w:numPr>
          <w:ilvl w:val="0"/>
          <w:numId w:val="0"/>
        </w:numPr>
        <w:rPr>
          <w:color w:val="000000" w:themeColor="text1"/>
        </w:rPr>
      </w:pPr>
    </w:p>
    <w:p w14:paraId="023A7E87" w14:textId="2BC952E5" w:rsidR="00532B91" w:rsidRDefault="00532B91" w:rsidP="00690135">
      <w:pPr>
        <w:pStyle w:val="ListBullet"/>
        <w:numPr>
          <w:ilvl w:val="0"/>
          <w:numId w:val="0"/>
        </w:numPr>
        <w:rPr>
          <w:color w:val="000000" w:themeColor="text1"/>
        </w:rPr>
      </w:pPr>
    </w:p>
    <w:p w14:paraId="2BD556E7" w14:textId="2EEDAA5C" w:rsidR="00532B91" w:rsidRDefault="00532B91" w:rsidP="00690135">
      <w:pPr>
        <w:pStyle w:val="ListBullet"/>
        <w:numPr>
          <w:ilvl w:val="0"/>
          <w:numId w:val="0"/>
        </w:numPr>
        <w:rPr>
          <w:color w:val="000000" w:themeColor="text1"/>
        </w:rPr>
      </w:pPr>
      <w:r>
        <w:rPr>
          <w:noProof/>
        </w:rPr>
        <w:lastRenderedPageBreak/>
        <w:drawing>
          <wp:inline distT="0" distB="0" distL="0" distR="0" wp14:anchorId="6EAD6110" wp14:editId="12405845">
            <wp:extent cx="6184900" cy="3327400"/>
            <wp:effectExtent l="0" t="0" r="12700" b="12700"/>
            <wp:docPr id="1" name="Chart 1">
              <a:extLst xmlns:a="http://schemas.openxmlformats.org/drawingml/2006/main">
                <a:ext uri="{FF2B5EF4-FFF2-40B4-BE49-F238E27FC236}">
                  <a16:creationId xmlns:a16="http://schemas.microsoft.com/office/drawing/2014/main" id="{EF76E2CA-D6E2-3CEF-A94E-FB13512E5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C170F1" w14:textId="70462973" w:rsidR="00907C29" w:rsidRDefault="00907C29" w:rsidP="00907C29">
      <w:pPr>
        <w:spacing w:before="0" w:after="0" w:line="240" w:lineRule="auto"/>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Rev. Split:</w:t>
      </w:r>
    </w:p>
    <w:p w14:paraId="7C75DDF8" w14:textId="515695A1" w:rsidR="00907C29" w:rsidRPr="00907C29" w:rsidRDefault="00907C29" w:rsidP="00907C29">
      <w:pPr>
        <w:spacing w:before="0" w:after="0" w:line="240" w:lineRule="auto"/>
        <w:rPr>
          <w:rFonts w:ascii="Calibri" w:eastAsia="Times New Roman" w:hAnsi="Calibri" w:cs="Calibri"/>
          <w:color w:val="000000"/>
          <w:sz w:val="22"/>
          <w:szCs w:val="22"/>
          <w:lang w:val="en-GB" w:eastAsia="en-GB"/>
        </w:rPr>
      </w:pPr>
      <w:r w:rsidRPr="00907C29">
        <w:rPr>
          <w:rFonts w:ascii="Calibri" w:eastAsia="Times New Roman" w:hAnsi="Calibri" w:cs="Calibri"/>
          <w:color w:val="000000"/>
          <w:sz w:val="22"/>
          <w:szCs w:val="22"/>
          <w:lang w:val="en-GB" w:eastAsia="en-GB"/>
        </w:rPr>
        <w:t>Cost Reimbursement Revenue</w:t>
      </w:r>
      <w:r>
        <w:rPr>
          <w:rFonts w:ascii="Calibri" w:eastAsia="Times New Roman" w:hAnsi="Calibri" w:cs="Calibri"/>
          <w:color w:val="000000"/>
          <w:sz w:val="22"/>
          <w:szCs w:val="22"/>
          <w:lang w:val="en-GB" w:eastAsia="en-GB"/>
        </w:rPr>
        <w:t>= 7</w:t>
      </w:r>
      <w:r w:rsidR="00154913">
        <w:rPr>
          <w:rFonts w:ascii="Calibri" w:eastAsia="Times New Roman" w:hAnsi="Calibri" w:cs="Calibri"/>
          <w:color w:val="000000"/>
          <w:sz w:val="22"/>
          <w:szCs w:val="22"/>
          <w:lang w:val="en-GB" w:eastAsia="en-GB"/>
        </w:rPr>
        <w:t>3</w:t>
      </w:r>
      <w:r>
        <w:rPr>
          <w:rFonts w:ascii="Calibri" w:eastAsia="Times New Roman" w:hAnsi="Calibri" w:cs="Calibri"/>
          <w:color w:val="000000"/>
          <w:sz w:val="22"/>
          <w:szCs w:val="22"/>
          <w:lang w:val="en-GB" w:eastAsia="en-GB"/>
        </w:rPr>
        <w:t>.</w:t>
      </w:r>
      <w:r w:rsidR="00154913">
        <w:rPr>
          <w:rFonts w:ascii="Calibri" w:eastAsia="Times New Roman" w:hAnsi="Calibri" w:cs="Calibri"/>
          <w:color w:val="000000"/>
          <w:sz w:val="22"/>
          <w:szCs w:val="22"/>
          <w:lang w:val="en-GB" w:eastAsia="en-GB"/>
        </w:rPr>
        <w:t>90</w:t>
      </w:r>
      <w:r>
        <w:rPr>
          <w:rFonts w:ascii="Calibri" w:eastAsia="Times New Roman" w:hAnsi="Calibri" w:cs="Calibri"/>
          <w:color w:val="000000"/>
          <w:sz w:val="22"/>
          <w:szCs w:val="22"/>
          <w:lang w:val="en-GB" w:eastAsia="en-GB"/>
        </w:rPr>
        <w:t>%</w:t>
      </w:r>
    </w:p>
    <w:p w14:paraId="39DF5676" w14:textId="6FFCE734" w:rsidR="00907C29" w:rsidRDefault="00907C29" w:rsidP="00907C29">
      <w:pPr>
        <w:spacing w:before="0" w:after="0" w:line="240" w:lineRule="auto"/>
        <w:rPr>
          <w:rFonts w:ascii="Calibri" w:eastAsia="Times New Roman" w:hAnsi="Calibri" w:cs="Calibri"/>
          <w:color w:val="000000"/>
          <w:sz w:val="22"/>
          <w:szCs w:val="22"/>
          <w:lang w:val="en-GB" w:eastAsia="en-GB"/>
        </w:rPr>
      </w:pPr>
      <w:r w:rsidRPr="00907C29">
        <w:rPr>
          <w:rFonts w:ascii="Calibri" w:eastAsia="Times New Roman" w:hAnsi="Calibri" w:cs="Calibri"/>
          <w:color w:val="000000"/>
          <w:sz w:val="22"/>
          <w:szCs w:val="22"/>
          <w:lang w:val="en-GB" w:eastAsia="en-GB"/>
        </w:rPr>
        <w:t>Franchise Fees</w:t>
      </w:r>
      <w:r>
        <w:rPr>
          <w:rFonts w:ascii="Calibri" w:eastAsia="Times New Roman" w:hAnsi="Calibri" w:cs="Calibri"/>
          <w:color w:val="000000"/>
          <w:sz w:val="22"/>
          <w:szCs w:val="22"/>
          <w:lang w:val="en-GB" w:eastAsia="en-GB"/>
        </w:rPr>
        <w:t>= 1</w:t>
      </w:r>
      <w:r w:rsidR="00154913">
        <w:rPr>
          <w:rFonts w:ascii="Calibri" w:eastAsia="Times New Roman" w:hAnsi="Calibri" w:cs="Calibri"/>
          <w:color w:val="000000"/>
          <w:sz w:val="22"/>
          <w:szCs w:val="22"/>
          <w:lang w:val="en-GB" w:eastAsia="en-GB"/>
        </w:rPr>
        <w:t>2</w:t>
      </w:r>
      <w:r>
        <w:rPr>
          <w:rFonts w:ascii="Calibri" w:eastAsia="Times New Roman" w:hAnsi="Calibri" w:cs="Calibri"/>
          <w:color w:val="000000"/>
          <w:sz w:val="22"/>
          <w:szCs w:val="22"/>
          <w:lang w:val="en-GB" w:eastAsia="en-GB"/>
        </w:rPr>
        <w:t>.</w:t>
      </w:r>
      <w:r w:rsidR="00154913">
        <w:rPr>
          <w:rFonts w:ascii="Calibri" w:eastAsia="Times New Roman" w:hAnsi="Calibri" w:cs="Calibri"/>
          <w:color w:val="000000"/>
          <w:sz w:val="22"/>
          <w:szCs w:val="22"/>
          <w:lang w:val="en-GB" w:eastAsia="en-GB"/>
        </w:rPr>
        <w:t>01</w:t>
      </w:r>
      <w:r>
        <w:rPr>
          <w:rFonts w:ascii="Calibri" w:eastAsia="Times New Roman" w:hAnsi="Calibri" w:cs="Calibri"/>
          <w:color w:val="000000"/>
          <w:sz w:val="22"/>
          <w:szCs w:val="22"/>
          <w:lang w:val="en-GB" w:eastAsia="en-GB"/>
        </w:rPr>
        <w:t>%</w:t>
      </w:r>
    </w:p>
    <w:p w14:paraId="02067FD3" w14:textId="4A82B033" w:rsidR="00907C29" w:rsidRPr="00907C29" w:rsidRDefault="00907C29" w:rsidP="00907C29">
      <w:pPr>
        <w:spacing w:before="0" w:after="0" w:line="240" w:lineRule="auto"/>
        <w:rPr>
          <w:rFonts w:ascii="Calibri" w:eastAsia="Times New Roman" w:hAnsi="Calibri" w:cs="Calibri"/>
          <w:color w:val="000000"/>
          <w:sz w:val="22"/>
          <w:szCs w:val="22"/>
          <w:lang w:val="en-GB" w:eastAsia="en-GB"/>
        </w:rPr>
      </w:pPr>
      <w:r w:rsidRPr="00907C29">
        <w:rPr>
          <w:rFonts w:ascii="Calibri" w:eastAsia="Times New Roman" w:hAnsi="Calibri" w:cs="Calibri"/>
          <w:color w:val="000000"/>
          <w:sz w:val="22"/>
          <w:szCs w:val="22"/>
          <w:lang w:val="en-GB" w:eastAsia="en-GB"/>
        </w:rPr>
        <w:t>Base Management Fees</w:t>
      </w:r>
      <w:r>
        <w:rPr>
          <w:rFonts w:ascii="Calibri" w:eastAsia="Times New Roman" w:hAnsi="Calibri" w:cs="Calibri"/>
          <w:color w:val="000000"/>
          <w:sz w:val="22"/>
          <w:szCs w:val="22"/>
          <w:lang w:val="en-GB" w:eastAsia="en-GB"/>
        </w:rPr>
        <w:t xml:space="preserve">= </w:t>
      </w:r>
      <w:r w:rsidR="00154913">
        <w:rPr>
          <w:rFonts w:ascii="Calibri" w:eastAsia="Times New Roman" w:hAnsi="Calibri" w:cs="Calibri"/>
          <w:color w:val="000000"/>
          <w:sz w:val="22"/>
          <w:szCs w:val="22"/>
          <w:lang w:val="en-GB" w:eastAsia="en-GB"/>
        </w:rPr>
        <w:t>5</w:t>
      </w:r>
      <w:r>
        <w:rPr>
          <w:rFonts w:ascii="Calibri" w:eastAsia="Times New Roman" w:hAnsi="Calibri" w:cs="Calibri"/>
          <w:color w:val="000000"/>
          <w:sz w:val="22"/>
          <w:szCs w:val="22"/>
          <w:lang w:val="en-GB" w:eastAsia="en-GB"/>
        </w:rPr>
        <w:t>%</w:t>
      </w:r>
    </w:p>
    <w:p w14:paraId="30E55243" w14:textId="475F99F1" w:rsidR="00907C29" w:rsidRPr="00907C29" w:rsidRDefault="00907C29" w:rsidP="00907C29">
      <w:pPr>
        <w:spacing w:before="0" w:after="0" w:line="240" w:lineRule="auto"/>
        <w:rPr>
          <w:rFonts w:ascii="Calibri" w:eastAsia="Times New Roman" w:hAnsi="Calibri" w:cs="Calibri"/>
          <w:color w:val="000000"/>
          <w:sz w:val="22"/>
          <w:szCs w:val="22"/>
          <w:lang w:val="en-GB" w:eastAsia="en-GB"/>
        </w:rPr>
      </w:pPr>
      <w:r w:rsidRPr="00907C29">
        <w:rPr>
          <w:rFonts w:ascii="Calibri" w:eastAsia="Times New Roman" w:hAnsi="Calibri" w:cs="Calibri"/>
          <w:color w:val="000000"/>
          <w:sz w:val="22"/>
          <w:szCs w:val="22"/>
          <w:lang w:val="en-GB" w:eastAsia="en-GB"/>
        </w:rPr>
        <w:t>Owned, Leased and Other Revenue</w:t>
      </w:r>
      <w:r>
        <w:rPr>
          <w:rFonts w:ascii="Calibri" w:eastAsia="Times New Roman" w:hAnsi="Calibri" w:cs="Calibri"/>
          <w:color w:val="000000"/>
          <w:sz w:val="22"/>
          <w:szCs w:val="22"/>
          <w:lang w:val="en-GB" w:eastAsia="en-GB"/>
        </w:rPr>
        <w:t>= 6.</w:t>
      </w:r>
      <w:r w:rsidR="00154913">
        <w:rPr>
          <w:rFonts w:ascii="Calibri" w:eastAsia="Times New Roman" w:hAnsi="Calibri" w:cs="Calibri"/>
          <w:color w:val="000000"/>
          <w:sz w:val="22"/>
          <w:szCs w:val="22"/>
          <w:lang w:val="en-GB" w:eastAsia="en-GB"/>
        </w:rPr>
        <w:t>55</w:t>
      </w:r>
      <w:r>
        <w:rPr>
          <w:rFonts w:ascii="Calibri" w:eastAsia="Times New Roman" w:hAnsi="Calibri" w:cs="Calibri"/>
          <w:color w:val="000000"/>
          <w:sz w:val="22"/>
          <w:szCs w:val="22"/>
          <w:lang w:val="en-GB" w:eastAsia="en-GB"/>
        </w:rPr>
        <w:t>%</w:t>
      </w:r>
    </w:p>
    <w:p w14:paraId="6C2552E7" w14:textId="7F1A3794" w:rsidR="00907C29" w:rsidRPr="00907C29" w:rsidRDefault="00907C29" w:rsidP="00907C29">
      <w:pPr>
        <w:spacing w:before="0" w:after="0" w:line="240" w:lineRule="auto"/>
        <w:rPr>
          <w:rFonts w:ascii="Calibri" w:eastAsia="Times New Roman" w:hAnsi="Calibri" w:cs="Calibri"/>
          <w:color w:val="000000"/>
          <w:sz w:val="22"/>
          <w:szCs w:val="22"/>
          <w:lang w:val="en-GB" w:eastAsia="en-GB"/>
        </w:rPr>
      </w:pPr>
      <w:r w:rsidRPr="00907C29">
        <w:rPr>
          <w:rFonts w:ascii="Calibri" w:eastAsia="Times New Roman" w:hAnsi="Calibri" w:cs="Calibri"/>
          <w:color w:val="000000"/>
          <w:sz w:val="22"/>
          <w:szCs w:val="22"/>
          <w:lang w:val="en-GB" w:eastAsia="en-GB"/>
        </w:rPr>
        <w:t>Incentive Management Fees</w:t>
      </w:r>
      <w:r>
        <w:rPr>
          <w:rFonts w:ascii="Calibri" w:eastAsia="Times New Roman" w:hAnsi="Calibri" w:cs="Calibri"/>
          <w:color w:val="000000"/>
          <w:sz w:val="22"/>
          <w:szCs w:val="22"/>
          <w:lang w:val="en-GB" w:eastAsia="en-GB"/>
        </w:rPr>
        <w:t>= 2.</w:t>
      </w:r>
      <w:r w:rsidR="00154913">
        <w:rPr>
          <w:rFonts w:ascii="Calibri" w:eastAsia="Times New Roman" w:hAnsi="Calibri" w:cs="Calibri"/>
          <w:color w:val="000000"/>
          <w:sz w:val="22"/>
          <w:szCs w:val="22"/>
          <w:lang w:val="en-GB" w:eastAsia="en-GB"/>
        </w:rPr>
        <w:t>54</w:t>
      </w:r>
      <w:r>
        <w:rPr>
          <w:rFonts w:ascii="Calibri" w:eastAsia="Times New Roman" w:hAnsi="Calibri" w:cs="Calibri"/>
          <w:color w:val="000000"/>
          <w:sz w:val="22"/>
          <w:szCs w:val="22"/>
          <w:lang w:val="en-GB" w:eastAsia="en-GB"/>
        </w:rPr>
        <w:t>%</w:t>
      </w:r>
    </w:p>
    <w:p w14:paraId="6F3C824E" w14:textId="77777777" w:rsidR="00907C29" w:rsidRDefault="00907C29" w:rsidP="00690135">
      <w:pPr>
        <w:pStyle w:val="ListBullet"/>
        <w:numPr>
          <w:ilvl w:val="0"/>
          <w:numId w:val="0"/>
        </w:numPr>
        <w:rPr>
          <w:color w:val="000000" w:themeColor="text1"/>
        </w:rPr>
      </w:pPr>
    </w:p>
    <w:p w14:paraId="06627C68" w14:textId="43565362" w:rsidR="009C7BBC" w:rsidRDefault="007E24FB" w:rsidP="00690135">
      <w:pPr>
        <w:pStyle w:val="ListBullet"/>
        <w:numPr>
          <w:ilvl w:val="0"/>
          <w:numId w:val="0"/>
        </w:numPr>
        <w:rPr>
          <w:color w:val="000000" w:themeColor="text1"/>
        </w:rPr>
      </w:pPr>
      <w:r>
        <w:rPr>
          <w:color w:val="000000" w:themeColor="text1"/>
        </w:rPr>
        <w:t>According to Marriott (2022), the</w:t>
      </w:r>
      <w:r w:rsidR="00907C29">
        <w:rPr>
          <w:color w:val="000000" w:themeColor="text1"/>
        </w:rPr>
        <w:t xml:space="preserve"> prominent driver comes in the form of cost reimbursements, which “primarily consist of payroll and related expenses”. Naturally, this cannot be wholly considered a revenue driver due to the </w:t>
      </w:r>
      <w:r>
        <w:rPr>
          <w:color w:val="000000" w:themeColor="text1"/>
        </w:rPr>
        <w:t xml:space="preserve">large </w:t>
      </w:r>
      <w:r w:rsidR="00907C29">
        <w:rPr>
          <w:color w:val="000000" w:themeColor="text1"/>
        </w:rPr>
        <w:t xml:space="preserve">degree of symmetry on the cost side, but it delineates the benefits of partially operating under the franchise model. Through risk transfer and capitalizing on the strength of the Marriot brand, an extra layer of protection is applied to their growth strategy, </w:t>
      </w:r>
      <w:r w:rsidR="003E263B">
        <w:rPr>
          <w:color w:val="000000" w:themeColor="text1"/>
        </w:rPr>
        <w:t>which</w:t>
      </w:r>
      <w:r w:rsidR="00907C29">
        <w:rPr>
          <w:color w:val="000000" w:themeColor="text1"/>
        </w:rPr>
        <w:t xml:space="preserve"> </w:t>
      </w:r>
      <w:r>
        <w:rPr>
          <w:color w:val="000000" w:themeColor="text1"/>
        </w:rPr>
        <w:t xml:space="preserve">can also </w:t>
      </w:r>
      <w:r w:rsidR="00591FCD">
        <w:rPr>
          <w:color w:val="000000" w:themeColor="text1"/>
        </w:rPr>
        <w:t xml:space="preserve">enable a degree of </w:t>
      </w:r>
      <w:r>
        <w:rPr>
          <w:color w:val="000000" w:themeColor="text1"/>
        </w:rPr>
        <w:t>focus</w:t>
      </w:r>
      <w:r w:rsidR="00907C29">
        <w:rPr>
          <w:color w:val="000000" w:themeColor="text1"/>
        </w:rPr>
        <w:t xml:space="preserve"> o</w:t>
      </w:r>
      <w:r>
        <w:rPr>
          <w:color w:val="000000" w:themeColor="text1"/>
        </w:rPr>
        <w:t>n</w:t>
      </w:r>
      <w:r w:rsidR="00907C29">
        <w:rPr>
          <w:color w:val="000000" w:themeColor="text1"/>
        </w:rPr>
        <w:t xml:space="preserve"> their own managed portfolio. This leads well into their second largest revenue driver </w:t>
      </w:r>
      <w:r w:rsidR="003E263B">
        <w:rPr>
          <w:color w:val="000000" w:themeColor="text1"/>
        </w:rPr>
        <w:t xml:space="preserve">with a value of </w:t>
      </w:r>
      <w:r w:rsidR="00907C29">
        <w:rPr>
          <w:color w:val="000000" w:themeColor="text1"/>
        </w:rPr>
        <w:t>$2.505bn</w:t>
      </w:r>
      <w:r w:rsidR="003E263B">
        <w:rPr>
          <w:color w:val="000000" w:themeColor="text1"/>
        </w:rPr>
        <w:t xml:space="preserve"> accumulated</w:t>
      </w:r>
      <w:r w:rsidR="00907C29">
        <w:rPr>
          <w:color w:val="000000" w:themeColor="text1"/>
        </w:rPr>
        <w:t xml:space="preserve"> in franchise fees, collected due to the use of</w:t>
      </w:r>
      <w:r w:rsidR="003E263B">
        <w:rPr>
          <w:color w:val="000000" w:themeColor="text1"/>
        </w:rPr>
        <w:t xml:space="preserve"> their</w:t>
      </w:r>
      <w:r w:rsidR="00907C29">
        <w:rPr>
          <w:color w:val="000000" w:themeColor="text1"/>
        </w:rPr>
        <w:t xml:space="preserve"> intellectual property</w:t>
      </w:r>
      <w:r w:rsidR="003E263B">
        <w:rPr>
          <w:color w:val="000000" w:themeColor="text1"/>
        </w:rPr>
        <w:t xml:space="preserve">. They are opting to charge </w:t>
      </w:r>
      <w:r w:rsidR="00907C29">
        <w:rPr>
          <w:color w:val="000000" w:themeColor="text1"/>
        </w:rPr>
        <w:t>both via “initial application fees and ongoing royalty fees”</w:t>
      </w:r>
      <w:r w:rsidR="003E263B">
        <w:rPr>
          <w:color w:val="000000" w:themeColor="text1"/>
        </w:rPr>
        <w:t xml:space="preserve"> to come to this figure. </w:t>
      </w:r>
      <w:r w:rsidR="00591FCD">
        <w:rPr>
          <w:color w:val="000000" w:themeColor="text1"/>
        </w:rPr>
        <w:t>The remaining 15.55% fee composition consists of the remaining three categories</w:t>
      </w:r>
      <w:r>
        <w:rPr>
          <w:color w:val="000000" w:themeColor="text1"/>
        </w:rPr>
        <w:t xml:space="preserve"> often met through their “performance obligations” on managed hotels, and other smaller sources such as fees related to design, termination, ancillary services etc.</w:t>
      </w:r>
    </w:p>
    <w:p w14:paraId="20BDEAFB" w14:textId="30EC6DA2" w:rsidR="00532B91" w:rsidRDefault="00532B91" w:rsidP="00690135">
      <w:pPr>
        <w:pStyle w:val="ListBullet"/>
        <w:numPr>
          <w:ilvl w:val="0"/>
          <w:numId w:val="0"/>
        </w:numPr>
        <w:rPr>
          <w:color w:val="000000" w:themeColor="text1"/>
        </w:rPr>
      </w:pPr>
    </w:p>
    <w:p w14:paraId="7936C082" w14:textId="38FCA72E" w:rsidR="00532B91" w:rsidRDefault="00532B91" w:rsidP="00690135">
      <w:pPr>
        <w:pStyle w:val="ListBullet"/>
        <w:numPr>
          <w:ilvl w:val="0"/>
          <w:numId w:val="0"/>
        </w:numPr>
        <w:rPr>
          <w:color w:val="000000" w:themeColor="text1"/>
        </w:rPr>
      </w:pPr>
    </w:p>
    <w:p w14:paraId="2AB9077A" w14:textId="212905AC" w:rsidR="00AB5070" w:rsidRPr="00AB5070" w:rsidRDefault="001579E9" w:rsidP="00AB5070">
      <w:pPr>
        <w:pStyle w:val="ListBullet"/>
        <w:numPr>
          <w:ilvl w:val="0"/>
          <w:numId w:val="0"/>
        </w:numPr>
        <w:rPr>
          <w:color w:val="000000" w:themeColor="text1"/>
        </w:rPr>
      </w:pPr>
      <w:r>
        <w:rPr>
          <w:noProof/>
        </w:rPr>
        <w:drawing>
          <wp:inline distT="0" distB="0" distL="0" distR="0" wp14:anchorId="6BCD60A1" wp14:editId="4B868177">
            <wp:extent cx="6172200" cy="3200400"/>
            <wp:effectExtent l="0" t="0" r="0" b="0"/>
            <wp:docPr id="2" name="Chart 2">
              <a:extLst xmlns:a="http://schemas.openxmlformats.org/drawingml/2006/main">
                <a:ext uri="{FF2B5EF4-FFF2-40B4-BE49-F238E27FC236}">
                  <a16:creationId xmlns:a16="http://schemas.microsoft.com/office/drawing/2014/main" id="{E79B054A-416A-5E53-FA2F-991DD7177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64CAF0" w14:textId="02EDF367" w:rsidR="00CA06D1" w:rsidRDefault="00CA06D1" w:rsidP="00CA06D1">
      <w:pPr>
        <w:spacing w:before="0" w:after="0" w:line="240" w:lineRule="auto"/>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Cost Split:</w:t>
      </w:r>
    </w:p>
    <w:p w14:paraId="01CA1B0E" w14:textId="082A1847" w:rsidR="00CA06D1" w:rsidRPr="00907C29" w:rsidRDefault="00CA06D1" w:rsidP="00CA06D1">
      <w:pPr>
        <w:spacing w:before="0" w:after="0" w:line="240" w:lineRule="auto"/>
        <w:rPr>
          <w:rFonts w:ascii="Calibri" w:eastAsia="Times New Roman" w:hAnsi="Calibri" w:cs="Calibri"/>
          <w:color w:val="000000"/>
          <w:sz w:val="22"/>
          <w:szCs w:val="22"/>
          <w:lang w:val="en-GB" w:eastAsia="en-GB"/>
        </w:rPr>
      </w:pPr>
      <w:r w:rsidRPr="00907C29">
        <w:rPr>
          <w:rFonts w:ascii="Calibri" w:eastAsia="Times New Roman" w:hAnsi="Calibri" w:cs="Calibri"/>
          <w:color w:val="000000"/>
          <w:sz w:val="22"/>
          <w:szCs w:val="22"/>
          <w:lang w:val="en-GB" w:eastAsia="en-GB"/>
        </w:rPr>
        <w:t>Reimburs</w:t>
      </w:r>
      <w:r>
        <w:rPr>
          <w:rFonts w:ascii="Calibri" w:eastAsia="Times New Roman" w:hAnsi="Calibri" w:cs="Calibri"/>
          <w:color w:val="000000"/>
          <w:sz w:val="22"/>
          <w:szCs w:val="22"/>
          <w:lang w:val="en-GB" w:eastAsia="en-GB"/>
        </w:rPr>
        <w:t>ed</w:t>
      </w:r>
      <w:r w:rsidRPr="00907C29">
        <w:rPr>
          <w:rFonts w:ascii="Calibri" w:eastAsia="Times New Roman" w:hAnsi="Calibri" w:cs="Calibri"/>
          <w:color w:val="000000"/>
          <w:sz w:val="22"/>
          <w:szCs w:val="22"/>
          <w:lang w:val="en-GB" w:eastAsia="en-GB"/>
        </w:rPr>
        <w:t xml:space="preserve"> </w:t>
      </w:r>
      <w:r>
        <w:rPr>
          <w:rFonts w:ascii="Calibri" w:eastAsia="Times New Roman" w:hAnsi="Calibri" w:cs="Calibri"/>
          <w:color w:val="000000"/>
          <w:sz w:val="22"/>
          <w:szCs w:val="22"/>
          <w:lang w:val="en-GB" w:eastAsia="en-GB"/>
        </w:rPr>
        <w:t>Expenses= 87.46%</w:t>
      </w:r>
    </w:p>
    <w:p w14:paraId="417C8E99" w14:textId="7B9F030B" w:rsidR="00CA06D1" w:rsidRDefault="00CA06D1" w:rsidP="00CA06D1">
      <w:pPr>
        <w:spacing w:before="0" w:after="0" w:line="240" w:lineRule="auto"/>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Owned, Leased and Other-direct= 6.2%</w:t>
      </w:r>
    </w:p>
    <w:p w14:paraId="62776B5C" w14:textId="13E41A07" w:rsidR="00CA06D1" w:rsidRPr="00907C29" w:rsidRDefault="00CA06D1" w:rsidP="00CA06D1">
      <w:pPr>
        <w:spacing w:before="0" w:after="0" w:line="240" w:lineRule="auto"/>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General, Administrative, and Other= 5.15%</w:t>
      </w:r>
    </w:p>
    <w:p w14:paraId="1A5E88DB" w14:textId="4B30D0EA" w:rsidR="00CA06D1" w:rsidRPr="00907C29" w:rsidRDefault="00CA06D1" w:rsidP="00CA06D1">
      <w:pPr>
        <w:spacing w:before="0" w:after="0" w:line="240" w:lineRule="auto"/>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Depreciation, Amortisation and Other= 1.27%</w:t>
      </w:r>
    </w:p>
    <w:p w14:paraId="38E99E86" w14:textId="0C6E396F" w:rsidR="00CA06D1" w:rsidRPr="00907C29" w:rsidRDefault="00CA06D1" w:rsidP="00CA06D1">
      <w:pPr>
        <w:spacing w:before="0" w:after="0" w:line="240" w:lineRule="auto"/>
        <w:rPr>
          <w:rFonts w:ascii="Calibri" w:eastAsia="Times New Roman" w:hAnsi="Calibri" w:cs="Calibri"/>
          <w:color w:val="000000"/>
          <w:sz w:val="22"/>
          <w:szCs w:val="22"/>
          <w:lang w:val="en-GB" w:eastAsia="en-GB"/>
        </w:rPr>
      </w:pPr>
      <w:r>
        <w:rPr>
          <w:rFonts w:ascii="Calibri" w:eastAsia="Times New Roman" w:hAnsi="Calibri" w:cs="Calibri"/>
          <w:color w:val="000000"/>
          <w:sz w:val="22"/>
          <w:szCs w:val="22"/>
          <w:lang w:val="en-GB" w:eastAsia="en-GB"/>
        </w:rPr>
        <w:t>Restructuring, Merger-Related Charges and other= 0.07%</w:t>
      </w:r>
    </w:p>
    <w:p w14:paraId="3E28B11E" w14:textId="77777777" w:rsidR="00CA06D1" w:rsidRDefault="00CA06D1" w:rsidP="00690135">
      <w:pPr>
        <w:pStyle w:val="ListBullet"/>
        <w:numPr>
          <w:ilvl w:val="0"/>
          <w:numId w:val="0"/>
        </w:numPr>
        <w:rPr>
          <w:color w:val="000000" w:themeColor="text1"/>
        </w:rPr>
      </w:pPr>
    </w:p>
    <w:p w14:paraId="648E98CE" w14:textId="4C56196C" w:rsidR="00E4768C" w:rsidRDefault="001579E9" w:rsidP="00690135">
      <w:pPr>
        <w:pStyle w:val="ListBullet"/>
        <w:numPr>
          <w:ilvl w:val="0"/>
          <w:numId w:val="0"/>
        </w:numPr>
        <w:rPr>
          <w:color w:val="000000" w:themeColor="text1"/>
        </w:rPr>
      </w:pPr>
      <w:r>
        <w:rPr>
          <w:color w:val="000000" w:themeColor="text1"/>
        </w:rPr>
        <w:t xml:space="preserve">As specified, the mirroring in cost-reimbursement revenue from the franchised hotels takes up the vast majority of the cost base. Excluding this fact, </w:t>
      </w:r>
      <w:r w:rsidR="00CA06D1">
        <w:rPr>
          <w:color w:val="000000" w:themeColor="text1"/>
        </w:rPr>
        <w:t xml:space="preserve">a primary cost driver is related </w:t>
      </w:r>
      <w:r w:rsidR="00C15E06">
        <w:rPr>
          <w:color w:val="000000" w:themeColor="text1"/>
        </w:rPr>
        <w:t xml:space="preserve">to their managed properties, with owned, </w:t>
      </w:r>
      <w:r w:rsidR="00F90652">
        <w:rPr>
          <w:color w:val="000000" w:themeColor="text1"/>
        </w:rPr>
        <w:t>leased,</w:t>
      </w:r>
      <w:r w:rsidR="00C15E06">
        <w:rPr>
          <w:color w:val="000000" w:themeColor="text1"/>
        </w:rPr>
        <w:t xml:space="preserve"> and other costs taking up 6.2% compared to the generated proportionate revenue of 6.55% that it produces.</w:t>
      </w:r>
      <w:r w:rsidR="00F90652">
        <w:rPr>
          <w:color w:val="000000" w:themeColor="text1"/>
        </w:rPr>
        <w:t xml:space="preserve"> </w:t>
      </w:r>
      <w:r w:rsidR="004F426C">
        <w:rPr>
          <w:color w:val="000000" w:themeColor="text1"/>
        </w:rPr>
        <w:t xml:space="preserve">This </w:t>
      </w:r>
      <w:r w:rsidR="00894E45">
        <w:rPr>
          <w:color w:val="000000" w:themeColor="text1"/>
        </w:rPr>
        <w:t xml:space="preserve">further </w:t>
      </w:r>
      <w:r w:rsidR="004F426C">
        <w:rPr>
          <w:color w:val="000000" w:themeColor="text1"/>
        </w:rPr>
        <w:t>contextualizes Marriot’s preference to principally operate through licensing and franchising</w:t>
      </w:r>
      <w:r w:rsidR="00894E45">
        <w:rPr>
          <w:color w:val="000000" w:themeColor="text1"/>
        </w:rPr>
        <w:t xml:space="preserve">, rather than stretching tight operational margins in a competitive hospitality industry. </w:t>
      </w:r>
      <w:r w:rsidR="003D565D">
        <w:rPr>
          <w:color w:val="000000" w:themeColor="text1"/>
        </w:rPr>
        <w:t>We can observe t</w:t>
      </w:r>
      <w:r w:rsidR="00CD090B">
        <w:rPr>
          <w:color w:val="000000" w:themeColor="text1"/>
        </w:rPr>
        <w:t xml:space="preserve">he outcomes of this growth strategy </w:t>
      </w:r>
      <w:r w:rsidR="003D565D">
        <w:rPr>
          <w:color w:val="000000" w:themeColor="text1"/>
        </w:rPr>
        <w:t xml:space="preserve">by the </w:t>
      </w:r>
      <w:r w:rsidR="00474804">
        <w:rPr>
          <w:color w:val="000000" w:themeColor="text1"/>
        </w:rPr>
        <w:t>expansive</w:t>
      </w:r>
      <w:r w:rsidR="003D565D">
        <w:rPr>
          <w:color w:val="000000" w:themeColor="text1"/>
        </w:rPr>
        <w:t xml:space="preserve"> coverage of different market segments, </w:t>
      </w:r>
      <w:r w:rsidR="00474804">
        <w:rPr>
          <w:color w:val="000000" w:themeColor="text1"/>
        </w:rPr>
        <w:t xml:space="preserve">ranging </w:t>
      </w:r>
      <w:r w:rsidR="00396687">
        <w:rPr>
          <w:color w:val="000000" w:themeColor="text1"/>
        </w:rPr>
        <w:t>from the bespoke experience offered by the Ritz-Carlton</w:t>
      </w:r>
      <w:r w:rsidR="003D565D">
        <w:rPr>
          <w:color w:val="000000" w:themeColor="text1"/>
        </w:rPr>
        <w:t xml:space="preserve"> to the cost leadership strategy employed by TownePlace.</w:t>
      </w:r>
      <w:r w:rsidR="00474804">
        <w:rPr>
          <w:color w:val="000000" w:themeColor="text1"/>
        </w:rPr>
        <w:t xml:space="preserve"> </w:t>
      </w:r>
      <w:r w:rsidR="002471D5">
        <w:rPr>
          <w:color w:val="000000" w:themeColor="text1"/>
        </w:rPr>
        <w:t xml:space="preserve">Fixed </w:t>
      </w:r>
      <w:r w:rsidR="00CD090B">
        <w:rPr>
          <w:color w:val="000000" w:themeColor="text1"/>
        </w:rPr>
        <w:t xml:space="preserve">costs </w:t>
      </w:r>
      <w:r w:rsidR="002471D5">
        <w:rPr>
          <w:color w:val="000000" w:themeColor="text1"/>
        </w:rPr>
        <w:t xml:space="preserve">arisen </w:t>
      </w:r>
      <w:r w:rsidR="00CD090B">
        <w:rPr>
          <w:color w:val="000000" w:themeColor="text1"/>
        </w:rPr>
        <w:t xml:space="preserve">from the running of their </w:t>
      </w:r>
      <w:proofErr w:type="spellStart"/>
      <w:r w:rsidR="00CD090B">
        <w:rPr>
          <w:color w:val="000000" w:themeColor="text1"/>
        </w:rPr>
        <w:t>centralised</w:t>
      </w:r>
      <w:proofErr w:type="spellEnd"/>
      <w:r w:rsidR="00CD090B">
        <w:rPr>
          <w:color w:val="000000" w:themeColor="text1"/>
        </w:rPr>
        <w:t xml:space="preserve"> operations, </w:t>
      </w:r>
      <w:r w:rsidR="002471D5">
        <w:rPr>
          <w:color w:val="000000" w:themeColor="text1"/>
        </w:rPr>
        <w:t>in addition to</w:t>
      </w:r>
      <w:r w:rsidR="00CD090B">
        <w:rPr>
          <w:color w:val="000000" w:themeColor="text1"/>
        </w:rPr>
        <w:t xml:space="preserve"> accounting adjustments and </w:t>
      </w:r>
      <w:proofErr w:type="spellStart"/>
      <w:r w:rsidR="00CD090B">
        <w:rPr>
          <w:color w:val="000000" w:themeColor="text1"/>
        </w:rPr>
        <w:t>organisational</w:t>
      </w:r>
      <w:proofErr w:type="spellEnd"/>
      <w:r w:rsidR="00CD090B">
        <w:rPr>
          <w:color w:val="000000" w:themeColor="text1"/>
        </w:rPr>
        <w:t xml:space="preserve"> change</w:t>
      </w:r>
      <w:r w:rsidR="002471D5">
        <w:rPr>
          <w:color w:val="000000" w:themeColor="text1"/>
        </w:rPr>
        <w:t xml:space="preserve"> costing are also applied </w:t>
      </w:r>
      <w:r w:rsidR="009D76C5">
        <w:rPr>
          <w:color w:val="000000" w:themeColor="text1"/>
        </w:rPr>
        <w:t>(Marriott, 2022).</w:t>
      </w:r>
    </w:p>
    <w:p w14:paraId="085E261C" w14:textId="1EE8BC44" w:rsidR="00474804" w:rsidRDefault="00474804" w:rsidP="00690135">
      <w:pPr>
        <w:pStyle w:val="ListBullet"/>
        <w:numPr>
          <w:ilvl w:val="0"/>
          <w:numId w:val="0"/>
        </w:numPr>
        <w:rPr>
          <w:color w:val="000000" w:themeColor="text1"/>
        </w:rPr>
      </w:pPr>
    </w:p>
    <w:p w14:paraId="618B4A1A" w14:textId="3DCB4CC2" w:rsidR="00474804" w:rsidRDefault="00CD090B" w:rsidP="00690135">
      <w:pPr>
        <w:pStyle w:val="ListBullet"/>
        <w:numPr>
          <w:ilvl w:val="0"/>
          <w:numId w:val="0"/>
        </w:numPr>
        <w:rPr>
          <w:color w:val="000000" w:themeColor="text1"/>
        </w:rPr>
      </w:pPr>
      <w:r>
        <w:rPr>
          <w:color w:val="000000" w:themeColor="text1"/>
        </w:rPr>
        <w:lastRenderedPageBreak/>
        <w:t xml:space="preserve">It is worth noting the premise of the franchise model is stimulated from the coveted Marriot brand itself, which have a myriad of underlying factors relating to its composition. </w:t>
      </w:r>
      <w:r w:rsidR="00C73BF0">
        <w:rPr>
          <w:color w:val="000000" w:themeColor="text1"/>
        </w:rPr>
        <w:t xml:space="preserve">A prominent contributor is their loyalty </w:t>
      </w:r>
      <w:proofErr w:type="spellStart"/>
      <w:r w:rsidR="00C73BF0">
        <w:rPr>
          <w:color w:val="000000" w:themeColor="text1"/>
        </w:rPr>
        <w:t>programme</w:t>
      </w:r>
      <w:proofErr w:type="spellEnd"/>
      <w:r w:rsidR="00C73BF0">
        <w:rPr>
          <w:color w:val="000000" w:themeColor="text1"/>
        </w:rPr>
        <w:t>, Marriot Bonvoy, which adds an additional layer of value</w:t>
      </w:r>
      <w:r w:rsidR="00396687">
        <w:rPr>
          <w:color w:val="000000" w:themeColor="text1"/>
        </w:rPr>
        <w:t xml:space="preserve"> (</w:t>
      </w:r>
      <w:proofErr w:type="gramStart"/>
      <w:r w:rsidR="00396687">
        <w:rPr>
          <w:color w:val="000000" w:themeColor="text1"/>
        </w:rPr>
        <w:t>e.g.</w:t>
      </w:r>
      <w:proofErr w:type="gramEnd"/>
      <w:r w:rsidR="00396687">
        <w:rPr>
          <w:color w:val="000000" w:themeColor="text1"/>
        </w:rPr>
        <w:t xml:space="preserve"> room upgrades, lounge access and other amenities)</w:t>
      </w:r>
      <w:r w:rsidR="00C73BF0">
        <w:rPr>
          <w:color w:val="000000" w:themeColor="text1"/>
        </w:rPr>
        <w:t xml:space="preserve"> to the consumer beyond the widespread elite service standards set by the conglomerate. </w:t>
      </w:r>
    </w:p>
    <w:p w14:paraId="50BCA0F9" w14:textId="6F78437A" w:rsidR="00396687" w:rsidRDefault="00396687" w:rsidP="00690135">
      <w:pPr>
        <w:pStyle w:val="ListBullet"/>
        <w:numPr>
          <w:ilvl w:val="0"/>
          <w:numId w:val="0"/>
        </w:numPr>
        <w:rPr>
          <w:color w:val="000000" w:themeColor="text1"/>
        </w:rPr>
      </w:pPr>
    </w:p>
    <w:p w14:paraId="49B134A3" w14:textId="1FB988EE" w:rsidR="00474804" w:rsidRDefault="002D360A" w:rsidP="00690135">
      <w:pPr>
        <w:pStyle w:val="ListBullet"/>
        <w:numPr>
          <w:ilvl w:val="0"/>
          <w:numId w:val="0"/>
        </w:numPr>
        <w:rPr>
          <w:b/>
          <w:bCs/>
          <w:color w:val="000000" w:themeColor="text1"/>
        </w:rPr>
      </w:pPr>
      <w:r w:rsidRPr="002D360A">
        <w:rPr>
          <w:b/>
          <w:bCs/>
          <w:color w:val="000000" w:themeColor="text1"/>
        </w:rPr>
        <w:t>Past, Present and Future</w:t>
      </w:r>
      <w:r>
        <w:rPr>
          <w:b/>
          <w:bCs/>
          <w:color w:val="000000" w:themeColor="text1"/>
        </w:rPr>
        <w:t>:</w:t>
      </w:r>
    </w:p>
    <w:p w14:paraId="2BC6C6D6" w14:textId="03C6D850" w:rsidR="002D360A" w:rsidRDefault="002D360A" w:rsidP="00690135">
      <w:pPr>
        <w:pStyle w:val="ListBullet"/>
        <w:numPr>
          <w:ilvl w:val="0"/>
          <w:numId w:val="0"/>
        </w:numPr>
        <w:rPr>
          <w:b/>
          <w:bCs/>
          <w:color w:val="000000" w:themeColor="text1"/>
        </w:rPr>
      </w:pPr>
    </w:p>
    <w:p w14:paraId="7E651CFF" w14:textId="068578CB" w:rsidR="002D360A" w:rsidRDefault="002D360A" w:rsidP="00690135">
      <w:pPr>
        <w:pStyle w:val="ListBullet"/>
        <w:numPr>
          <w:ilvl w:val="0"/>
          <w:numId w:val="0"/>
        </w:numPr>
        <w:rPr>
          <w:color w:val="000000" w:themeColor="text1"/>
        </w:rPr>
      </w:pPr>
      <w:r>
        <w:rPr>
          <w:color w:val="000000" w:themeColor="text1"/>
        </w:rPr>
        <w:t>In order to encapsulate the relative performance of Marriot</w:t>
      </w:r>
      <w:r w:rsidR="000A06C6">
        <w:rPr>
          <w:color w:val="000000" w:themeColor="text1"/>
        </w:rPr>
        <w:t>t</w:t>
      </w:r>
      <w:r>
        <w:rPr>
          <w:color w:val="000000" w:themeColor="text1"/>
        </w:rPr>
        <w:t xml:space="preserve"> in light of the R&amp;C drivers, it is vital to </w:t>
      </w:r>
      <w:proofErr w:type="spellStart"/>
      <w:r>
        <w:rPr>
          <w:color w:val="000000" w:themeColor="text1"/>
        </w:rPr>
        <w:t>contextualise</w:t>
      </w:r>
      <w:proofErr w:type="spellEnd"/>
      <w:r>
        <w:rPr>
          <w:color w:val="000000" w:themeColor="text1"/>
        </w:rPr>
        <w:t xml:space="preserve"> the data</w:t>
      </w:r>
      <w:r w:rsidR="002471D5">
        <w:rPr>
          <w:color w:val="000000" w:themeColor="text1"/>
        </w:rPr>
        <w:t>.</w:t>
      </w:r>
      <w:r>
        <w:rPr>
          <w:color w:val="000000" w:themeColor="text1"/>
        </w:rPr>
        <w:t xml:space="preserve"> </w:t>
      </w:r>
      <w:r w:rsidR="002471D5">
        <w:rPr>
          <w:color w:val="000000" w:themeColor="text1"/>
        </w:rPr>
        <w:t>The method of which will be</w:t>
      </w:r>
      <w:r w:rsidR="00133DDD">
        <w:rPr>
          <w:color w:val="000000" w:themeColor="text1"/>
        </w:rPr>
        <w:t xml:space="preserve"> a</w:t>
      </w:r>
      <w:r>
        <w:rPr>
          <w:color w:val="000000" w:themeColor="text1"/>
        </w:rPr>
        <w:t xml:space="preserve"> peer-benchmar</w:t>
      </w:r>
      <w:r w:rsidR="00133DDD">
        <w:rPr>
          <w:color w:val="000000" w:themeColor="text1"/>
        </w:rPr>
        <w:t>k</w:t>
      </w:r>
      <w:r w:rsidR="000A06C6">
        <w:rPr>
          <w:color w:val="000000" w:themeColor="text1"/>
        </w:rPr>
        <w:t xml:space="preserve"> and</w:t>
      </w:r>
      <w:r w:rsidR="002471D5">
        <w:rPr>
          <w:color w:val="000000" w:themeColor="text1"/>
        </w:rPr>
        <w:t xml:space="preserve"> analysis included with</w:t>
      </w:r>
      <w:r>
        <w:rPr>
          <w:color w:val="000000" w:themeColor="text1"/>
        </w:rPr>
        <w:t>in the following.</w:t>
      </w:r>
      <w:r w:rsidR="000B2AA4">
        <w:rPr>
          <w:color w:val="000000" w:themeColor="text1"/>
        </w:rPr>
        <w:t xml:space="preserve"> </w:t>
      </w:r>
      <w:r w:rsidR="000A06C6">
        <w:rPr>
          <w:color w:val="000000" w:themeColor="text1"/>
        </w:rPr>
        <w:t xml:space="preserve">In the revitalizing year of 2022, Marriott managed to recover to an operating profit margin of </w:t>
      </w:r>
      <w:r w:rsidR="00583E75">
        <w:rPr>
          <w:color w:val="000000" w:themeColor="text1"/>
        </w:rPr>
        <w:t xml:space="preserve">16.67%, and a net margin (after tax) of 11.35%. </w:t>
      </w:r>
      <w:r w:rsidR="00864531">
        <w:rPr>
          <w:color w:val="000000" w:themeColor="text1"/>
        </w:rPr>
        <w:t>With direct comparison to another global incumbent in Hilton</w:t>
      </w:r>
      <w:r w:rsidR="003C1DD2">
        <w:rPr>
          <w:color w:val="000000" w:themeColor="text1"/>
        </w:rPr>
        <w:t xml:space="preserve"> Worldwide Holdings Inc. (2022)</w:t>
      </w:r>
      <w:r w:rsidR="00864531">
        <w:rPr>
          <w:color w:val="000000" w:themeColor="text1"/>
        </w:rPr>
        <w:t xml:space="preserve">, </w:t>
      </w:r>
      <w:r w:rsidR="00173265">
        <w:rPr>
          <w:color w:val="000000" w:themeColor="text1"/>
        </w:rPr>
        <w:t xml:space="preserve">margins were notably lower with Hilton boasting 23.87% and 14.31% </w:t>
      </w:r>
      <w:r w:rsidR="00B84981" w:rsidRPr="005D6B16">
        <w:rPr>
          <w:rFonts w:cstheme="minorHAnsi"/>
          <w:color w:val="000000" w:themeColor="text1"/>
        </w:rPr>
        <w:t xml:space="preserve">respectively. </w:t>
      </w:r>
      <w:r w:rsidR="00B84981" w:rsidRPr="005D6B16">
        <w:rPr>
          <w:rFonts w:cstheme="minorHAnsi"/>
          <w:color w:val="000000" w:themeColor="text1"/>
        </w:rPr>
        <w:tab/>
        <w:t>A compelling case can be made for a degree of diseconomies of scale given the magnitude of Marriott’s operations. However, from an investor perspective,</w:t>
      </w:r>
      <w:r w:rsidR="005D6B16" w:rsidRPr="005D6B16">
        <w:rPr>
          <w:rFonts w:cstheme="minorHAnsi"/>
          <w:color w:val="000000" w:themeColor="text1"/>
        </w:rPr>
        <w:t xml:space="preserve"> Forbes</w:t>
      </w:r>
      <w:r w:rsidR="00F011A0">
        <w:rPr>
          <w:rFonts w:cstheme="minorHAnsi"/>
          <w:color w:val="000000" w:themeColor="text1"/>
        </w:rPr>
        <w:t xml:space="preserve"> (2021)</w:t>
      </w:r>
      <w:r w:rsidR="005D6B16" w:rsidRPr="005D6B16">
        <w:rPr>
          <w:rFonts w:cstheme="minorHAnsi"/>
          <w:color w:val="000000" w:themeColor="text1"/>
        </w:rPr>
        <w:t xml:space="preserve"> highlight</w:t>
      </w:r>
      <w:r w:rsidR="00F011A0">
        <w:rPr>
          <w:rFonts w:cstheme="minorHAnsi"/>
          <w:color w:val="000000" w:themeColor="text1"/>
        </w:rPr>
        <w:t>ed</w:t>
      </w:r>
      <w:r w:rsidR="005D6B16" w:rsidRPr="005D6B16">
        <w:rPr>
          <w:rFonts w:cstheme="minorHAnsi"/>
          <w:color w:val="000000" w:themeColor="text1"/>
        </w:rPr>
        <w:t xml:space="preserve"> a valuable </w:t>
      </w:r>
      <w:r w:rsidR="00F011A0">
        <w:rPr>
          <w:rFonts w:cstheme="minorHAnsi"/>
          <w:color w:val="000000" w:themeColor="text1"/>
        </w:rPr>
        <w:t xml:space="preserve">trend </w:t>
      </w:r>
      <w:r w:rsidR="005D6B16" w:rsidRPr="005D6B16">
        <w:rPr>
          <w:rFonts w:cstheme="minorHAnsi"/>
          <w:color w:val="000000" w:themeColor="text1"/>
        </w:rPr>
        <w:t xml:space="preserve">that </w:t>
      </w:r>
      <w:r w:rsidR="00F011A0">
        <w:rPr>
          <w:rFonts w:cstheme="minorHAnsi"/>
          <w:color w:val="000000" w:themeColor="text1"/>
        </w:rPr>
        <w:t xml:space="preserve">continues as </w:t>
      </w:r>
      <w:r w:rsidR="005D6B16" w:rsidRPr="005D6B16">
        <w:rPr>
          <w:rFonts w:cstheme="minorHAnsi"/>
          <w:color w:val="000000" w:themeColor="text1"/>
        </w:rPr>
        <w:t>“</w:t>
      </w:r>
      <w:r w:rsidR="005D6B16" w:rsidRPr="005D6B16">
        <w:rPr>
          <w:rFonts w:cstheme="minorHAnsi"/>
          <w:color w:val="000000" w:themeColor="text1"/>
          <w:shd w:val="clear" w:color="auto" w:fill="FCFCFC"/>
        </w:rPr>
        <w:t>Hilton’s consistently better profitability is rewarded by investors in the form of a higher valuation multiple (P/S)</w:t>
      </w:r>
      <w:r w:rsidR="005D6B16" w:rsidRPr="005D6B16">
        <w:rPr>
          <w:rFonts w:cstheme="minorHAnsi"/>
          <w:color w:val="000000" w:themeColor="text1"/>
          <w:shd w:val="clear" w:color="auto" w:fill="FCFCFC"/>
        </w:rPr>
        <w:t>”</w:t>
      </w:r>
      <w:r w:rsidR="005D6B16">
        <w:rPr>
          <w:rFonts w:cstheme="minorHAnsi"/>
          <w:color w:val="000000" w:themeColor="text1"/>
          <w:shd w:val="clear" w:color="auto" w:fill="FCFCFC"/>
        </w:rPr>
        <w:t>. Therefore, further fundamental analysis beyond the income statement is required to assess whether investors are currently pricing in the outlook for both firms, with value judgements on strategic direction needed for more informed assertions.</w:t>
      </w:r>
      <w:r w:rsidR="001C3E27">
        <w:rPr>
          <w:rFonts w:cstheme="minorHAnsi"/>
          <w:color w:val="000000" w:themeColor="text1"/>
          <w:shd w:val="clear" w:color="auto" w:fill="FCFCFC"/>
        </w:rPr>
        <w:t xml:space="preserve"> </w:t>
      </w:r>
      <w:r w:rsidR="00133DDD">
        <w:rPr>
          <w:rFonts w:cstheme="minorHAnsi"/>
          <w:color w:val="000000" w:themeColor="text1"/>
          <w:shd w:val="clear" w:color="auto" w:fill="FCFCFC"/>
        </w:rPr>
        <w:t>In regard to</w:t>
      </w:r>
      <w:r w:rsidR="001C3E27">
        <w:rPr>
          <w:rFonts w:cstheme="minorHAnsi"/>
          <w:color w:val="000000" w:themeColor="text1"/>
          <w:shd w:val="clear" w:color="auto" w:fill="FCFCFC"/>
        </w:rPr>
        <w:t xml:space="preserve"> future prospects, Melius Research analysts state that</w:t>
      </w:r>
      <w:r w:rsidR="005D6B16">
        <w:rPr>
          <w:rFonts w:cstheme="minorHAnsi"/>
          <w:color w:val="000000" w:themeColor="text1"/>
          <w:shd w:val="clear" w:color="auto" w:fill="FCFCFC"/>
        </w:rPr>
        <w:t xml:space="preserve"> </w:t>
      </w:r>
      <w:r w:rsidR="001C3E27">
        <w:rPr>
          <w:rFonts w:cstheme="minorHAnsi"/>
          <w:color w:val="000000" w:themeColor="text1"/>
          <w:shd w:val="clear" w:color="auto" w:fill="FCFCFC"/>
        </w:rPr>
        <w:t>“</w:t>
      </w:r>
      <w:r w:rsidR="001C3E27" w:rsidRPr="001C3E27">
        <w:rPr>
          <w:rFonts w:cstheme="minorHAnsi"/>
          <w:color w:val="000000" w:themeColor="text1"/>
          <w:shd w:val="clear" w:color="auto" w:fill="FFFFFF"/>
        </w:rPr>
        <w:t>Marriott is clearly sending a message they want to play more of a role in the midscale market</w:t>
      </w:r>
      <w:r w:rsidR="001C3E27">
        <w:rPr>
          <w:rFonts w:cstheme="minorHAnsi"/>
          <w:color w:val="000000" w:themeColor="text1"/>
          <w:shd w:val="clear" w:color="auto" w:fill="FFFFFF"/>
        </w:rPr>
        <w:t>” (Yahoo! Finance</w:t>
      </w:r>
      <w:r w:rsidR="00AE788B">
        <w:rPr>
          <w:rFonts w:cstheme="minorHAnsi"/>
          <w:color w:val="000000" w:themeColor="text1"/>
          <w:shd w:val="clear" w:color="auto" w:fill="FFFFFF"/>
        </w:rPr>
        <w:t>, 2023</w:t>
      </w:r>
      <w:r w:rsidR="001C3E27">
        <w:rPr>
          <w:rFonts w:cstheme="minorHAnsi"/>
          <w:color w:val="000000" w:themeColor="text1"/>
          <w:shd w:val="clear" w:color="auto" w:fill="FFFFFF"/>
        </w:rPr>
        <w:t>)</w:t>
      </w:r>
      <w:r w:rsidR="001C3E27">
        <w:rPr>
          <w:rFonts w:cstheme="minorHAnsi"/>
          <w:color w:val="000000" w:themeColor="text1"/>
          <w:shd w:val="clear" w:color="auto" w:fill="FFFFFF"/>
        </w:rPr>
        <w:t>.</w:t>
      </w:r>
      <w:r w:rsidR="001C3E27">
        <w:rPr>
          <w:rFonts w:cstheme="minorHAnsi"/>
          <w:color w:val="000000" w:themeColor="text1"/>
          <w:shd w:val="clear" w:color="auto" w:fill="FFFFFF"/>
        </w:rPr>
        <w:t xml:space="preserve"> </w:t>
      </w:r>
      <w:r w:rsidR="005D6B16">
        <w:rPr>
          <w:rFonts w:cstheme="minorHAnsi"/>
          <w:color w:val="000000" w:themeColor="text1"/>
          <w:shd w:val="clear" w:color="auto" w:fill="FCFCFC"/>
        </w:rPr>
        <w:t xml:space="preserve">Time will tell if </w:t>
      </w:r>
      <w:r w:rsidR="001C3E27">
        <w:rPr>
          <w:rFonts w:cstheme="minorHAnsi"/>
          <w:color w:val="000000" w:themeColor="text1"/>
          <w:shd w:val="clear" w:color="auto" w:fill="FCFCFC"/>
        </w:rPr>
        <w:t xml:space="preserve">Marriott’s plot to extend their market coverage </w:t>
      </w:r>
      <w:r w:rsidR="001C3E27">
        <w:rPr>
          <w:rFonts w:cstheme="minorHAnsi"/>
          <w:color w:val="000000" w:themeColor="text1"/>
          <w:shd w:val="clear" w:color="auto" w:fill="FFFFFF"/>
        </w:rPr>
        <w:t>will lead to a sustainable competitive advantage in this dynamic sector.</w:t>
      </w:r>
    </w:p>
    <w:p w14:paraId="5AB3B838" w14:textId="3BAF2FBC" w:rsidR="002D360A" w:rsidRDefault="002D360A" w:rsidP="00690135">
      <w:pPr>
        <w:pStyle w:val="ListBullet"/>
        <w:numPr>
          <w:ilvl w:val="0"/>
          <w:numId w:val="0"/>
        </w:numPr>
        <w:rPr>
          <w:color w:val="000000" w:themeColor="text1"/>
        </w:rPr>
      </w:pPr>
    </w:p>
    <w:p w14:paraId="4AC70EA5" w14:textId="5063607B" w:rsidR="002D360A" w:rsidRDefault="002D360A" w:rsidP="00690135">
      <w:pPr>
        <w:pStyle w:val="ListBullet"/>
        <w:numPr>
          <w:ilvl w:val="0"/>
          <w:numId w:val="0"/>
        </w:numPr>
        <w:rPr>
          <w:color w:val="000000" w:themeColor="text1"/>
        </w:rPr>
      </w:pPr>
    </w:p>
    <w:p w14:paraId="2B5137AA" w14:textId="65D134E5" w:rsidR="002D360A" w:rsidRDefault="002D360A" w:rsidP="00690135">
      <w:pPr>
        <w:pStyle w:val="ListBullet"/>
        <w:numPr>
          <w:ilvl w:val="0"/>
          <w:numId w:val="0"/>
        </w:numPr>
        <w:rPr>
          <w:color w:val="000000" w:themeColor="text1"/>
        </w:rPr>
      </w:pPr>
    </w:p>
    <w:p w14:paraId="25E7219D" w14:textId="2F015782" w:rsidR="002D360A" w:rsidRDefault="002D360A" w:rsidP="00690135">
      <w:pPr>
        <w:pStyle w:val="ListBullet"/>
        <w:numPr>
          <w:ilvl w:val="0"/>
          <w:numId w:val="0"/>
        </w:numPr>
        <w:rPr>
          <w:color w:val="000000" w:themeColor="text1"/>
        </w:rPr>
      </w:pPr>
    </w:p>
    <w:p w14:paraId="6186D70A" w14:textId="0CF4790C" w:rsidR="002D360A" w:rsidRDefault="002D360A" w:rsidP="00690135">
      <w:pPr>
        <w:pStyle w:val="ListBullet"/>
        <w:numPr>
          <w:ilvl w:val="0"/>
          <w:numId w:val="0"/>
        </w:numPr>
        <w:rPr>
          <w:color w:val="000000" w:themeColor="text1"/>
        </w:rPr>
      </w:pPr>
    </w:p>
    <w:p w14:paraId="19D46FBE" w14:textId="05CF9036" w:rsidR="002D360A" w:rsidRDefault="002D360A" w:rsidP="00690135">
      <w:pPr>
        <w:pStyle w:val="ListBullet"/>
        <w:numPr>
          <w:ilvl w:val="0"/>
          <w:numId w:val="0"/>
        </w:numPr>
        <w:rPr>
          <w:color w:val="000000" w:themeColor="text1"/>
        </w:rPr>
      </w:pPr>
    </w:p>
    <w:p w14:paraId="06DC2656" w14:textId="46B765FE" w:rsidR="002D360A" w:rsidRDefault="002D360A" w:rsidP="00690135">
      <w:pPr>
        <w:pStyle w:val="ListBullet"/>
        <w:numPr>
          <w:ilvl w:val="0"/>
          <w:numId w:val="0"/>
        </w:numPr>
        <w:rPr>
          <w:color w:val="000000" w:themeColor="text1"/>
        </w:rPr>
      </w:pPr>
    </w:p>
    <w:p w14:paraId="0F1AB458" w14:textId="0E855E73" w:rsidR="002D360A" w:rsidRDefault="002D360A" w:rsidP="00690135">
      <w:pPr>
        <w:pStyle w:val="ListBullet"/>
        <w:numPr>
          <w:ilvl w:val="0"/>
          <w:numId w:val="0"/>
        </w:numPr>
        <w:rPr>
          <w:color w:val="000000" w:themeColor="text1"/>
        </w:rPr>
      </w:pPr>
    </w:p>
    <w:p w14:paraId="2C48964F" w14:textId="77777777" w:rsidR="00B84981" w:rsidRDefault="00B84981" w:rsidP="00690135">
      <w:pPr>
        <w:pStyle w:val="ListBullet"/>
        <w:numPr>
          <w:ilvl w:val="0"/>
          <w:numId w:val="0"/>
        </w:numPr>
        <w:rPr>
          <w:color w:val="000000" w:themeColor="text1"/>
        </w:rPr>
      </w:pPr>
    </w:p>
    <w:p w14:paraId="62942554" w14:textId="73B0BD8B" w:rsidR="002D360A" w:rsidRDefault="002D360A" w:rsidP="002D360A">
      <w:pPr>
        <w:pStyle w:val="Heading2"/>
        <w:numPr>
          <w:ilvl w:val="0"/>
          <w:numId w:val="9"/>
        </w:numPr>
        <w:rPr>
          <w:rFonts w:ascii="Trebuchet MS" w:hAnsi="Trebuchet MS" w:cstheme="minorHAnsi"/>
          <w:color w:val="000000" w:themeColor="text1"/>
        </w:rPr>
      </w:pPr>
      <w:r>
        <w:rPr>
          <w:rFonts w:ascii="Trebuchet MS" w:hAnsi="Trebuchet MS" w:cstheme="minorHAnsi"/>
          <w:color w:val="000000" w:themeColor="text1"/>
        </w:rPr>
        <w:t>Johnson and johnson (J&amp;J)</w:t>
      </w:r>
    </w:p>
    <w:p w14:paraId="41F06CE1" w14:textId="2B1BCC0F" w:rsidR="002D360A" w:rsidRDefault="002D360A" w:rsidP="002D360A"/>
    <w:p w14:paraId="64702C85" w14:textId="01EACF28" w:rsidR="00777DF8" w:rsidRDefault="00777DF8" w:rsidP="002D360A">
      <w:pPr>
        <w:rPr>
          <w:color w:val="000000" w:themeColor="text1"/>
        </w:rPr>
      </w:pPr>
      <w:r>
        <w:rPr>
          <w:color w:val="000000" w:themeColor="text1"/>
        </w:rPr>
        <w:t xml:space="preserve">As a healthcare titan, J&amp;J boast a multitude of products and solutions spanning across their “three business segments: Consumer Health, Pharmaceutical and MedTech”. Looming amongst the </w:t>
      </w:r>
      <w:r w:rsidR="005E7638">
        <w:rPr>
          <w:color w:val="000000" w:themeColor="text1"/>
        </w:rPr>
        <w:t xml:space="preserve">healthcare landscape is the question of how the major players will facilitate the transition into a post-pandemic world, and the impact on stability as they shift their focus from the urgent demand posed by COVID-19. Conducting an R&amp;C analysis on J&amp;J provides pertinent insights on the factors that could </w:t>
      </w:r>
      <w:r w:rsidR="00233143">
        <w:rPr>
          <w:color w:val="000000" w:themeColor="text1"/>
        </w:rPr>
        <w:t xml:space="preserve">make or break this period for an influential organization within this </w:t>
      </w:r>
      <w:r w:rsidR="00887C32">
        <w:rPr>
          <w:color w:val="000000" w:themeColor="text1"/>
        </w:rPr>
        <w:t>space</w:t>
      </w:r>
      <w:r w:rsidR="00233143">
        <w:rPr>
          <w:color w:val="000000" w:themeColor="text1"/>
        </w:rPr>
        <w:t xml:space="preserve">. </w:t>
      </w:r>
    </w:p>
    <w:p w14:paraId="61B44664" w14:textId="45858560" w:rsidR="00233143" w:rsidRPr="00887C32" w:rsidRDefault="00887C32" w:rsidP="002D360A">
      <w:pPr>
        <w:rPr>
          <w:b/>
          <w:bCs/>
          <w:color w:val="000000" w:themeColor="text1"/>
        </w:rPr>
      </w:pPr>
      <w:r w:rsidRPr="00887C32">
        <w:rPr>
          <w:b/>
          <w:bCs/>
          <w:color w:val="000000" w:themeColor="text1"/>
        </w:rPr>
        <w:t>Health is Wealth:</w:t>
      </w:r>
    </w:p>
    <w:p w14:paraId="6F5DEA0D" w14:textId="5BC9C31B" w:rsidR="002D360A" w:rsidRDefault="00953F14" w:rsidP="002D360A">
      <w:pPr>
        <w:rPr>
          <w:color w:val="000000" w:themeColor="text1"/>
        </w:rPr>
      </w:pPr>
      <w:r>
        <w:rPr>
          <w:color w:val="000000" w:themeColor="text1"/>
        </w:rPr>
        <w:t>In J&amp;J’s annual report (2022)</w:t>
      </w:r>
      <w:r w:rsidRPr="00953F14">
        <w:rPr>
          <w:color w:val="000000" w:themeColor="text1"/>
        </w:rPr>
        <w:t xml:space="preserve"> </w:t>
      </w:r>
      <w:r>
        <w:rPr>
          <w:color w:val="000000" w:themeColor="text1"/>
        </w:rPr>
        <w:t xml:space="preserve">p.22-28, business segments are </w:t>
      </w:r>
      <w:proofErr w:type="spellStart"/>
      <w:r>
        <w:rPr>
          <w:color w:val="000000" w:themeColor="text1"/>
        </w:rPr>
        <w:t>organi</w:t>
      </w:r>
      <w:r w:rsidR="00AB5103">
        <w:rPr>
          <w:color w:val="000000" w:themeColor="text1"/>
        </w:rPr>
        <w:t>s</w:t>
      </w:r>
      <w:r>
        <w:rPr>
          <w:color w:val="000000" w:themeColor="text1"/>
        </w:rPr>
        <w:t>ed</w:t>
      </w:r>
      <w:proofErr w:type="spellEnd"/>
      <w:r>
        <w:rPr>
          <w:color w:val="000000" w:themeColor="text1"/>
        </w:rPr>
        <w:t xml:space="preserve"> into tranches that exhibit the </w:t>
      </w:r>
      <w:r w:rsidR="007C7B80">
        <w:rPr>
          <w:color w:val="000000" w:themeColor="text1"/>
        </w:rPr>
        <w:t xml:space="preserve">revenue drivers in a concise manner. </w:t>
      </w:r>
      <w:r w:rsidR="00AB5103">
        <w:rPr>
          <w:color w:val="000000" w:themeColor="text1"/>
        </w:rPr>
        <w:t xml:space="preserve">On a global scale, J&amp;J generated increased sales of “1.3% to $94.9 billion as compared to an increase of 13.6% in 2021”. </w:t>
      </w:r>
    </w:p>
    <w:p w14:paraId="01D791ED" w14:textId="6E9815AC" w:rsidR="00AB5103" w:rsidRPr="00953F14" w:rsidRDefault="00C33668" w:rsidP="002D360A">
      <w:pPr>
        <w:rPr>
          <w:color w:val="000000" w:themeColor="text1"/>
        </w:rPr>
      </w:pPr>
      <w:r>
        <w:rPr>
          <w:noProof/>
        </w:rPr>
        <w:drawing>
          <wp:inline distT="0" distB="0" distL="0" distR="0" wp14:anchorId="5B846776" wp14:editId="1CFAB61E">
            <wp:extent cx="4572000" cy="2743200"/>
            <wp:effectExtent l="0" t="0" r="0" b="0"/>
            <wp:docPr id="3" name="Chart 3">
              <a:extLst xmlns:a="http://schemas.openxmlformats.org/drawingml/2006/main">
                <a:ext uri="{FF2B5EF4-FFF2-40B4-BE49-F238E27FC236}">
                  <a16:creationId xmlns:a16="http://schemas.microsoft.com/office/drawing/2014/main" id="{4AF77BAD-20CB-AED7-C9F1-EB94B4D95B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BB1D8C" w14:textId="05697528" w:rsidR="002D360A" w:rsidRDefault="002D360A" w:rsidP="00690135">
      <w:pPr>
        <w:pStyle w:val="ListBullet"/>
        <w:numPr>
          <w:ilvl w:val="0"/>
          <w:numId w:val="0"/>
        </w:numPr>
        <w:rPr>
          <w:color w:val="000000" w:themeColor="text1"/>
        </w:rPr>
      </w:pPr>
    </w:p>
    <w:p w14:paraId="39C02539" w14:textId="1B60BD32" w:rsidR="002D360A" w:rsidRDefault="002D360A" w:rsidP="00690135">
      <w:pPr>
        <w:pStyle w:val="ListBullet"/>
        <w:numPr>
          <w:ilvl w:val="0"/>
          <w:numId w:val="0"/>
        </w:numPr>
        <w:rPr>
          <w:color w:val="000000" w:themeColor="text1"/>
        </w:rPr>
      </w:pPr>
    </w:p>
    <w:p w14:paraId="6946F78F" w14:textId="4C487F05" w:rsidR="002D360A" w:rsidRDefault="002D360A" w:rsidP="00690135">
      <w:pPr>
        <w:pStyle w:val="ListBullet"/>
        <w:numPr>
          <w:ilvl w:val="0"/>
          <w:numId w:val="0"/>
        </w:numPr>
        <w:rPr>
          <w:color w:val="000000" w:themeColor="text1"/>
        </w:rPr>
      </w:pPr>
    </w:p>
    <w:p w14:paraId="143DC054" w14:textId="6C745DDA" w:rsidR="00AB5070" w:rsidRDefault="00AB5070" w:rsidP="00690135">
      <w:pPr>
        <w:pStyle w:val="ListBullet"/>
        <w:numPr>
          <w:ilvl w:val="0"/>
          <w:numId w:val="0"/>
        </w:numPr>
        <w:rPr>
          <w:color w:val="000000" w:themeColor="text1"/>
        </w:rPr>
      </w:pPr>
      <w:r>
        <w:rPr>
          <w:color w:val="000000" w:themeColor="text1"/>
        </w:rPr>
        <w:t>From the above graphic,</w:t>
      </w:r>
      <w:r w:rsidR="005106AF">
        <w:rPr>
          <w:color w:val="000000" w:themeColor="text1"/>
        </w:rPr>
        <w:t xml:space="preserve"> we see the segment split in action, with minor year-on-year changes in each of the three revenue sources. </w:t>
      </w:r>
      <w:r w:rsidR="002F20EA">
        <w:rPr>
          <w:color w:val="000000" w:themeColor="text1"/>
        </w:rPr>
        <w:t>Consumer Health, the smallest segment of the three, declined 0.55% from 2021</w:t>
      </w:r>
      <w:r w:rsidR="00153F80">
        <w:rPr>
          <w:color w:val="000000" w:themeColor="text1"/>
        </w:rPr>
        <w:t xml:space="preserve"> to 20</w:t>
      </w:r>
      <w:r w:rsidR="002F20EA">
        <w:rPr>
          <w:color w:val="000000" w:themeColor="text1"/>
        </w:rPr>
        <w:t xml:space="preserve">22. Under the same period, the other revenue drivers in MedTech and Pharmaceutical grew by </w:t>
      </w:r>
      <w:r w:rsidR="00213A64">
        <w:rPr>
          <w:color w:val="000000" w:themeColor="text1"/>
        </w:rPr>
        <w:t xml:space="preserve">1.36% and 1.71% respectively. It is clear that Pharmaceuticals have the largest </w:t>
      </w:r>
      <w:r w:rsidR="004370E6">
        <w:rPr>
          <w:color w:val="000000" w:themeColor="text1"/>
        </w:rPr>
        <w:t>influence</w:t>
      </w:r>
      <w:r w:rsidR="00213A64">
        <w:rPr>
          <w:color w:val="000000" w:themeColor="text1"/>
        </w:rPr>
        <w:t xml:space="preserve"> on sales revenue, but to gain a detailed picture on underlying drivers, sub-categories have been established on p.25. </w:t>
      </w:r>
      <w:r w:rsidR="004370E6">
        <w:rPr>
          <w:color w:val="000000" w:themeColor="text1"/>
        </w:rPr>
        <w:t xml:space="preserve">Delving deeper in, Oncology and Immunology </w:t>
      </w:r>
      <w:r w:rsidR="009D5B74">
        <w:rPr>
          <w:color w:val="000000" w:themeColor="text1"/>
        </w:rPr>
        <w:t xml:space="preserve">pose a degree of risk, given their proportionate value to the wider treatment pool. This exposes a sector-specific vulnerability, which </w:t>
      </w:r>
      <w:r w:rsidR="008448C4">
        <w:rPr>
          <w:color w:val="000000" w:themeColor="text1"/>
        </w:rPr>
        <w:t>relies on</w:t>
      </w:r>
      <w:r w:rsidR="009D5B74">
        <w:rPr>
          <w:color w:val="000000" w:themeColor="text1"/>
        </w:rPr>
        <w:t xml:space="preserve"> the efficiency of companies </w:t>
      </w:r>
      <w:r w:rsidR="00153F80">
        <w:rPr>
          <w:color w:val="000000" w:themeColor="text1"/>
        </w:rPr>
        <w:t>such as</w:t>
      </w:r>
      <w:r w:rsidR="009D5B74">
        <w:rPr>
          <w:color w:val="000000" w:themeColor="text1"/>
        </w:rPr>
        <w:t xml:space="preserve"> J&amp;J </w:t>
      </w:r>
      <w:r w:rsidR="00153F80">
        <w:rPr>
          <w:color w:val="000000" w:themeColor="text1"/>
        </w:rPr>
        <w:t xml:space="preserve">managing </w:t>
      </w:r>
      <w:r w:rsidR="009D5B74">
        <w:rPr>
          <w:color w:val="000000" w:themeColor="text1"/>
        </w:rPr>
        <w:t xml:space="preserve">the lifecycles of their most </w:t>
      </w:r>
      <w:r w:rsidR="008448C4">
        <w:rPr>
          <w:color w:val="000000" w:themeColor="text1"/>
        </w:rPr>
        <w:t>profitable treatments (</w:t>
      </w:r>
      <w:proofErr w:type="gramStart"/>
      <w:r w:rsidR="008448C4">
        <w:rPr>
          <w:color w:val="000000" w:themeColor="text1"/>
        </w:rPr>
        <w:t>e.g.</w:t>
      </w:r>
      <w:proofErr w:type="gramEnd"/>
      <w:r w:rsidR="008448C4">
        <w:rPr>
          <w:color w:val="000000" w:themeColor="text1"/>
        </w:rPr>
        <w:t xml:space="preserve"> Darzalex and Stelara), introducing new revenue-generating products before they become ‘generics’ in which the patent-end signifies a loss of viability. To retain their stature, R&amp;D and proactive </w:t>
      </w:r>
      <w:r w:rsidR="00CD5E9D">
        <w:rPr>
          <w:color w:val="000000" w:themeColor="text1"/>
        </w:rPr>
        <w:t xml:space="preserve">M&amp;A activity </w:t>
      </w:r>
      <w:r w:rsidR="008448C4">
        <w:rPr>
          <w:color w:val="000000" w:themeColor="text1"/>
        </w:rPr>
        <w:t xml:space="preserve">are comparatively more important than </w:t>
      </w:r>
      <w:r w:rsidR="00FC56E4">
        <w:rPr>
          <w:color w:val="000000" w:themeColor="text1"/>
        </w:rPr>
        <w:t xml:space="preserve">in </w:t>
      </w:r>
      <w:r w:rsidR="008448C4">
        <w:rPr>
          <w:color w:val="000000" w:themeColor="text1"/>
        </w:rPr>
        <w:t>the majority of other industries.</w:t>
      </w:r>
    </w:p>
    <w:p w14:paraId="58FAF393" w14:textId="2E5F3881" w:rsidR="008967AA" w:rsidRDefault="008967AA" w:rsidP="00690135">
      <w:pPr>
        <w:pStyle w:val="ListBullet"/>
        <w:numPr>
          <w:ilvl w:val="0"/>
          <w:numId w:val="0"/>
        </w:numPr>
        <w:rPr>
          <w:color w:val="000000" w:themeColor="text1"/>
        </w:rPr>
      </w:pPr>
    </w:p>
    <w:p w14:paraId="16076822" w14:textId="7608735F" w:rsidR="008967AA" w:rsidRDefault="00282446" w:rsidP="00690135">
      <w:pPr>
        <w:pStyle w:val="ListBullet"/>
        <w:numPr>
          <w:ilvl w:val="0"/>
          <w:numId w:val="0"/>
        </w:numPr>
        <w:rPr>
          <w:color w:val="000000" w:themeColor="text1"/>
        </w:rPr>
      </w:pPr>
      <w:r>
        <w:rPr>
          <w:noProof/>
        </w:rPr>
        <w:drawing>
          <wp:inline distT="0" distB="0" distL="0" distR="0" wp14:anchorId="3EDD6F6A" wp14:editId="248C5C6A">
            <wp:extent cx="4572000" cy="2743200"/>
            <wp:effectExtent l="0" t="0" r="0" b="0"/>
            <wp:docPr id="4" name="Chart 4">
              <a:extLst xmlns:a="http://schemas.openxmlformats.org/drawingml/2006/main">
                <a:ext uri="{FF2B5EF4-FFF2-40B4-BE49-F238E27FC236}">
                  <a16:creationId xmlns:a16="http://schemas.microsoft.com/office/drawing/2014/main" id="{4312A8DA-D426-EEBD-37DF-BA4D9CECB4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3EF4BB" w14:textId="333F6F18" w:rsidR="00282446" w:rsidRDefault="00282446" w:rsidP="00690135">
      <w:pPr>
        <w:pStyle w:val="ListBullet"/>
        <w:numPr>
          <w:ilvl w:val="0"/>
          <w:numId w:val="0"/>
        </w:numPr>
        <w:rPr>
          <w:color w:val="000000" w:themeColor="text1"/>
        </w:rPr>
      </w:pPr>
    </w:p>
    <w:p w14:paraId="2395B84C" w14:textId="41D69257" w:rsidR="00282446" w:rsidRDefault="00B325A7" w:rsidP="00690135">
      <w:pPr>
        <w:pStyle w:val="ListBullet"/>
        <w:numPr>
          <w:ilvl w:val="0"/>
          <w:numId w:val="0"/>
        </w:numPr>
        <w:rPr>
          <w:color w:val="000000" w:themeColor="text1"/>
        </w:rPr>
      </w:pPr>
      <w:r>
        <w:rPr>
          <w:color w:val="000000" w:themeColor="text1"/>
        </w:rPr>
        <w:t>Two compelling impacts to the cost drivers over 2021-22 are the increases in Cost of Goods Sold and other expenses, by $2.6bn cumulatively. J&amp;J insinuate the rationale that these are not long-term cost base trends, with cost rises originating from “One-time COVID-19 vaccine manufacturing related exit costs”,</w:t>
      </w:r>
      <w:r w:rsidR="000B2AA4">
        <w:rPr>
          <w:color w:val="000000" w:themeColor="text1"/>
        </w:rPr>
        <w:t xml:space="preserve"> </w:t>
      </w:r>
      <w:r>
        <w:rPr>
          <w:color w:val="000000" w:themeColor="text1"/>
        </w:rPr>
        <w:t>“currency impacts</w:t>
      </w:r>
      <w:r w:rsidR="000B2AA4">
        <w:rPr>
          <w:color w:val="000000" w:themeColor="text1"/>
        </w:rPr>
        <w:t>”</w:t>
      </w:r>
      <w:r>
        <w:rPr>
          <w:color w:val="000000" w:themeColor="text1"/>
        </w:rPr>
        <w:t>, “commodity inflation” and “write-down of certain investments in equity securities” amongst others</w:t>
      </w:r>
      <w:r w:rsidR="00B264C9">
        <w:rPr>
          <w:color w:val="000000" w:themeColor="text1"/>
        </w:rPr>
        <w:t xml:space="preserve"> (J&amp;J</w:t>
      </w:r>
      <w:r w:rsidR="00AE788B">
        <w:rPr>
          <w:color w:val="000000" w:themeColor="text1"/>
        </w:rPr>
        <w:t xml:space="preserve"> Annual Report</w:t>
      </w:r>
      <w:r w:rsidR="00B264C9">
        <w:rPr>
          <w:color w:val="000000" w:themeColor="text1"/>
        </w:rPr>
        <w:t>, 2022)</w:t>
      </w:r>
      <w:r>
        <w:rPr>
          <w:color w:val="000000" w:themeColor="text1"/>
        </w:rPr>
        <w:t xml:space="preserve">. It can be argued that these cost driver increases are largely cyclical or </w:t>
      </w:r>
      <w:r w:rsidR="000B2AA4">
        <w:rPr>
          <w:color w:val="000000" w:themeColor="text1"/>
        </w:rPr>
        <w:t xml:space="preserve">isolated, however these </w:t>
      </w:r>
      <w:r w:rsidR="000B2AA4">
        <w:rPr>
          <w:color w:val="000000" w:themeColor="text1"/>
        </w:rPr>
        <w:lastRenderedPageBreak/>
        <w:t>risks must be mitigated and could have potentially been counter-acted more effectively with appropriate hedges and risk management protocols in place. Excluding COGS, R&amp;D and S</w:t>
      </w:r>
      <w:r w:rsidR="00133DDD">
        <w:rPr>
          <w:color w:val="000000" w:themeColor="text1"/>
        </w:rPr>
        <w:t xml:space="preserve">elling, </w:t>
      </w:r>
      <w:r w:rsidR="000B2AA4">
        <w:rPr>
          <w:color w:val="000000" w:themeColor="text1"/>
        </w:rPr>
        <w:t>M</w:t>
      </w:r>
      <w:r w:rsidR="00133DDD">
        <w:rPr>
          <w:color w:val="000000" w:themeColor="text1"/>
        </w:rPr>
        <w:t xml:space="preserve">arketing and </w:t>
      </w:r>
      <w:r w:rsidR="000B2AA4">
        <w:rPr>
          <w:color w:val="000000" w:themeColor="text1"/>
        </w:rPr>
        <w:t>A</w:t>
      </w:r>
      <w:r w:rsidR="00133DDD">
        <w:rPr>
          <w:color w:val="000000" w:themeColor="text1"/>
        </w:rPr>
        <w:t>dministrative</w:t>
      </w:r>
      <w:r w:rsidR="000B2AA4">
        <w:rPr>
          <w:color w:val="000000" w:themeColor="text1"/>
        </w:rPr>
        <w:t xml:space="preserve"> cost drivers make-up the most significant portion of J&amp;J’s cost base. </w:t>
      </w:r>
    </w:p>
    <w:p w14:paraId="438FDBD0" w14:textId="2BC27FCE" w:rsidR="000B2AA4" w:rsidRDefault="000B2AA4" w:rsidP="00690135">
      <w:pPr>
        <w:pStyle w:val="ListBullet"/>
        <w:numPr>
          <w:ilvl w:val="0"/>
          <w:numId w:val="0"/>
        </w:numPr>
        <w:rPr>
          <w:color w:val="000000" w:themeColor="text1"/>
        </w:rPr>
      </w:pPr>
    </w:p>
    <w:p w14:paraId="5FADCA84" w14:textId="39ACE749" w:rsidR="00133DDD" w:rsidRDefault="00133DDD" w:rsidP="00690135">
      <w:pPr>
        <w:pStyle w:val="ListBullet"/>
        <w:numPr>
          <w:ilvl w:val="0"/>
          <w:numId w:val="0"/>
        </w:numPr>
        <w:rPr>
          <w:color w:val="000000" w:themeColor="text1"/>
        </w:rPr>
      </w:pPr>
      <w:r>
        <w:rPr>
          <w:color w:val="000000" w:themeColor="text1"/>
        </w:rPr>
        <w:t xml:space="preserve">Pfizer provide an applicable competitive </w:t>
      </w:r>
      <w:r w:rsidR="00073B9B">
        <w:rPr>
          <w:color w:val="000000" w:themeColor="text1"/>
        </w:rPr>
        <w:t xml:space="preserve">benchmark for J&amp;J, especially when evaluating the </w:t>
      </w:r>
      <w:proofErr w:type="gramStart"/>
      <w:r w:rsidR="00073B9B">
        <w:rPr>
          <w:color w:val="000000" w:themeColor="text1"/>
        </w:rPr>
        <w:t>impact</w:t>
      </w:r>
      <w:proofErr w:type="gramEnd"/>
      <w:r w:rsidR="00073B9B">
        <w:rPr>
          <w:color w:val="000000" w:themeColor="text1"/>
        </w:rPr>
        <w:t xml:space="preserve"> a pandemic-transition can have, given they are the sales leader when it comes to provision of the COVID-19 vaccination.</w:t>
      </w:r>
      <w:r w:rsidR="00D30ADB">
        <w:rPr>
          <w:color w:val="000000" w:themeColor="text1"/>
        </w:rPr>
        <w:t xml:space="preserve"> </w:t>
      </w:r>
      <w:r w:rsidR="00B264C9">
        <w:rPr>
          <w:color w:val="000000" w:themeColor="text1"/>
        </w:rPr>
        <w:t xml:space="preserve">In </w:t>
      </w:r>
      <w:r w:rsidR="00D30ADB">
        <w:rPr>
          <w:color w:val="000000" w:themeColor="text1"/>
        </w:rPr>
        <w:t xml:space="preserve">2022, J&amp;J superseded </w:t>
      </w:r>
      <w:r w:rsidR="00B264C9">
        <w:rPr>
          <w:color w:val="000000" w:themeColor="text1"/>
        </w:rPr>
        <w:t>Pfizer’s</w:t>
      </w:r>
      <w:r w:rsidR="00D30ADB">
        <w:rPr>
          <w:color w:val="000000" w:themeColor="text1"/>
        </w:rPr>
        <w:t xml:space="preserve"> gross margin </w:t>
      </w:r>
      <w:r w:rsidR="00B264C9">
        <w:rPr>
          <w:color w:val="000000" w:themeColor="text1"/>
        </w:rPr>
        <w:t>to a minor extent, with the former coming in at 67.26% compared to 65.77% (Pfizer Annual Report, 2022). However, net margins tell a different story, with J&amp;J succumbing to a figure of 18.9% to 31.27% in Pfizer’s case. Outperformance over this year can be attributed</w:t>
      </w:r>
      <w:r w:rsidR="00CD5E9D">
        <w:rPr>
          <w:color w:val="000000" w:themeColor="text1"/>
        </w:rPr>
        <w:t xml:space="preserve"> largely</w:t>
      </w:r>
      <w:r w:rsidR="00B264C9">
        <w:rPr>
          <w:color w:val="000000" w:themeColor="text1"/>
        </w:rPr>
        <w:t xml:space="preserve"> to the </w:t>
      </w:r>
      <w:r w:rsidR="00CD5E9D">
        <w:rPr>
          <w:color w:val="000000" w:themeColor="text1"/>
        </w:rPr>
        <w:t xml:space="preserve">focused </w:t>
      </w:r>
      <w:r w:rsidR="00B264C9">
        <w:rPr>
          <w:color w:val="000000" w:themeColor="text1"/>
        </w:rPr>
        <w:t xml:space="preserve">market leadership in delivering the </w:t>
      </w:r>
      <w:r w:rsidR="00CD5E9D">
        <w:rPr>
          <w:color w:val="000000" w:themeColor="text1"/>
        </w:rPr>
        <w:t>COVID</w:t>
      </w:r>
      <w:r w:rsidR="00B264C9">
        <w:rPr>
          <w:color w:val="000000" w:themeColor="text1"/>
        </w:rPr>
        <w:t xml:space="preserve"> </w:t>
      </w:r>
      <w:r w:rsidR="00CD5E9D">
        <w:rPr>
          <w:color w:val="000000" w:themeColor="text1"/>
        </w:rPr>
        <w:t>v</w:t>
      </w:r>
      <w:r w:rsidR="00B264C9">
        <w:rPr>
          <w:color w:val="000000" w:themeColor="text1"/>
        </w:rPr>
        <w:t xml:space="preserve">accine, but this may play into J&amp;J’s hands in the near future. With a broader diversification across segments, J&amp;J may benefit from less reliance on individual </w:t>
      </w:r>
      <w:r w:rsidR="00CD5E9D">
        <w:rPr>
          <w:color w:val="000000" w:themeColor="text1"/>
        </w:rPr>
        <w:t>revenue drivers, with the future dependent on the success in capitalizing on the pockets of the market they operate in, and how they expand further.</w:t>
      </w:r>
      <w:r w:rsidR="00AE788B">
        <w:rPr>
          <w:color w:val="000000" w:themeColor="text1"/>
        </w:rPr>
        <w:t xml:space="preserve"> </w:t>
      </w:r>
    </w:p>
    <w:p w14:paraId="56E4D8B4" w14:textId="48C78AAC" w:rsidR="00153F80" w:rsidRDefault="00153F80" w:rsidP="00690135">
      <w:pPr>
        <w:pStyle w:val="ListBullet"/>
        <w:numPr>
          <w:ilvl w:val="0"/>
          <w:numId w:val="0"/>
        </w:numPr>
        <w:rPr>
          <w:color w:val="000000" w:themeColor="text1"/>
        </w:rPr>
      </w:pPr>
    </w:p>
    <w:p w14:paraId="3922E2ED" w14:textId="77777777" w:rsidR="00CD5E9D" w:rsidRDefault="00CD5E9D" w:rsidP="00690135">
      <w:pPr>
        <w:pStyle w:val="ListBullet"/>
        <w:numPr>
          <w:ilvl w:val="0"/>
          <w:numId w:val="0"/>
        </w:numPr>
        <w:rPr>
          <w:color w:val="000000" w:themeColor="text1"/>
        </w:rPr>
      </w:pPr>
    </w:p>
    <w:p w14:paraId="627DDE80" w14:textId="77777777" w:rsidR="00CD5E9D" w:rsidRDefault="00CD5E9D" w:rsidP="00690135">
      <w:pPr>
        <w:pStyle w:val="ListBullet"/>
        <w:numPr>
          <w:ilvl w:val="0"/>
          <w:numId w:val="0"/>
        </w:numPr>
        <w:rPr>
          <w:color w:val="000000" w:themeColor="text1"/>
        </w:rPr>
      </w:pPr>
    </w:p>
    <w:p w14:paraId="1B528985" w14:textId="77777777" w:rsidR="00CD5E9D" w:rsidRDefault="00CD5E9D" w:rsidP="00690135">
      <w:pPr>
        <w:pStyle w:val="ListBullet"/>
        <w:numPr>
          <w:ilvl w:val="0"/>
          <w:numId w:val="0"/>
        </w:numPr>
        <w:rPr>
          <w:color w:val="000000" w:themeColor="text1"/>
        </w:rPr>
      </w:pPr>
    </w:p>
    <w:p w14:paraId="6AFD6777" w14:textId="77777777" w:rsidR="00CD5E9D" w:rsidRDefault="00CD5E9D" w:rsidP="00690135">
      <w:pPr>
        <w:pStyle w:val="ListBullet"/>
        <w:numPr>
          <w:ilvl w:val="0"/>
          <w:numId w:val="0"/>
        </w:numPr>
        <w:rPr>
          <w:color w:val="000000" w:themeColor="text1"/>
        </w:rPr>
      </w:pPr>
    </w:p>
    <w:p w14:paraId="72E7EE02" w14:textId="77777777" w:rsidR="00CD5E9D" w:rsidRDefault="00CD5E9D" w:rsidP="00690135">
      <w:pPr>
        <w:pStyle w:val="ListBullet"/>
        <w:numPr>
          <w:ilvl w:val="0"/>
          <w:numId w:val="0"/>
        </w:numPr>
        <w:rPr>
          <w:color w:val="000000" w:themeColor="text1"/>
        </w:rPr>
      </w:pPr>
    </w:p>
    <w:p w14:paraId="690F44F8" w14:textId="77777777" w:rsidR="00CD5E9D" w:rsidRDefault="00CD5E9D" w:rsidP="00690135">
      <w:pPr>
        <w:pStyle w:val="ListBullet"/>
        <w:numPr>
          <w:ilvl w:val="0"/>
          <w:numId w:val="0"/>
        </w:numPr>
        <w:rPr>
          <w:color w:val="000000" w:themeColor="text1"/>
        </w:rPr>
      </w:pPr>
    </w:p>
    <w:p w14:paraId="67BEB4D4" w14:textId="77777777" w:rsidR="00CD5E9D" w:rsidRDefault="00CD5E9D" w:rsidP="00690135">
      <w:pPr>
        <w:pStyle w:val="ListBullet"/>
        <w:numPr>
          <w:ilvl w:val="0"/>
          <w:numId w:val="0"/>
        </w:numPr>
        <w:rPr>
          <w:color w:val="000000" w:themeColor="text1"/>
        </w:rPr>
      </w:pPr>
    </w:p>
    <w:p w14:paraId="2A0288DB" w14:textId="77777777" w:rsidR="00CD5E9D" w:rsidRDefault="00CD5E9D" w:rsidP="00690135">
      <w:pPr>
        <w:pStyle w:val="ListBullet"/>
        <w:numPr>
          <w:ilvl w:val="0"/>
          <w:numId w:val="0"/>
        </w:numPr>
        <w:rPr>
          <w:color w:val="000000" w:themeColor="text1"/>
        </w:rPr>
      </w:pPr>
    </w:p>
    <w:p w14:paraId="11804400" w14:textId="77777777" w:rsidR="00CD5E9D" w:rsidRDefault="00CD5E9D" w:rsidP="00690135">
      <w:pPr>
        <w:pStyle w:val="ListBullet"/>
        <w:numPr>
          <w:ilvl w:val="0"/>
          <w:numId w:val="0"/>
        </w:numPr>
        <w:rPr>
          <w:color w:val="000000" w:themeColor="text1"/>
        </w:rPr>
      </w:pPr>
    </w:p>
    <w:p w14:paraId="7FD546DB" w14:textId="77777777" w:rsidR="00CD5E9D" w:rsidRDefault="00CD5E9D" w:rsidP="00690135">
      <w:pPr>
        <w:pStyle w:val="ListBullet"/>
        <w:numPr>
          <w:ilvl w:val="0"/>
          <w:numId w:val="0"/>
        </w:numPr>
        <w:rPr>
          <w:color w:val="000000" w:themeColor="text1"/>
        </w:rPr>
      </w:pPr>
    </w:p>
    <w:p w14:paraId="54BA9BC4" w14:textId="77777777" w:rsidR="00CD5E9D" w:rsidRDefault="00CD5E9D" w:rsidP="00690135">
      <w:pPr>
        <w:pStyle w:val="ListBullet"/>
        <w:numPr>
          <w:ilvl w:val="0"/>
          <w:numId w:val="0"/>
        </w:numPr>
        <w:rPr>
          <w:color w:val="000000" w:themeColor="text1"/>
        </w:rPr>
      </w:pPr>
    </w:p>
    <w:p w14:paraId="2F0CF150" w14:textId="77777777" w:rsidR="00CD5E9D" w:rsidRDefault="00CD5E9D" w:rsidP="00690135">
      <w:pPr>
        <w:pStyle w:val="ListBullet"/>
        <w:numPr>
          <w:ilvl w:val="0"/>
          <w:numId w:val="0"/>
        </w:numPr>
        <w:rPr>
          <w:color w:val="000000" w:themeColor="text1"/>
        </w:rPr>
      </w:pPr>
    </w:p>
    <w:p w14:paraId="716E4252" w14:textId="77777777" w:rsidR="00CD5E9D" w:rsidRDefault="00CD5E9D" w:rsidP="00690135">
      <w:pPr>
        <w:pStyle w:val="ListBullet"/>
        <w:numPr>
          <w:ilvl w:val="0"/>
          <w:numId w:val="0"/>
        </w:numPr>
        <w:rPr>
          <w:color w:val="000000" w:themeColor="text1"/>
        </w:rPr>
      </w:pPr>
    </w:p>
    <w:p w14:paraId="6550FDF3" w14:textId="77777777" w:rsidR="00CD5E9D" w:rsidRDefault="00CD5E9D" w:rsidP="00690135">
      <w:pPr>
        <w:pStyle w:val="ListBullet"/>
        <w:numPr>
          <w:ilvl w:val="0"/>
          <w:numId w:val="0"/>
        </w:numPr>
        <w:rPr>
          <w:color w:val="000000" w:themeColor="text1"/>
        </w:rPr>
      </w:pPr>
    </w:p>
    <w:p w14:paraId="6BFD898D" w14:textId="77777777" w:rsidR="00CD5E9D" w:rsidRDefault="00CD5E9D" w:rsidP="00690135">
      <w:pPr>
        <w:pStyle w:val="ListBullet"/>
        <w:numPr>
          <w:ilvl w:val="0"/>
          <w:numId w:val="0"/>
        </w:numPr>
        <w:rPr>
          <w:color w:val="000000" w:themeColor="text1"/>
        </w:rPr>
      </w:pPr>
    </w:p>
    <w:p w14:paraId="35908181" w14:textId="77777777" w:rsidR="00CD5E9D" w:rsidRDefault="00CD5E9D" w:rsidP="00690135">
      <w:pPr>
        <w:pStyle w:val="ListBullet"/>
        <w:numPr>
          <w:ilvl w:val="0"/>
          <w:numId w:val="0"/>
        </w:numPr>
        <w:rPr>
          <w:color w:val="000000" w:themeColor="text1"/>
        </w:rPr>
      </w:pPr>
    </w:p>
    <w:p w14:paraId="7CD00E01" w14:textId="77777777" w:rsidR="00CD5E9D" w:rsidRDefault="00CD5E9D" w:rsidP="00690135">
      <w:pPr>
        <w:pStyle w:val="ListBullet"/>
        <w:numPr>
          <w:ilvl w:val="0"/>
          <w:numId w:val="0"/>
        </w:numPr>
        <w:rPr>
          <w:b/>
          <w:bCs/>
          <w:color w:val="000000" w:themeColor="text1"/>
        </w:rPr>
      </w:pPr>
    </w:p>
    <w:p w14:paraId="35FC7401" w14:textId="57C6B30E" w:rsidR="00153F80" w:rsidRPr="00CD5E9D" w:rsidRDefault="00CD5E9D" w:rsidP="00690135">
      <w:pPr>
        <w:pStyle w:val="ListBullet"/>
        <w:numPr>
          <w:ilvl w:val="0"/>
          <w:numId w:val="0"/>
        </w:numPr>
        <w:rPr>
          <w:b/>
          <w:bCs/>
          <w:color w:val="000000" w:themeColor="text1"/>
        </w:rPr>
      </w:pPr>
      <w:r w:rsidRPr="00CD5E9D">
        <w:rPr>
          <w:b/>
          <w:bCs/>
          <w:color w:val="000000" w:themeColor="text1"/>
        </w:rPr>
        <w:t>Reference List:</w:t>
      </w:r>
    </w:p>
    <w:p w14:paraId="352BBA6E" w14:textId="77777777" w:rsidR="00CD5E9D" w:rsidRDefault="00CD5E9D" w:rsidP="00CD5E9D">
      <w:pPr>
        <w:pStyle w:val="ListBullet"/>
        <w:numPr>
          <w:ilvl w:val="0"/>
          <w:numId w:val="0"/>
        </w:numPr>
        <w:rPr>
          <w:color w:val="000000" w:themeColor="text1"/>
        </w:rPr>
      </w:pPr>
    </w:p>
    <w:p w14:paraId="1A5A4ACF" w14:textId="6293F83D" w:rsidR="002A57A3" w:rsidRPr="00B94C25" w:rsidRDefault="00CD5E9D" w:rsidP="00CD5E9D">
      <w:pPr>
        <w:pStyle w:val="ListBullet"/>
        <w:numPr>
          <w:ilvl w:val="0"/>
          <w:numId w:val="0"/>
        </w:numPr>
        <w:rPr>
          <w:rFonts w:cstheme="minorHAnsi"/>
          <w:b/>
          <w:bCs/>
          <w:color w:val="000000" w:themeColor="text1"/>
          <w:sz w:val="22"/>
          <w:szCs w:val="22"/>
        </w:rPr>
      </w:pPr>
      <w:r w:rsidRPr="00B94C25">
        <w:rPr>
          <w:rFonts w:cstheme="minorHAnsi"/>
          <w:b/>
          <w:bCs/>
          <w:color w:val="000000" w:themeColor="text1"/>
          <w:sz w:val="22"/>
          <w:szCs w:val="22"/>
        </w:rPr>
        <w:t>Marriot</w:t>
      </w:r>
      <w:r w:rsidR="00F011A0" w:rsidRPr="00B94C25">
        <w:rPr>
          <w:rFonts w:cstheme="minorHAnsi"/>
          <w:b/>
          <w:bCs/>
          <w:color w:val="000000" w:themeColor="text1"/>
          <w:sz w:val="22"/>
          <w:szCs w:val="22"/>
        </w:rPr>
        <w:t xml:space="preserve">t </w:t>
      </w:r>
      <w:r w:rsidRPr="00B94C25">
        <w:rPr>
          <w:rFonts w:cstheme="minorHAnsi"/>
          <w:b/>
          <w:bCs/>
          <w:color w:val="000000" w:themeColor="text1"/>
          <w:sz w:val="22"/>
          <w:szCs w:val="22"/>
        </w:rPr>
        <w:t>Inc.</w:t>
      </w:r>
    </w:p>
    <w:p w14:paraId="47523E98" w14:textId="1F0FD9A4" w:rsidR="00CD5E9D" w:rsidRPr="00B94C25" w:rsidRDefault="002A57A3" w:rsidP="00690135">
      <w:pPr>
        <w:pStyle w:val="ListBullet"/>
        <w:numPr>
          <w:ilvl w:val="0"/>
          <w:numId w:val="0"/>
        </w:numPr>
        <w:rPr>
          <w:rFonts w:cstheme="minorHAnsi"/>
          <w:color w:val="000000" w:themeColor="text1"/>
          <w:sz w:val="22"/>
          <w:szCs w:val="22"/>
          <w:lang w:val="en-GB"/>
        </w:rPr>
      </w:pPr>
      <w:r w:rsidRPr="00B94C25">
        <w:rPr>
          <w:rFonts w:cstheme="minorHAnsi"/>
          <w:color w:val="000000" w:themeColor="text1"/>
          <w:sz w:val="22"/>
          <w:szCs w:val="22"/>
          <w:lang w:val="en-GB"/>
        </w:rPr>
        <w:t xml:space="preserve">Anthony Capuano, Marriott Annual Report (2022), </w:t>
      </w:r>
      <w:hyperlink r:id="rId11" w:history="1">
        <w:r w:rsidRPr="00B94C25">
          <w:rPr>
            <w:rStyle w:val="Hyperlink"/>
            <w:rFonts w:cstheme="minorHAnsi"/>
            <w:color w:val="000000" w:themeColor="text1"/>
            <w:sz w:val="22"/>
            <w:szCs w:val="22"/>
            <w:lang w:val="en-GB"/>
          </w:rPr>
          <w:t>h</w:t>
        </w:r>
        <w:r w:rsidRPr="00B94C25">
          <w:rPr>
            <w:rStyle w:val="Hyperlink"/>
            <w:rFonts w:cstheme="minorHAnsi"/>
            <w:color w:val="000000" w:themeColor="text1"/>
            <w:sz w:val="22"/>
            <w:szCs w:val="22"/>
            <w:lang w:val="en-GB"/>
          </w:rPr>
          <w:t>t</w:t>
        </w:r>
        <w:r w:rsidRPr="00B94C25">
          <w:rPr>
            <w:rStyle w:val="Hyperlink"/>
            <w:rFonts w:cstheme="minorHAnsi"/>
            <w:color w:val="000000" w:themeColor="text1"/>
            <w:sz w:val="22"/>
            <w:szCs w:val="22"/>
            <w:lang w:val="en-GB"/>
          </w:rPr>
          <w:t>tps://marri</w:t>
        </w:r>
        <w:r w:rsidRPr="00B94C25">
          <w:rPr>
            <w:rStyle w:val="Hyperlink"/>
            <w:rFonts w:cstheme="minorHAnsi"/>
            <w:color w:val="000000" w:themeColor="text1"/>
            <w:sz w:val="22"/>
            <w:szCs w:val="22"/>
            <w:lang w:val="en-GB"/>
          </w:rPr>
          <w:t>o</w:t>
        </w:r>
        <w:r w:rsidRPr="00B94C25">
          <w:rPr>
            <w:rStyle w:val="Hyperlink"/>
            <w:rFonts w:cstheme="minorHAnsi"/>
            <w:color w:val="000000" w:themeColor="text1"/>
            <w:sz w:val="22"/>
            <w:szCs w:val="22"/>
            <w:lang w:val="en-GB"/>
          </w:rPr>
          <w:t>tt.gcs-web.com</w:t>
        </w:r>
        <w:r w:rsidRPr="00B94C25">
          <w:rPr>
            <w:rStyle w:val="Hyperlink"/>
            <w:rFonts w:cstheme="minorHAnsi"/>
            <w:color w:val="000000" w:themeColor="text1"/>
            <w:sz w:val="22"/>
            <w:szCs w:val="22"/>
            <w:lang w:val="en-GB"/>
          </w:rPr>
          <w:t>/</w:t>
        </w:r>
        <w:r w:rsidRPr="00B94C25">
          <w:rPr>
            <w:rStyle w:val="Hyperlink"/>
            <w:rFonts w:cstheme="minorHAnsi"/>
            <w:color w:val="000000" w:themeColor="text1"/>
            <w:sz w:val="22"/>
            <w:szCs w:val="22"/>
            <w:lang w:val="en-GB"/>
          </w:rPr>
          <w:t>static-files/b82978a6-9d28-4e38-9855-fc4ae2cebe11</w:t>
        </w:r>
      </w:hyperlink>
      <w:r w:rsidRPr="00B94C25">
        <w:rPr>
          <w:rFonts w:cstheme="minorHAnsi"/>
          <w:color w:val="000000" w:themeColor="text1"/>
          <w:sz w:val="22"/>
          <w:szCs w:val="22"/>
          <w:lang w:val="en-GB"/>
        </w:rPr>
        <w:t xml:space="preserve"> (Accessed 06/12/2023)</w:t>
      </w:r>
    </w:p>
    <w:p w14:paraId="69FBE995" w14:textId="027BA0B4" w:rsidR="00CD5E9D" w:rsidRPr="00B94C25" w:rsidRDefault="002A57A3" w:rsidP="002A57A3">
      <w:pPr>
        <w:pStyle w:val="ListBullet"/>
        <w:numPr>
          <w:ilvl w:val="0"/>
          <w:numId w:val="0"/>
        </w:numPr>
        <w:rPr>
          <w:rFonts w:cstheme="minorHAnsi"/>
          <w:color w:val="000000" w:themeColor="text1"/>
          <w:sz w:val="22"/>
          <w:szCs w:val="22"/>
          <w:lang w:val="en-GB"/>
        </w:rPr>
      </w:pPr>
      <w:r w:rsidRPr="00B94C25">
        <w:rPr>
          <w:rFonts w:cstheme="minorHAnsi"/>
          <w:color w:val="000000" w:themeColor="text1"/>
          <w:sz w:val="22"/>
          <w:szCs w:val="22"/>
          <w:lang w:val="en-GB"/>
        </w:rPr>
        <w:t>Sean O’Neill, (August 1</w:t>
      </w:r>
      <w:r w:rsidRPr="00B94C25">
        <w:rPr>
          <w:rFonts w:cstheme="minorHAnsi"/>
          <w:color w:val="000000" w:themeColor="text1"/>
          <w:sz w:val="22"/>
          <w:szCs w:val="22"/>
          <w:vertAlign w:val="superscript"/>
          <w:lang w:val="en-GB"/>
        </w:rPr>
        <w:t>st</w:t>
      </w:r>
      <w:r w:rsidRPr="00B94C25">
        <w:rPr>
          <w:rFonts w:cstheme="minorHAnsi"/>
          <w:color w:val="000000" w:themeColor="text1"/>
          <w:sz w:val="22"/>
          <w:szCs w:val="22"/>
          <w:lang w:val="en-GB"/>
        </w:rPr>
        <w:t xml:space="preserve">, 2023), </w:t>
      </w:r>
      <w:hyperlink r:id="rId12" w:history="1">
        <w:r w:rsidRPr="00B94C25">
          <w:rPr>
            <w:rStyle w:val="Hyperlink"/>
            <w:rFonts w:cstheme="minorHAnsi"/>
            <w:sz w:val="22"/>
            <w:szCs w:val="22"/>
            <w:lang w:val="en-GB"/>
          </w:rPr>
          <w:t>ht</w:t>
        </w:r>
        <w:r w:rsidRPr="00B94C25">
          <w:rPr>
            <w:rStyle w:val="Hyperlink"/>
            <w:rFonts w:cstheme="minorHAnsi"/>
            <w:sz w:val="22"/>
            <w:szCs w:val="22"/>
            <w:lang w:val="en-GB"/>
          </w:rPr>
          <w:t>t</w:t>
        </w:r>
        <w:r w:rsidRPr="00B94C25">
          <w:rPr>
            <w:rStyle w:val="Hyperlink"/>
            <w:rFonts w:cstheme="minorHAnsi"/>
            <w:sz w:val="22"/>
            <w:szCs w:val="22"/>
            <w:lang w:val="en-GB"/>
          </w:rPr>
          <w:t>ps://fin</w:t>
        </w:r>
        <w:r w:rsidRPr="00B94C25">
          <w:rPr>
            <w:rStyle w:val="Hyperlink"/>
            <w:rFonts w:cstheme="minorHAnsi"/>
            <w:sz w:val="22"/>
            <w:szCs w:val="22"/>
            <w:lang w:val="en-GB"/>
          </w:rPr>
          <w:t>a</w:t>
        </w:r>
        <w:r w:rsidRPr="00B94C25">
          <w:rPr>
            <w:rStyle w:val="Hyperlink"/>
            <w:rFonts w:cstheme="minorHAnsi"/>
            <w:sz w:val="22"/>
            <w:szCs w:val="22"/>
            <w:lang w:val="en-GB"/>
          </w:rPr>
          <w:t>n</w:t>
        </w:r>
        <w:r w:rsidRPr="00B94C25">
          <w:rPr>
            <w:rStyle w:val="Hyperlink"/>
            <w:rFonts w:cstheme="minorHAnsi"/>
            <w:sz w:val="22"/>
            <w:szCs w:val="22"/>
            <w:lang w:val="en-GB"/>
          </w:rPr>
          <w:t>ce.yahoo.com/news/marriott-premium-br</w:t>
        </w:r>
        <w:r w:rsidRPr="00B94C25">
          <w:rPr>
            <w:rStyle w:val="Hyperlink"/>
            <w:rFonts w:cstheme="minorHAnsi"/>
            <w:sz w:val="22"/>
            <w:szCs w:val="22"/>
            <w:lang w:val="en-GB"/>
          </w:rPr>
          <w:t>a</w:t>
        </w:r>
        <w:r w:rsidRPr="00B94C25">
          <w:rPr>
            <w:rStyle w:val="Hyperlink"/>
            <w:rFonts w:cstheme="minorHAnsi"/>
            <w:sz w:val="22"/>
            <w:szCs w:val="22"/>
            <w:lang w:val="en-GB"/>
          </w:rPr>
          <w:t>nds-driving-results-153904505.html</w:t>
        </w:r>
      </w:hyperlink>
      <w:r w:rsidRPr="00B94C25">
        <w:rPr>
          <w:rFonts w:cstheme="minorHAnsi"/>
          <w:color w:val="000000" w:themeColor="text1"/>
          <w:sz w:val="22"/>
          <w:szCs w:val="22"/>
          <w:lang w:val="en-GB"/>
        </w:rPr>
        <w:t xml:space="preserve"> </w:t>
      </w:r>
      <w:r w:rsidRPr="00B94C25">
        <w:rPr>
          <w:rFonts w:cstheme="minorHAnsi"/>
          <w:color w:val="000000" w:themeColor="text1"/>
          <w:sz w:val="22"/>
          <w:szCs w:val="22"/>
          <w:lang w:val="en-GB"/>
        </w:rPr>
        <w:t>(Accessed 06/12/2023)</w:t>
      </w:r>
      <w:r w:rsidRPr="00B94C25">
        <w:rPr>
          <w:rFonts w:cstheme="minorHAnsi"/>
          <w:color w:val="000000" w:themeColor="text1"/>
          <w:sz w:val="22"/>
          <w:szCs w:val="22"/>
          <w:lang w:val="en-GB"/>
        </w:rPr>
        <w:t xml:space="preserve"> </w:t>
      </w:r>
    </w:p>
    <w:p w14:paraId="2B54A463" w14:textId="77252523" w:rsidR="00CD5E9D" w:rsidRPr="00B94C25" w:rsidRDefault="00CD5E9D" w:rsidP="00690135">
      <w:pPr>
        <w:pStyle w:val="ListBullet"/>
        <w:numPr>
          <w:ilvl w:val="0"/>
          <w:numId w:val="0"/>
        </w:numPr>
        <w:rPr>
          <w:rFonts w:cstheme="minorHAnsi"/>
          <w:color w:val="000000" w:themeColor="text1"/>
          <w:sz w:val="22"/>
          <w:szCs w:val="22"/>
          <w:lang w:val="en-GB"/>
        </w:rPr>
      </w:pPr>
      <w:hyperlink r:id="rId13" w:history="1">
        <w:r w:rsidR="002A57A3" w:rsidRPr="00B94C25">
          <w:rPr>
            <w:rFonts w:cstheme="minorHAnsi"/>
            <w:color w:val="000000" w:themeColor="text1"/>
            <w:sz w:val="22"/>
            <w:szCs w:val="22"/>
            <w:lang w:val="en-GB"/>
          </w:rPr>
          <w:t xml:space="preserve">Hilton Worldwide Holdings Inc.(2022), </w:t>
        </w:r>
        <w:r w:rsidRPr="00B94C25">
          <w:rPr>
            <w:rFonts w:cstheme="minorHAnsi"/>
            <w:color w:val="000000" w:themeColor="text1"/>
            <w:sz w:val="22"/>
            <w:szCs w:val="22"/>
            <w:lang w:val="en-GB"/>
          </w:rPr>
          <w:t>https:</w:t>
        </w:r>
        <w:r w:rsidRPr="00B94C25">
          <w:rPr>
            <w:rFonts w:cstheme="minorHAnsi"/>
            <w:color w:val="000000" w:themeColor="text1"/>
            <w:sz w:val="22"/>
            <w:szCs w:val="22"/>
            <w:lang w:val="en-GB"/>
          </w:rPr>
          <w:t>/</w:t>
        </w:r>
        <w:r w:rsidRPr="00B94C25">
          <w:rPr>
            <w:rFonts w:cstheme="minorHAnsi"/>
            <w:color w:val="000000" w:themeColor="text1"/>
            <w:sz w:val="22"/>
            <w:szCs w:val="22"/>
            <w:lang w:val="en-GB"/>
          </w:rPr>
          <w:t>/</w:t>
        </w:r>
        <w:r w:rsidRPr="00B94C25">
          <w:rPr>
            <w:rFonts w:cstheme="minorHAnsi"/>
            <w:color w:val="000000" w:themeColor="text1"/>
            <w:sz w:val="22"/>
            <w:szCs w:val="22"/>
            <w:lang w:val="en-GB"/>
          </w:rPr>
          <w:t>otp.tools.inve</w:t>
        </w:r>
        <w:r w:rsidRPr="00B94C25">
          <w:rPr>
            <w:rFonts w:cstheme="minorHAnsi"/>
            <w:color w:val="000000" w:themeColor="text1"/>
            <w:sz w:val="22"/>
            <w:szCs w:val="22"/>
            <w:lang w:val="en-GB"/>
          </w:rPr>
          <w:t>s</w:t>
        </w:r>
        <w:r w:rsidRPr="00B94C25">
          <w:rPr>
            <w:rFonts w:cstheme="minorHAnsi"/>
            <w:color w:val="000000" w:themeColor="text1"/>
            <w:sz w:val="22"/>
            <w:szCs w:val="22"/>
            <w:lang w:val="en-GB"/>
          </w:rPr>
          <w:t>tis.com/clients/us/hilton_worldwide2/SEC/sec-show.aspx?Type=page&amp;FilingId=163790</w:t>
        </w:r>
        <w:r w:rsidRPr="00B94C25">
          <w:rPr>
            <w:rFonts w:cstheme="minorHAnsi"/>
            <w:color w:val="000000" w:themeColor="text1"/>
            <w:sz w:val="22"/>
            <w:szCs w:val="22"/>
            <w:lang w:val="en-GB"/>
          </w:rPr>
          <w:t>4</w:t>
        </w:r>
        <w:r w:rsidRPr="00B94C25">
          <w:rPr>
            <w:rFonts w:cstheme="minorHAnsi"/>
            <w:color w:val="000000" w:themeColor="text1"/>
            <w:sz w:val="22"/>
            <w:szCs w:val="22"/>
            <w:lang w:val="en-GB"/>
          </w:rPr>
          <w:t>7-334785-526159&amp;CIK=0001585689&amp;Index=14400#HLT-</w:t>
        </w:r>
        <w:r w:rsidRPr="00B94C25">
          <w:rPr>
            <w:rFonts w:cstheme="minorHAnsi"/>
            <w:color w:val="000000" w:themeColor="text1"/>
            <w:sz w:val="22"/>
            <w:szCs w:val="22"/>
            <w:lang w:val="en-GB"/>
          </w:rPr>
          <w:t>2</w:t>
        </w:r>
        <w:r w:rsidRPr="00B94C25">
          <w:rPr>
            <w:rFonts w:cstheme="minorHAnsi"/>
            <w:color w:val="000000" w:themeColor="text1"/>
            <w:sz w:val="22"/>
            <w:szCs w:val="22"/>
            <w:lang w:val="en-GB"/>
          </w:rPr>
          <w:t>0221231_HTM_idfd173f54ba24709961323f33747f704_97</w:t>
        </w:r>
      </w:hyperlink>
      <w:r w:rsidR="00F011A0" w:rsidRPr="00B94C25">
        <w:rPr>
          <w:rFonts w:cstheme="minorHAnsi"/>
          <w:color w:val="000000" w:themeColor="text1"/>
          <w:sz w:val="22"/>
          <w:szCs w:val="22"/>
          <w:lang w:val="en-GB"/>
        </w:rPr>
        <w:t xml:space="preserve"> </w:t>
      </w:r>
      <w:r w:rsidR="00F011A0" w:rsidRPr="00B94C25">
        <w:rPr>
          <w:rFonts w:cstheme="minorHAnsi"/>
          <w:color w:val="000000" w:themeColor="text1"/>
          <w:sz w:val="22"/>
          <w:szCs w:val="22"/>
          <w:lang w:val="en-GB"/>
        </w:rPr>
        <w:t xml:space="preserve">(Accessed </w:t>
      </w:r>
      <w:r w:rsidR="00F011A0" w:rsidRPr="00B94C25">
        <w:rPr>
          <w:rFonts w:cstheme="minorHAnsi"/>
          <w:color w:val="000000" w:themeColor="text1"/>
          <w:sz w:val="22"/>
          <w:szCs w:val="22"/>
          <w:lang w:val="en-GB"/>
        </w:rPr>
        <w:t>12</w:t>
      </w:r>
      <w:r w:rsidR="00F011A0" w:rsidRPr="00B94C25">
        <w:rPr>
          <w:rFonts w:cstheme="minorHAnsi"/>
          <w:color w:val="000000" w:themeColor="text1"/>
          <w:sz w:val="22"/>
          <w:szCs w:val="22"/>
          <w:lang w:val="en-GB"/>
        </w:rPr>
        <w:t>/12/2023)</w:t>
      </w:r>
    </w:p>
    <w:p w14:paraId="1AF2FF1F" w14:textId="33B25CC4" w:rsidR="00CD5E9D" w:rsidRPr="00B94C25" w:rsidRDefault="00F011A0" w:rsidP="00690135">
      <w:pPr>
        <w:pStyle w:val="ListBullet"/>
        <w:numPr>
          <w:ilvl w:val="0"/>
          <w:numId w:val="0"/>
        </w:numPr>
        <w:rPr>
          <w:rFonts w:cstheme="minorHAnsi"/>
          <w:color w:val="000000" w:themeColor="text1"/>
          <w:sz w:val="22"/>
          <w:szCs w:val="22"/>
          <w:lang w:val="en-GB"/>
        </w:rPr>
      </w:pPr>
      <w:proofErr w:type="spellStart"/>
      <w:r w:rsidRPr="00B94C25">
        <w:rPr>
          <w:rFonts w:cstheme="minorHAnsi"/>
          <w:color w:val="000000" w:themeColor="text1"/>
          <w:sz w:val="22"/>
          <w:szCs w:val="22"/>
          <w:lang w:val="en-GB"/>
        </w:rPr>
        <w:t>Trefis</w:t>
      </w:r>
      <w:proofErr w:type="spellEnd"/>
      <w:r w:rsidRPr="00B94C25">
        <w:rPr>
          <w:rFonts w:cstheme="minorHAnsi"/>
          <w:color w:val="000000" w:themeColor="text1"/>
          <w:sz w:val="22"/>
          <w:szCs w:val="22"/>
          <w:lang w:val="en-GB"/>
        </w:rPr>
        <w:t xml:space="preserve"> Team, Forbes (October 11</w:t>
      </w:r>
      <w:r w:rsidRPr="00B94C25">
        <w:rPr>
          <w:rFonts w:cstheme="minorHAnsi"/>
          <w:color w:val="000000" w:themeColor="text1"/>
          <w:sz w:val="22"/>
          <w:szCs w:val="22"/>
          <w:vertAlign w:val="superscript"/>
          <w:lang w:val="en-GB"/>
        </w:rPr>
        <w:t>th</w:t>
      </w:r>
      <w:r w:rsidRPr="00B94C25">
        <w:rPr>
          <w:rFonts w:cstheme="minorHAnsi"/>
          <w:color w:val="000000" w:themeColor="text1"/>
          <w:sz w:val="22"/>
          <w:szCs w:val="22"/>
          <w:lang w:val="en-GB"/>
        </w:rPr>
        <w:t xml:space="preserve">, 2021) </w:t>
      </w:r>
      <w:hyperlink r:id="rId14" w:history="1">
        <w:r w:rsidRPr="00B94C25">
          <w:rPr>
            <w:rStyle w:val="Hyperlink"/>
            <w:rFonts w:cstheme="minorHAnsi"/>
            <w:sz w:val="22"/>
            <w:szCs w:val="22"/>
            <w:lang w:val="en-GB"/>
          </w:rPr>
          <w:t>https://www.forbes.com/sites/greatspeculations/2021/10/11/should-you-book-profits-in-hilton-worldwi</w:t>
        </w:r>
        <w:r w:rsidRPr="00B94C25">
          <w:rPr>
            <w:rStyle w:val="Hyperlink"/>
            <w:rFonts w:cstheme="minorHAnsi"/>
            <w:sz w:val="22"/>
            <w:szCs w:val="22"/>
            <w:lang w:val="en-GB"/>
          </w:rPr>
          <w:t>d</w:t>
        </w:r>
        <w:r w:rsidRPr="00B94C25">
          <w:rPr>
            <w:rStyle w:val="Hyperlink"/>
            <w:rFonts w:cstheme="minorHAnsi"/>
            <w:sz w:val="22"/>
            <w:szCs w:val="22"/>
            <w:lang w:val="en-GB"/>
          </w:rPr>
          <w:t>e</w:t>
        </w:r>
        <w:r w:rsidRPr="00B94C25">
          <w:rPr>
            <w:rStyle w:val="Hyperlink"/>
            <w:rFonts w:cstheme="minorHAnsi"/>
            <w:sz w:val="22"/>
            <w:szCs w:val="22"/>
            <w:lang w:val="en-GB"/>
          </w:rPr>
          <w:t>-stoc</w:t>
        </w:r>
        <w:r w:rsidRPr="00B94C25">
          <w:rPr>
            <w:rStyle w:val="Hyperlink"/>
            <w:rFonts w:cstheme="minorHAnsi"/>
            <w:sz w:val="22"/>
            <w:szCs w:val="22"/>
            <w:lang w:val="en-GB"/>
          </w:rPr>
          <w:t>k</w:t>
        </w:r>
        <w:r w:rsidRPr="00B94C25">
          <w:rPr>
            <w:rStyle w:val="Hyperlink"/>
            <w:rFonts w:cstheme="minorHAnsi"/>
            <w:sz w:val="22"/>
            <w:szCs w:val="22"/>
            <w:lang w:val="en-GB"/>
          </w:rPr>
          <w:t>/?sh=4fb4908</w:t>
        </w:r>
        <w:r w:rsidRPr="00B94C25">
          <w:rPr>
            <w:rStyle w:val="Hyperlink"/>
            <w:rFonts w:cstheme="minorHAnsi"/>
            <w:sz w:val="22"/>
            <w:szCs w:val="22"/>
            <w:lang w:val="en-GB"/>
          </w:rPr>
          <w:t>b</w:t>
        </w:r>
        <w:r w:rsidRPr="00B94C25">
          <w:rPr>
            <w:rStyle w:val="Hyperlink"/>
            <w:rFonts w:cstheme="minorHAnsi"/>
            <w:sz w:val="22"/>
            <w:szCs w:val="22"/>
            <w:lang w:val="en-GB"/>
          </w:rPr>
          <w:t>9fb2</w:t>
        </w:r>
      </w:hyperlink>
      <w:r w:rsidRPr="00B94C25">
        <w:rPr>
          <w:rFonts w:cstheme="minorHAnsi"/>
          <w:color w:val="000000" w:themeColor="text1"/>
          <w:sz w:val="22"/>
          <w:szCs w:val="22"/>
          <w:lang w:val="en-GB"/>
        </w:rPr>
        <w:t xml:space="preserve"> </w:t>
      </w:r>
      <w:r w:rsidRPr="00B94C25">
        <w:rPr>
          <w:rFonts w:cstheme="minorHAnsi"/>
          <w:color w:val="000000" w:themeColor="text1"/>
          <w:sz w:val="22"/>
          <w:szCs w:val="22"/>
          <w:lang w:val="en-GB"/>
        </w:rPr>
        <w:t xml:space="preserve">(Accessed </w:t>
      </w:r>
      <w:r w:rsidRPr="00B94C25">
        <w:rPr>
          <w:rFonts w:cstheme="minorHAnsi"/>
          <w:color w:val="000000" w:themeColor="text1"/>
          <w:sz w:val="22"/>
          <w:szCs w:val="22"/>
          <w:lang w:val="en-GB"/>
        </w:rPr>
        <w:t>12</w:t>
      </w:r>
      <w:r w:rsidRPr="00B94C25">
        <w:rPr>
          <w:rFonts w:cstheme="minorHAnsi"/>
          <w:color w:val="000000" w:themeColor="text1"/>
          <w:sz w:val="22"/>
          <w:szCs w:val="22"/>
          <w:lang w:val="en-GB"/>
        </w:rPr>
        <w:t>/12/2023)</w:t>
      </w:r>
    </w:p>
    <w:p w14:paraId="75EC3871" w14:textId="023E4981" w:rsidR="00CD5E9D" w:rsidRPr="00B94C25" w:rsidRDefault="00CD5E9D" w:rsidP="00690135">
      <w:pPr>
        <w:pStyle w:val="ListBullet"/>
        <w:numPr>
          <w:ilvl w:val="0"/>
          <w:numId w:val="0"/>
        </w:numPr>
        <w:rPr>
          <w:rFonts w:cstheme="minorHAnsi"/>
          <w:color w:val="000000" w:themeColor="text1"/>
          <w:sz w:val="22"/>
          <w:szCs w:val="22"/>
          <w:lang w:val="en-GB"/>
        </w:rPr>
      </w:pPr>
    </w:p>
    <w:p w14:paraId="2A96967B" w14:textId="699BEE17" w:rsidR="00CD5E9D" w:rsidRPr="00B94C25" w:rsidRDefault="00CD5E9D" w:rsidP="00CD5E9D">
      <w:pPr>
        <w:pStyle w:val="ListBullet"/>
        <w:numPr>
          <w:ilvl w:val="0"/>
          <w:numId w:val="0"/>
        </w:numPr>
        <w:rPr>
          <w:rFonts w:cstheme="minorHAnsi"/>
          <w:b/>
          <w:bCs/>
          <w:color w:val="000000" w:themeColor="text1"/>
          <w:sz w:val="22"/>
          <w:szCs w:val="22"/>
          <w:lang w:val="en-GB"/>
        </w:rPr>
      </w:pPr>
      <w:r w:rsidRPr="00B94C25">
        <w:rPr>
          <w:rFonts w:cstheme="minorHAnsi"/>
          <w:b/>
          <w:bCs/>
          <w:color w:val="000000" w:themeColor="text1"/>
          <w:sz w:val="22"/>
          <w:szCs w:val="22"/>
          <w:lang w:val="en-GB"/>
        </w:rPr>
        <w:t>Johnson &amp; Johnson</w:t>
      </w:r>
    </w:p>
    <w:p w14:paraId="1E09EA49" w14:textId="7003BB7B" w:rsidR="00CD5E9D" w:rsidRPr="00B94C25" w:rsidRDefault="00F011A0" w:rsidP="00CD5E9D">
      <w:pPr>
        <w:pStyle w:val="ListBullet"/>
        <w:numPr>
          <w:ilvl w:val="0"/>
          <w:numId w:val="0"/>
        </w:numPr>
        <w:tabs>
          <w:tab w:val="right" w:pos="9891"/>
        </w:tabs>
        <w:rPr>
          <w:rFonts w:cstheme="minorHAnsi"/>
          <w:color w:val="000000" w:themeColor="text1"/>
          <w:sz w:val="22"/>
          <w:szCs w:val="22"/>
          <w:lang w:val="en-GB"/>
        </w:rPr>
      </w:pPr>
      <w:r w:rsidRPr="00B94C25">
        <w:rPr>
          <w:rFonts w:cstheme="minorHAnsi"/>
          <w:color w:val="000000" w:themeColor="text1"/>
          <w:sz w:val="22"/>
          <w:szCs w:val="22"/>
          <w:lang w:val="en-GB"/>
        </w:rPr>
        <w:t xml:space="preserve">Joaquin </w:t>
      </w:r>
      <w:proofErr w:type="spellStart"/>
      <w:r w:rsidRPr="00B94C25">
        <w:rPr>
          <w:rFonts w:cstheme="minorHAnsi"/>
          <w:color w:val="000000" w:themeColor="text1"/>
          <w:sz w:val="22"/>
          <w:szCs w:val="22"/>
          <w:lang w:val="en-GB"/>
        </w:rPr>
        <w:t>Duato</w:t>
      </w:r>
      <w:proofErr w:type="spellEnd"/>
      <w:r w:rsidRPr="00B94C25">
        <w:rPr>
          <w:rFonts w:cstheme="minorHAnsi"/>
          <w:color w:val="000000" w:themeColor="text1"/>
          <w:sz w:val="22"/>
          <w:szCs w:val="22"/>
          <w:lang w:val="en-GB"/>
        </w:rPr>
        <w:t xml:space="preserve">, Johnson &amp; Johnson Annual Report (2022), </w:t>
      </w:r>
      <w:hyperlink r:id="rId15" w:history="1">
        <w:r w:rsidRPr="00B94C25">
          <w:rPr>
            <w:rStyle w:val="Hyperlink"/>
            <w:rFonts w:cstheme="minorHAnsi"/>
            <w:sz w:val="22"/>
            <w:szCs w:val="22"/>
            <w:lang w:val="en-GB"/>
          </w:rPr>
          <w:t>https://w</w:t>
        </w:r>
        <w:r w:rsidRPr="00B94C25">
          <w:rPr>
            <w:rStyle w:val="Hyperlink"/>
            <w:rFonts w:cstheme="minorHAnsi"/>
            <w:sz w:val="22"/>
            <w:szCs w:val="22"/>
            <w:lang w:val="en-GB"/>
          </w:rPr>
          <w:t>w</w:t>
        </w:r>
        <w:r w:rsidRPr="00B94C25">
          <w:rPr>
            <w:rStyle w:val="Hyperlink"/>
            <w:rFonts w:cstheme="minorHAnsi"/>
            <w:sz w:val="22"/>
            <w:szCs w:val="22"/>
            <w:lang w:val="en-GB"/>
          </w:rPr>
          <w:t>w.annualreports.com/</w:t>
        </w:r>
        <w:r w:rsidRPr="00B94C25">
          <w:rPr>
            <w:rStyle w:val="Hyperlink"/>
            <w:rFonts w:cstheme="minorHAnsi"/>
            <w:sz w:val="22"/>
            <w:szCs w:val="22"/>
            <w:lang w:val="en-GB"/>
          </w:rPr>
          <w:t>H</w:t>
        </w:r>
        <w:r w:rsidRPr="00B94C25">
          <w:rPr>
            <w:rStyle w:val="Hyperlink"/>
            <w:rFonts w:cstheme="minorHAnsi"/>
            <w:sz w:val="22"/>
            <w:szCs w:val="22"/>
            <w:lang w:val="en-GB"/>
          </w:rPr>
          <w:t>ostedData/AnnualReports/PDF/NYSE_JNJ_2022.pdf</w:t>
        </w:r>
      </w:hyperlink>
      <w:r w:rsidRPr="00B94C25">
        <w:rPr>
          <w:rFonts w:cstheme="minorHAnsi"/>
          <w:color w:val="000000" w:themeColor="text1"/>
          <w:sz w:val="22"/>
          <w:szCs w:val="22"/>
          <w:lang w:val="en-GB"/>
        </w:rPr>
        <w:t xml:space="preserve"> </w:t>
      </w:r>
      <w:r w:rsidRPr="00B94C25">
        <w:rPr>
          <w:rFonts w:cstheme="minorHAnsi"/>
          <w:color w:val="000000" w:themeColor="text1"/>
          <w:sz w:val="22"/>
          <w:szCs w:val="22"/>
          <w:lang w:val="en-GB"/>
        </w:rPr>
        <w:t>(Accessed 1</w:t>
      </w:r>
      <w:r w:rsidRPr="00B94C25">
        <w:rPr>
          <w:rFonts w:cstheme="minorHAnsi"/>
          <w:color w:val="000000" w:themeColor="text1"/>
          <w:sz w:val="22"/>
          <w:szCs w:val="22"/>
          <w:lang w:val="en-GB"/>
        </w:rPr>
        <w:t>5</w:t>
      </w:r>
      <w:r w:rsidRPr="00B94C25">
        <w:rPr>
          <w:rFonts w:cstheme="minorHAnsi"/>
          <w:color w:val="000000" w:themeColor="text1"/>
          <w:sz w:val="22"/>
          <w:szCs w:val="22"/>
          <w:lang w:val="en-GB"/>
        </w:rPr>
        <w:t>/12/2023)</w:t>
      </w:r>
      <w:r w:rsidR="00CD5E9D" w:rsidRPr="00B94C25">
        <w:rPr>
          <w:rFonts w:cstheme="minorHAnsi"/>
          <w:color w:val="000000" w:themeColor="text1"/>
          <w:sz w:val="22"/>
          <w:szCs w:val="22"/>
          <w:lang w:val="en-GB"/>
        </w:rPr>
        <w:tab/>
      </w:r>
    </w:p>
    <w:p w14:paraId="341E1F8C" w14:textId="58A19DD6" w:rsidR="00F011A0" w:rsidRPr="00B94C25" w:rsidRDefault="00F011A0" w:rsidP="00F011A0">
      <w:pPr>
        <w:pStyle w:val="ListBullet"/>
        <w:numPr>
          <w:ilvl w:val="0"/>
          <w:numId w:val="0"/>
        </w:numPr>
        <w:rPr>
          <w:rFonts w:cstheme="minorHAnsi"/>
          <w:color w:val="000000" w:themeColor="text1"/>
          <w:sz w:val="22"/>
          <w:szCs w:val="22"/>
          <w:lang w:val="en-GB"/>
        </w:rPr>
      </w:pPr>
      <w:r w:rsidRPr="00B94C25">
        <w:rPr>
          <w:rFonts w:cstheme="minorHAnsi"/>
          <w:color w:val="000000" w:themeColor="text1"/>
          <w:sz w:val="22"/>
          <w:szCs w:val="22"/>
          <w:lang w:val="en-GB"/>
        </w:rPr>
        <w:t>Johnson and Johnson (December 5</w:t>
      </w:r>
      <w:r w:rsidRPr="00B94C25">
        <w:rPr>
          <w:rFonts w:cstheme="minorHAnsi"/>
          <w:color w:val="000000" w:themeColor="text1"/>
          <w:sz w:val="22"/>
          <w:szCs w:val="22"/>
          <w:vertAlign w:val="superscript"/>
          <w:lang w:val="en-GB"/>
        </w:rPr>
        <w:t>th</w:t>
      </w:r>
      <w:r w:rsidRPr="00B94C25">
        <w:rPr>
          <w:rFonts w:cstheme="minorHAnsi"/>
          <w:color w:val="000000" w:themeColor="text1"/>
          <w:sz w:val="22"/>
          <w:szCs w:val="22"/>
          <w:lang w:val="en-GB"/>
        </w:rPr>
        <w:t xml:space="preserve">, 2023) </w:t>
      </w:r>
      <w:hyperlink r:id="rId16" w:history="1">
        <w:r w:rsidRPr="00B94C25">
          <w:rPr>
            <w:rStyle w:val="Hyperlink"/>
            <w:rFonts w:cstheme="minorHAnsi"/>
            <w:sz w:val="22"/>
            <w:szCs w:val="22"/>
            <w:lang w:val="en-GB"/>
          </w:rPr>
          <w:t>https:</w:t>
        </w:r>
        <w:r w:rsidRPr="00B94C25">
          <w:rPr>
            <w:rStyle w:val="Hyperlink"/>
            <w:rFonts w:cstheme="minorHAnsi"/>
            <w:sz w:val="22"/>
            <w:szCs w:val="22"/>
            <w:lang w:val="en-GB"/>
          </w:rPr>
          <w:t>/</w:t>
        </w:r>
        <w:r w:rsidRPr="00B94C25">
          <w:rPr>
            <w:rStyle w:val="Hyperlink"/>
            <w:rFonts w:cstheme="minorHAnsi"/>
            <w:sz w:val="22"/>
            <w:szCs w:val="22"/>
            <w:lang w:val="en-GB"/>
          </w:rPr>
          <w:t>/www.jnj.c</w:t>
        </w:r>
        <w:r w:rsidRPr="00B94C25">
          <w:rPr>
            <w:rStyle w:val="Hyperlink"/>
            <w:rFonts w:cstheme="minorHAnsi"/>
            <w:sz w:val="22"/>
            <w:szCs w:val="22"/>
            <w:lang w:val="en-GB"/>
          </w:rPr>
          <w:t>o</w:t>
        </w:r>
        <w:r w:rsidRPr="00B94C25">
          <w:rPr>
            <w:rStyle w:val="Hyperlink"/>
            <w:rFonts w:cstheme="minorHAnsi"/>
            <w:sz w:val="22"/>
            <w:szCs w:val="22"/>
            <w:lang w:val="en-GB"/>
          </w:rPr>
          <w:t>m/johnson-johnson-announces-key-drivers-for-long-term-competitive-growth-at-enterprise-business-review</w:t>
        </w:r>
      </w:hyperlink>
      <w:r w:rsidRPr="00B94C25">
        <w:rPr>
          <w:rFonts w:cstheme="minorHAnsi"/>
          <w:color w:val="000000" w:themeColor="text1"/>
          <w:sz w:val="22"/>
          <w:szCs w:val="22"/>
          <w:lang w:val="en-GB"/>
        </w:rPr>
        <w:t xml:space="preserve"> </w:t>
      </w:r>
      <w:r w:rsidRPr="00B94C25">
        <w:rPr>
          <w:rFonts w:cstheme="minorHAnsi"/>
          <w:color w:val="000000" w:themeColor="text1"/>
          <w:sz w:val="22"/>
          <w:szCs w:val="22"/>
          <w:lang w:val="en-GB"/>
        </w:rPr>
        <w:t>(Accessed 1</w:t>
      </w:r>
      <w:r w:rsidRPr="00B94C25">
        <w:rPr>
          <w:rFonts w:cstheme="minorHAnsi"/>
          <w:color w:val="000000" w:themeColor="text1"/>
          <w:sz w:val="22"/>
          <w:szCs w:val="22"/>
          <w:lang w:val="en-GB"/>
        </w:rPr>
        <w:t>6</w:t>
      </w:r>
      <w:r w:rsidRPr="00B94C25">
        <w:rPr>
          <w:rFonts w:cstheme="minorHAnsi"/>
          <w:color w:val="000000" w:themeColor="text1"/>
          <w:sz w:val="22"/>
          <w:szCs w:val="22"/>
          <w:lang w:val="en-GB"/>
        </w:rPr>
        <w:t>/12/2023)</w:t>
      </w:r>
    </w:p>
    <w:p w14:paraId="7A699C5D" w14:textId="04CE2F95" w:rsidR="00CD5E9D" w:rsidRPr="00B94C25" w:rsidRDefault="00B94C25" w:rsidP="00CD5E9D">
      <w:pPr>
        <w:pStyle w:val="ListBullet"/>
        <w:numPr>
          <w:ilvl w:val="0"/>
          <w:numId w:val="0"/>
        </w:numPr>
        <w:tabs>
          <w:tab w:val="right" w:pos="9891"/>
        </w:tabs>
        <w:rPr>
          <w:rFonts w:cstheme="minorHAnsi"/>
          <w:color w:val="000000" w:themeColor="text1"/>
          <w:sz w:val="22"/>
          <w:szCs w:val="22"/>
          <w:lang w:val="en-GB"/>
        </w:rPr>
      </w:pPr>
      <w:r w:rsidRPr="00B94C25">
        <w:rPr>
          <w:rFonts w:cstheme="minorHAnsi"/>
          <w:color w:val="000000" w:themeColor="text1"/>
          <w:sz w:val="22"/>
          <w:szCs w:val="22"/>
          <w:lang w:val="en-GB"/>
        </w:rPr>
        <w:t xml:space="preserve">WSJ Markets, 2023, </w:t>
      </w:r>
      <w:hyperlink r:id="rId17" w:history="1">
        <w:r w:rsidRPr="00B94C25">
          <w:rPr>
            <w:rStyle w:val="Hyperlink"/>
            <w:rFonts w:cstheme="minorHAnsi"/>
            <w:sz w:val="22"/>
            <w:szCs w:val="22"/>
            <w:lang w:val="en-GB"/>
          </w:rPr>
          <w:t>htt</w:t>
        </w:r>
        <w:r w:rsidRPr="00B94C25">
          <w:rPr>
            <w:rStyle w:val="Hyperlink"/>
            <w:rFonts w:cstheme="minorHAnsi"/>
            <w:sz w:val="22"/>
            <w:szCs w:val="22"/>
            <w:lang w:val="en-GB"/>
          </w:rPr>
          <w:t>p</w:t>
        </w:r>
        <w:r w:rsidRPr="00B94C25">
          <w:rPr>
            <w:rStyle w:val="Hyperlink"/>
            <w:rFonts w:cstheme="minorHAnsi"/>
            <w:sz w:val="22"/>
            <w:szCs w:val="22"/>
            <w:lang w:val="en-GB"/>
          </w:rPr>
          <w:t>s://www.wsj.com/m</w:t>
        </w:r>
        <w:r w:rsidRPr="00B94C25">
          <w:rPr>
            <w:rStyle w:val="Hyperlink"/>
            <w:rFonts w:cstheme="minorHAnsi"/>
            <w:sz w:val="22"/>
            <w:szCs w:val="22"/>
            <w:lang w:val="en-GB"/>
          </w:rPr>
          <w:t>a</w:t>
        </w:r>
        <w:r w:rsidRPr="00B94C25">
          <w:rPr>
            <w:rStyle w:val="Hyperlink"/>
            <w:rFonts w:cstheme="minorHAnsi"/>
            <w:sz w:val="22"/>
            <w:szCs w:val="22"/>
            <w:lang w:val="en-GB"/>
          </w:rPr>
          <w:t>rket-data/quotes/JNJ/financials/annual/income-statement</w:t>
        </w:r>
      </w:hyperlink>
      <w:r w:rsidRPr="00B94C25">
        <w:rPr>
          <w:rFonts w:cstheme="minorHAnsi"/>
          <w:color w:val="000000" w:themeColor="text1"/>
          <w:sz w:val="22"/>
          <w:szCs w:val="22"/>
          <w:lang w:val="en-GB"/>
        </w:rPr>
        <w:t xml:space="preserve"> </w:t>
      </w:r>
      <w:r w:rsidRPr="00B94C25">
        <w:rPr>
          <w:rFonts w:cstheme="minorHAnsi"/>
          <w:color w:val="000000" w:themeColor="text1"/>
          <w:sz w:val="22"/>
          <w:szCs w:val="22"/>
          <w:lang w:val="en-GB"/>
        </w:rPr>
        <w:t>(Accessed 1</w:t>
      </w:r>
      <w:r w:rsidRPr="00B94C25">
        <w:rPr>
          <w:rFonts w:cstheme="minorHAnsi"/>
          <w:color w:val="000000" w:themeColor="text1"/>
          <w:sz w:val="22"/>
          <w:szCs w:val="22"/>
          <w:lang w:val="en-GB"/>
        </w:rPr>
        <w:t>8</w:t>
      </w:r>
      <w:r w:rsidRPr="00B94C25">
        <w:rPr>
          <w:rFonts w:cstheme="minorHAnsi"/>
          <w:color w:val="000000" w:themeColor="text1"/>
          <w:sz w:val="22"/>
          <w:szCs w:val="22"/>
          <w:lang w:val="en-GB"/>
        </w:rPr>
        <w:t>/12/2023)</w:t>
      </w:r>
    </w:p>
    <w:p w14:paraId="43BBCEC1" w14:textId="0367AE15" w:rsidR="00CD5E9D" w:rsidRPr="00B94C25" w:rsidRDefault="00B94C25" w:rsidP="00CD5E9D">
      <w:pPr>
        <w:pStyle w:val="ListBullet"/>
        <w:numPr>
          <w:ilvl w:val="0"/>
          <w:numId w:val="0"/>
        </w:numPr>
        <w:tabs>
          <w:tab w:val="right" w:pos="9891"/>
        </w:tabs>
        <w:rPr>
          <w:rFonts w:cstheme="minorHAnsi"/>
          <w:color w:val="000000" w:themeColor="text1"/>
          <w:sz w:val="22"/>
          <w:szCs w:val="22"/>
          <w:lang w:val="en-GB"/>
        </w:rPr>
      </w:pPr>
      <w:r w:rsidRPr="00B94C25">
        <w:rPr>
          <w:rFonts w:cstheme="minorHAnsi"/>
          <w:sz w:val="22"/>
          <w:szCs w:val="22"/>
        </w:rPr>
        <w:fldChar w:fldCharType="begin"/>
      </w:r>
      <w:r w:rsidRPr="00B94C25">
        <w:rPr>
          <w:rFonts w:cstheme="minorHAnsi"/>
          <w:sz w:val="22"/>
          <w:szCs w:val="22"/>
        </w:rPr>
        <w:instrText xml:space="preserve"> HYPERLINK "https://www.getreskilled.com/pharmaceutical-companies/" \l "donagh" </w:instrText>
      </w:r>
      <w:r w:rsidRPr="00B94C25">
        <w:rPr>
          <w:rFonts w:cstheme="minorHAnsi"/>
          <w:sz w:val="22"/>
          <w:szCs w:val="22"/>
        </w:rPr>
        <w:fldChar w:fldCharType="separate"/>
      </w:r>
      <w:r w:rsidRPr="00B94C25">
        <w:rPr>
          <w:rFonts w:cstheme="minorHAnsi"/>
          <w:color w:val="0000FF"/>
          <w:sz w:val="22"/>
          <w:szCs w:val="22"/>
          <w:u w:val="single"/>
        </w:rPr>
        <w:t>Donagh</w:t>
      </w:r>
      <w:r w:rsidRPr="00B94C25">
        <w:rPr>
          <w:rFonts w:cstheme="minorHAnsi"/>
          <w:color w:val="0000FF"/>
          <w:sz w:val="22"/>
          <w:szCs w:val="22"/>
          <w:u w:val="single"/>
        </w:rPr>
        <w:t xml:space="preserve"> </w:t>
      </w:r>
      <w:r w:rsidRPr="00B94C25">
        <w:rPr>
          <w:rFonts w:cstheme="minorHAnsi"/>
          <w:color w:val="0000FF"/>
          <w:sz w:val="22"/>
          <w:szCs w:val="22"/>
          <w:u w:val="single"/>
        </w:rPr>
        <w:t>F</w:t>
      </w:r>
      <w:r w:rsidRPr="00B94C25">
        <w:rPr>
          <w:rFonts w:cstheme="minorHAnsi"/>
          <w:color w:val="0000FF"/>
          <w:sz w:val="22"/>
          <w:szCs w:val="22"/>
          <w:u w:val="single"/>
        </w:rPr>
        <w:t>itzgerald B.Prod Eng</w:t>
      </w:r>
      <w:r w:rsidRPr="00B94C25">
        <w:rPr>
          <w:rFonts w:cstheme="minorHAnsi"/>
          <w:sz w:val="22"/>
          <w:szCs w:val="22"/>
        </w:rPr>
        <w:fldChar w:fldCharType="end"/>
      </w:r>
      <w:r w:rsidRPr="00B94C25">
        <w:rPr>
          <w:rFonts w:cstheme="minorHAnsi"/>
          <w:color w:val="1C1C1C"/>
          <w:sz w:val="22"/>
          <w:szCs w:val="22"/>
          <w:shd w:val="clear" w:color="auto" w:fill="FFFFFF"/>
        </w:rPr>
        <w:t> and </w:t>
      </w:r>
      <w:hyperlink r:id="rId18" w:anchor="claire" w:history="1">
        <w:r w:rsidRPr="00B94C25">
          <w:rPr>
            <w:rFonts w:cstheme="minorHAnsi"/>
            <w:color w:val="0000FF"/>
            <w:sz w:val="22"/>
            <w:szCs w:val="22"/>
            <w:u w:val="single"/>
          </w:rPr>
          <w:t>Claire Wilson BSc</w:t>
        </w:r>
      </w:hyperlink>
      <w:r>
        <w:rPr>
          <w:rFonts w:cstheme="minorHAnsi"/>
          <w:sz w:val="22"/>
          <w:szCs w:val="22"/>
        </w:rPr>
        <w:t xml:space="preserve">, </w:t>
      </w:r>
      <w:r w:rsidRPr="00B94C25">
        <w:rPr>
          <w:rFonts w:cstheme="minorHAnsi"/>
          <w:color w:val="000000" w:themeColor="text1"/>
          <w:sz w:val="22"/>
          <w:szCs w:val="22"/>
        </w:rPr>
        <w:t xml:space="preserve">Get Reskilled (August, 2023) </w:t>
      </w:r>
      <w:hyperlink r:id="rId19" w:history="1">
        <w:r w:rsidRPr="00895CCA">
          <w:rPr>
            <w:rStyle w:val="Hyperlink"/>
            <w:rFonts w:cstheme="minorHAnsi"/>
            <w:sz w:val="22"/>
            <w:szCs w:val="22"/>
            <w:lang w:val="en-GB"/>
          </w:rPr>
          <w:t>http</w:t>
        </w:r>
        <w:r w:rsidRPr="00895CCA">
          <w:rPr>
            <w:rStyle w:val="Hyperlink"/>
            <w:rFonts w:cstheme="minorHAnsi"/>
            <w:sz w:val="22"/>
            <w:szCs w:val="22"/>
            <w:lang w:val="en-GB"/>
          </w:rPr>
          <w:t>s</w:t>
        </w:r>
        <w:r w:rsidRPr="00895CCA">
          <w:rPr>
            <w:rStyle w:val="Hyperlink"/>
            <w:rFonts w:cstheme="minorHAnsi"/>
            <w:sz w:val="22"/>
            <w:szCs w:val="22"/>
            <w:lang w:val="en-GB"/>
          </w:rPr>
          <w:t>://w</w:t>
        </w:r>
        <w:r w:rsidRPr="00895CCA">
          <w:rPr>
            <w:rStyle w:val="Hyperlink"/>
            <w:rFonts w:cstheme="minorHAnsi"/>
            <w:sz w:val="22"/>
            <w:szCs w:val="22"/>
            <w:lang w:val="en-GB"/>
          </w:rPr>
          <w:t>w</w:t>
        </w:r>
        <w:r w:rsidRPr="00895CCA">
          <w:rPr>
            <w:rStyle w:val="Hyperlink"/>
            <w:rFonts w:cstheme="minorHAnsi"/>
            <w:sz w:val="22"/>
            <w:szCs w:val="22"/>
            <w:lang w:val="en-GB"/>
          </w:rPr>
          <w:t>w.getreskilled.com/pharmaceutical-companies/</w:t>
        </w:r>
      </w:hyperlink>
      <w:r w:rsidRPr="00B94C25">
        <w:rPr>
          <w:rFonts w:cstheme="minorHAnsi"/>
          <w:color w:val="000000" w:themeColor="text1"/>
          <w:sz w:val="22"/>
          <w:szCs w:val="22"/>
          <w:lang w:val="en-GB"/>
        </w:rPr>
        <w:t xml:space="preserve"> </w:t>
      </w:r>
      <w:r w:rsidRPr="00B94C25">
        <w:rPr>
          <w:rFonts w:cstheme="minorHAnsi"/>
          <w:color w:val="000000" w:themeColor="text1"/>
          <w:sz w:val="22"/>
          <w:szCs w:val="22"/>
          <w:lang w:val="en-GB"/>
        </w:rPr>
        <w:t>(Accessed 1</w:t>
      </w:r>
      <w:r>
        <w:rPr>
          <w:rFonts w:cstheme="minorHAnsi"/>
          <w:color w:val="000000" w:themeColor="text1"/>
          <w:sz w:val="22"/>
          <w:szCs w:val="22"/>
          <w:lang w:val="en-GB"/>
        </w:rPr>
        <w:t>8</w:t>
      </w:r>
      <w:r w:rsidRPr="00B94C25">
        <w:rPr>
          <w:rFonts w:cstheme="minorHAnsi"/>
          <w:color w:val="000000" w:themeColor="text1"/>
          <w:sz w:val="22"/>
          <w:szCs w:val="22"/>
          <w:lang w:val="en-GB"/>
        </w:rPr>
        <w:t>/12/2023)</w:t>
      </w:r>
    </w:p>
    <w:p w14:paraId="792E3395" w14:textId="5398B3F9" w:rsidR="00CD5E9D" w:rsidRPr="00B94C25" w:rsidRDefault="00B94C25" w:rsidP="00CD5E9D">
      <w:pPr>
        <w:pStyle w:val="ListBullet"/>
        <w:numPr>
          <w:ilvl w:val="0"/>
          <w:numId w:val="0"/>
        </w:numPr>
        <w:tabs>
          <w:tab w:val="right" w:pos="9891"/>
        </w:tabs>
        <w:rPr>
          <w:rFonts w:cstheme="minorHAnsi"/>
          <w:color w:val="000000" w:themeColor="text1"/>
          <w:sz w:val="22"/>
          <w:szCs w:val="22"/>
          <w:lang w:val="en-GB"/>
        </w:rPr>
      </w:pPr>
      <w:r w:rsidRPr="00B94C25">
        <w:rPr>
          <w:rFonts w:cstheme="minorHAnsi"/>
          <w:color w:val="000000" w:themeColor="text1"/>
          <w:sz w:val="22"/>
          <w:szCs w:val="22"/>
          <w:lang w:val="en-GB"/>
        </w:rPr>
        <w:t xml:space="preserve">Pfizer Inc. Annual Report (2022), </w:t>
      </w:r>
      <w:hyperlink r:id="rId20" w:history="1">
        <w:r w:rsidRPr="00B94C25">
          <w:rPr>
            <w:rStyle w:val="Hyperlink"/>
            <w:rFonts w:cstheme="minorHAnsi"/>
            <w:sz w:val="22"/>
            <w:szCs w:val="22"/>
            <w:lang w:val="en-GB"/>
          </w:rPr>
          <w:t>https://s2</w:t>
        </w:r>
        <w:r w:rsidRPr="00B94C25">
          <w:rPr>
            <w:rStyle w:val="Hyperlink"/>
            <w:rFonts w:cstheme="minorHAnsi"/>
            <w:sz w:val="22"/>
            <w:szCs w:val="22"/>
            <w:lang w:val="en-GB"/>
          </w:rPr>
          <w:t>8</w:t>
        </w:r>
        <w:r w:rsidRPr="00B94C25">
          <w:rPr>
            <w:rStyle w:val="Hyperlink"/>
            <w:rFonts w:cstheme="minorHAnsi"/>
            <w:sz w:val="22"/>
            <w:szCs w:val="22"/>
            <w:lang w:val="en-GB"/>
          </w:rPr>
          <w:t>.q4cdn.com/781576035/files/doc_financials/2022/ar/PFE-2022-Form-10K-FINAL-(without-Exhibits).pdf</w:t>
        </w:r>
      </w:hyperlink>
      <w:r w:rsidRPr="00B94C25">
        <w:rPr>
          <w:rFonts w:cstheme="minorHAnsi"/>
          <w:color w:val="000000" w:themeColor="text1"/>
          <w:sz w:val="22"/>
          <w:szCs w:val="22"/>
          <w:lang w:val="en-GB"/>
        </w:rPr>
        <w:t xml:space="preserve"> </w:t>
      </w:r>
      <w:r w:rsidRPr="00B94C25">
        <w:rPr>
          <w:rFonts w:cstheme="minorHAnsi"/>
          <w:color w:val="000000" w:themeColor="text1"/>
          <w:sz w:val="22"/>
          <w:szCs w:val="22"/>
          <w:lang w:val="en-GB"/>
        </w:rPr>
        <w:t>(Accessed 1</w:t>
      </w:r>
      <w:r>
        <w:rPr>
          <w:rFonts w:cstheme="minorHAnsi"/>
          <w:color w:val="000000" w:themeColor="text1"/>
          <w:sz w:val="22"/>
          <w:szCs w:val="22"/>
          <w:lang w:val="en-GB"/>
        </w:rPr>
        <w:t>8</w:t>
      </w:r>
      <w:r w:rsidRPr="00B94C25">
        <w:rPr>
          <w:rFonts w:cstheme="minorHAnsi"/>
          <w:color w:val="000000" w:themeColor="text1"/>
          <w:sz w:val="22"/>
          <w:szCs w:val="22"/>
          <w:lang w:val="en-GB"/>
        </w:rPr>
        <w:t>/12/2023)</w:t>
      </w:r>
    </w:p>
    <w:p w14:paraId="48439A31" w14:textId="77777777" w:rsidR="00CD5E9D" w:rsidRPr="00CD5E9D" w:rsidRDefault="00CD5E9D" w:rsidP="00CD5E9D">
      <w:pPr>
        <w:pStyle w:val="ListBullet"/>
        <w:numPr>
          <w:ilvl w:val="0"/>
          <w:numId w:val="0"/>
        </w:numPr>
        <w:tabs>
          <w:tab w:val="right" w:pos="9891"/>
        </w:tabs>
        <w:rPr>
          <w:rFonts w:ascii="AppleSystemUIFont" w:hAnsi="AppleSystemUIFont"/>
          <w:lang w:val="en-GB"/>
        </w:rPr>
      </w:pPr>
    </w:p>
    <w:p w14:paraId="6FF46FF2" w14:textId="77777777" w:rsidR="00CD5E9D" w:rsidRPr="00CD5E9D" w:rsidRDefault="00CD5E9D" w:rsidP="00CD5E9D">
      <w:pPr>
        <w:pStyle w:val="ListBullet"/>
        <w:numPr>
          <w:ilvl w:val="0"/>
          <w:numId w:val="0"/>
        </w:numPr>
        <w:tabs>
          <w:tab w:val="right" w:pos="9891"/>
        </w:tabs>
        <w:rPr>
          <w:color w:val="000000" w:themeColor="text1"/>
        </w:rPr>
      </w:pPr>
    </w:p>
    <w:p w14:paraId="4013949D" w14:textId="4A3918A9" w:rsidR="00CD5E9D" w:rsidRDefault="00CD5E9D" w:rsidP="00CD5E9D">
      <w:pPr>
        <w:pStyle w:val="ListBullet"/>
        <w:numPr>
          <w:ilvl w:val="0"/>
          <w:numId w:val="0"/>
        </w:numPr>
        <w:ind w:left="936" w:hanging="360"/>
        <w:rPr>
          <w:color w:val="000000" w:themeColor="text1"/>
        </w:rPr>
      </w:pPr>
    </w:p>
    <w:p w14:paraId="0B73EC21" w14:textId="77777777" w:rsidR="00CD5E9D" w:rsidRPr="002D360A" w:rsidRDefault="00CD5E9D" w:rsidP="00CD5E9D">
      <w:pPr>
        <w:pStyle w:val="ListBullet"/>
        <w:numPr>
          <w:ilvl w:val="0"/>
          <w:numId w:val="0"/>
        </w:numPr>
        <w:ind w:left="936" w:hanging="360"/>
        <w:rPr>
          <w:color w:val="000000" w:themeColor="text1"/>
        </w:rPr>
      </w:pPr>
    </w:p>
    <w:sectPr w:rsidR="00CD5E9D" w:rsidRPr="002D360A">
      <w:footerReference w:type="default" r:id="rId21"/>
      <w:footerReference w:type="first" r:id="rId22"/>
      <w:pgSz w:w="11907" w:h="16839" w:code="9"/>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7C67" w14:textId="77777777" w:rsidR="00EC13A1" w:rsidRDefault="00EC13A1">
      <w:pPr>
        <w:spacing w:before="0" w:after="0" w:line="240" w:lineRule="auto"/>
      </w:pPr>
      <w:r>
        <w:separator/>
      </w:r>
    </w:p>
    <w:p w14:paraId="2A645974" w14:textId="77777777" w:rsidR="00EC13A1" w:rsidRDefault="00EC13A1"/>
  </w:endnote>
  <w:endnote w:type="continuationSeparator" w:id="0">
    <w:p w14:paraId="37326192" w14:textId="77777777" w:rsidR="00EC13A1" w:rsidRDefault="00EC13A1">
      <w:pPr>
        <w:spacing w:before="0" w:after="0" w:line="240" w:lineRule="auto"/>
      </w:pPr>
      <w:r>
        <w:continuationSeparator/>
      </w:r>
    </w:p>
    <w:p w14:paraId="22D6013F" w14:textId="77777777" w:rsidR="00EC13A1" w:rsidRDefault="00EC1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ZShuTi">
    <w:altName w:val="方正舒体"/>
    <w:panose1 w:val="020B0604020202020204"/>
    <w:charset w:val="86"/>
    <w:family w:val="auto"/>
    <w:pitch w:val="variable"/>
    <w:sig w:usb0="00000003"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71722"/>
      <w:docPartObj>
        <w:docPartGallery w:val="Page Numbers (Bottom of Page)"/>
        <w:docPartUnique/>
      </w:docPartObj>
    </w:sdtPr>
    <w:sdtEndPr>
      <w:rPr>
        <w:noProof/>
      </w:rPr>
    </w:sdtEndPr>
    <w:sdtContent>
      <w:p w14:paraId="46B3A2E9" w14:textId="77777777" w:rsidR="00132570" w:rsidRDefault="00B604E0">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76BC" w14:textId="77777777" w:rsidR="00132570" w:rsidRDefault="00000000">
    <w:pPr>
      <w:pStyle w:val="Footer"/>
    </w:pPr>
    <w:sdt>
      <w:sdtPr>
        <w:id w:val="7803617"/>
        <w:temporary/>
        <w:showingPlcHdr/>
        <w15:appearance w15:val="hidden"/>
      </w:sdtPr>
      <w:sdtContent>
        <w:r w:rsidR="00B604E0">
          <w:rPr>
            <w:lang w:val="en-GB" w:bidi="en-GB"/>
          </w:rPr>
          <w:t>Address | City, County/Region, Postcode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EB2C" w14:textId="77777777" w:rsidR="00EC13A1" w:rsidRDefault="00EC13A1">
      <w:pPr>
        <w:spacing w:before="0" w:after="0" w:line="240" w:lineRule="auto"/>
      </w:pPr>
      <w:r>
        <w:separator/>
      </w:r>
    </w:p>
    <w:p w14:paraId="2233CF2D" w14:textId="77777777" w:rsidR="00EC13A1" w:rsidRDefault="00EC13A1"/>
  </w:footnote>
  <w:footnote w:type="continuationSeparator" w:id="0">
    <w:p w14:paraId="640F2FF2" w14:textId="77777777" w:rsidR="00EC13A1" w:rsidRDefault="00EC13A1">
      <w:pPr>
        <w:spacing w:before="0" w:after="0" w:line="240" w:lineRule="auto"/>
      </w:pPr>
      <w:r>
        <w:continuationSeparator/>
      </w:r>
    </w:p>
    <w:p w14:paraId="35AF4343" w14:textId="77777777" w:rsidR="00EC13A1" w:rsidRDefault="00EC13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1"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42D45"/>
    <w:multiLevelType w:val="hybridMultilevel"/>
    <w:tmpl w:val="B27CB144"/>
    <w:lvl w:ilvl="0" w:tplc="74E88D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14A16"/>
    <w:multiLevelType w:val="hybridMultilevel"/>
    <w:tmpl w:val="3580FE5E"/>
    <w:lvl w:ilvl="0" w:tplc="774ACB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34781"/>
    <w:multiLevelType w:val="hybridMultilevel"/>
    <w:tmpl w:val="B27CB14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682294">
    <w:abstractNumId w:val="1"/>
  </w:num>
  <w:num w:numId="2" w16cid:durableId="1893492773">
    <w:abstractNumId w:val="4"/>
  </w:num>
  <w:num w:numId="3" w16cid:durableId="538203211">
    <w:abstractNumId w:val="0"/>
  </w:num>
  <w:num w:numId="4" w16cid:durableId="98990221">
    <w:abstractNumId w:val="6"/>
  </w:num>
  <w:num w:numId="5" w16cid:durableId="1062216989">
    <w:abstractNumId w:val="5"/>
  </w:num>
  <w:num w:numId="6" w16cid:durableId="431248075">
    <w:abstractNumId w:val="7"/>
  </w:num>
  <w:num w:numId="7" w16cid:durableId="2007514573">
    <w:abstractNumId w:val="2"/>
  </w:num>
  <w:num w:numId="8" w16cid:durableId="1380979586">
    <w:abstractNumId w:val="10"/>
  </w:num>
  <w:num w:numId="9" w16cid:durableId="1167676506">
    <w:abstractNumId w:val="3"/>
  </w:num>
  <w:num w:numId="10" w16cid:durableId="1465779358">
    <w:abstractNumId w:val="9"/>
  </w:num>
  <w:num w:numId="11" w16cid:durableId="282463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69"/>
    <w:rsid w:val="00073B9B"/>
    <w:rsid w:val="000A06C6"/>
    <w:rsid w:val="000B2AA4"/>
    <w:rsid w:val="00132570"/>
    <w:rsid w:val="00133DDD"/>
    <w:rsid w:val="00153F80"/>
    <w:rsid w:val="00154913"/>
    <w:rsid w:val="001579E9"/>
    <w:rsid w:val="00173265"/>
    <w:rsid w:val="00192339"/>
    <w:rsid w:val="001C3E27"/>
    <w:rsid w:val="00213A64"/>
    <w:rsid w:val="00233143"/>
    <w:rsid w:val="002471D5"/>
    <w:rsid w:val="00267A71"/>
    <w:rsid w:val="00282446"/>
    <w:rsid w:val="002871B1"/>
    <w:rsid w:val="002A5316"/>
    <w:rsid w:val="002A57A3"/>
    <w:rsid w:val="002D360A"/>
    <w:rsid w:val="002F20EA"/>
    <w:rsid w:val="00342161"/>
    <w:rsid w:val="00396687"/>
    <w:rsid w:val="003C1DD2"/>
    <w:rsid w:val="003D02BE"/>
    <w:rsid w:val="003D565D"/>
    <w:rsid w:val="003E263B"/>
    <w:rsid w:val="00406AC6"/>
    <w:rsid w:val="004370E6"/>
    <w:rsid w:val="00452945"/>
    <w:rsid w:val="00474804"/>
    <w:rsid w:val="004E48D9"/>
    <w:rsid w:val="004F426C"/>
    <w:rsid w:val="005106AF"/>
    <w:rsid w:val="00532B91"/>
    <w:rsid w:val="00583E75"/>
    <w:rsid w:val="00591FCD"/>
    <w:rsid w:val="005D6B16"/>
    <w:rsid w:val="005E7638"/>
    <w:rsid w:val="0064675D"/>
    <w:rsid w:val="00690135"/>
    <w:rsid w:val="006D4D0E"/>
    <w:rsid w:val="006E1C15"/>
    <w:rsid w:val="00777DF8"/>
    <w:rsid w:val="007A12FD"/>
    <w:rsid w:val="007C7B80"/>
    <w:rsid w:val="007D1DC0"/>
    <w:rsid w:val="007E24FB"/>
    <w:rsid w:val="008448C4"/>
    <w:rsid w:val="00864531"/>
    <w:rsid w:val="00887C32"/>
    <w:rsid w:val="00894E45"/>
    <w:rsid w:val="008967AA"/>
    <w:rsid w:val="00907C29"/>
    <w:rsid w:val="00953F14"/>
    <w:rsid w:val="009C093F"/>
    <w:rsid w:val="009C7BBC"/>
    <w:rsid w:val="009D5B74"/>
    <w:rsid w:val="009D76C5"/>
    <w:rsid w:val="009F5014"/>
    <w:rsid w:val="00AA75C7"/>
    <w:rsid w:val="00AB5070"/>
    <w:rsid w:val="00AB5103"/>
    <w:rsid w:val="00AE788B"/>
    <w:rsid w:val="00B176F5"/>
    <w:rsid w:val="00B264C9"/>
    <w:rsid w:val="00B325A7"/>
    <w:rsid w:val="00B604E0"/>
    <w:rsid w:val="00B84981"/>
    <w:rsid w:val="00B94C25"/>
    <w:rsid w:val="00BC5869"/>
    <w:rsid w:val="00C15E06"/>
    <w:rsid w:val="00C33668"/>
    <w:rsid w:val="00C73BF0"/>
    <w:rsid w:val="00CA06D1"/>
    <w:rsid w:val="00CB0A72"/>
    <w:rsid w:val="00CD090B"/>
    <w:rsid w:val="00CD5E9D"/>
    <w:rsid w:val="00D23C26"/>
    <w:rsid w:val="00D30ADB"/>
    <w:rsid w:val="00E1421C"/>
    <w:rsid w:val="00E20CBA"/>
    <w:rsid w:val="00E4768C"/>
    <w:rsid w:val="00E97E0E"/>
    <w:rsid w:val="00EA2783"/>
    <w:rsid w:val="00EC13A1"/>
    <w:rsid w:val="00F011A0"/>
    <w:rsid w:val="00F37CCC"/>
    <w:rsid w:val="00F90652"/>
    <w:rsid w:val="00FC56E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40EBA3"/>
  <w15:chartTrackingRefBased/>
  <w15:docId w15:val="{B406D1C6-9555-9E42-B319-47C269C1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unhideWhenUsed/>
    <w:qFormat/>
    <w:pPr>
      <w:keepNext/>
      <w:keepLines/>
      <w:spacing w:after="200" w:line="240" w:lineRule="auto"/>
      <w:outlineLvl w:val="1"/>
    </w:pPr>
    <w:rPr>
      <w:rFonts w:asciiTheme="majorHAnsi" w:eastAsiaTheme="majorEastAsia" w:hAnsiTheme="majorHAnsi" w:cstheme="majorBidi"/>
      <w:caps/>
      <w:color w:val="0072C6" w:themeColor="accent1"/>
      <w:spacing w:val="14"/>
      <w:sz w:val="40"/>
      <w:szCs w:val="26"/>
    </w:rPr>
  </w:style>
  <w:style w:type="paragraph" w:styleId="Heading3">
    <w:name w:val="heading 3"/>
    <w:basedOn w:val="Normal"/>
    <w:next w:val="Normal"/>
    <w:link w:val="Heading3Char"/>
    <w:uiPriority w:val="9"/>
    <w:semiHidden/>
    <w:unhideWhenUsed/>
    <w:qFormat/>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0072C6" w:themeColor="accent1"/>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le">
    <w:name w:val="Title"/>
    <w:basedOn w:val="Normal"/>
    <w:next w:val="Normal"/>
    <w:link w:val="TitleCh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F98723" w:themeColor="accent2"/>
      <w:spacing w:val="14"/>
      <w:kern w:val="28"/>
      <w:sz w:val="84"/>
      <w:szCs w:val="56"/>
    </w:rPr>
  </w:style>
  <w:style w:type="paragraph" w:styleId="Subtitle">
    <w:name w:val="Subtitle"/>
    <w:basedOn w:val="Normal"/>
    <w:next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0072C6" w:themeColor="accent1"/>
      <w:spacing w:val="14"/>
      <w:sz w:val="40"/>
      <w:szCs w:val="26"/>
    </w:rPr>
  </w:style>
  <w:style w:type="paragraph" w:styleId="ListBullet">
    <w:name w:val="List Bullet"/>
    <w:basedOn w:val="Normal"/>
    <w:uiPriority w:val="31"/>
    <w:qFormat/>
    <w:pPr>
      <w:numPr>
        <w:numId w:val="8"/>
      </w:numPr>
      <w:contextualSpacing/>
    </w:p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ubtitleChar">
    <w:name w:val="Subtitle Char"/>
    <w:basedOn w:val="DefaultParagraphFont"/>
    <w:link w:val="Subtitle"/>
    <w:uiPriority w:val="11"/>
    <w:semiHidden/>
    <w:rPr>
      <w:rFonts w:eastAsiaTheme="minorEastAsia"/>
      <w:caps/>
      <w:sz w:val="40"/>
      <w:szCs w:val="2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spacing w:val="1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pacing w:val="14"/>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14"/>
      <w:sz w:val="26"/>
      <w:szCs w:val="21"/>
    </w:rPr>
  </w:style>
  <w:style w:type="character" w:styleId="SubtleEmphasis">
    <w:name w:val="Subtle Emphasis"/>
    <w:basedOn w:val="DefaultParagraphFont"/>
    <w:uiPriority w:val="19"/>
    <w:semiHidden/>
    <w:unhideWhenUsed/>
    <w:qFormat/>
    <w:rPr>
      <w:i/>
      <w:iCs/>
      <w:color w:val="0072C6" w:themeColor="accent1"/>
    </w:rPr>
  </w:style>
  <w:style w:type="character" w:styleId="Emphasis">
    <w:name w:val="Emphasis"/>
    <w:basedOn w:val="DefaultParagraphFont"/>
    <w:uiPriority w:val="20"/>
    <w:semiHidden/>
    <w:unhideWhenUsed/>
    <w:qFormat/>
    <w:rPr>
      <w:i/>
      <w:iCs/>
      <w:color w:val="F98723" w:themeColor="accent2"/>
    </w:rPr>
  </w:style>
  <w:style w:type="character" w:styleId="IntenseEmphasis">
    <w:name w:val="Intense Emphasis"/>
    <w:basedOn w:val="DefaultParagraphFont"/>
    <w:uiPriority w:val="21"/>
    <w:semiHidden/>
    <w:unhideWhenUsed/>
    <w:qFormat/>
    <w:rPr>
      <w:b/>
      <w:i/>
      <w:iCs/>
      <w:color w:val="F98723" w:themeColor="accent2"/>
    </w:rPr>
  </w:style>
  <w:style w:type="character" w:styleId="Strong">
    <w:name w:val="Strong"/>
    <w:basedOn w:val="DefaultParagraphFont"/>
    <w:uiPriority w:val="22"/>
    <w:semiHidden/>
    <w:unhideWhenUsed/>
    <w:qFormat/>
    <w:rPr>
      <w:b/>
      <w:b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paragraph" w:styleId="Quote">
    <w:name w:val="Quote"/>
    <w:basedOn w:val="Normal"/>
    <w:next w:val="Normal"/>
    <w:link w:val="QuoteChar"/>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QuoteChar">
    <w:name w:val="Quote Char"/>
    <w:basedOn w:val="DefaultParagraphFont"/>
    <w:link w:val="Quote"/>
    <w:uiPriority w:val="29"/>
    <w:rPr>
      <w:rFonts w:asciiTheme="majorHAnsi" w:hAnsiTheme="majorHAnsi"/>
      <w:i/>
      <w:iCs/>
      <w:color w:val="0072C6" w:themeColor="accent1"/>
      <w:sz w:val="40"/>
    </w:rPr>
  </w:style>
  <w:style w:type="character" w:customStyle="1" w:styleId="IntenseQuoteChar">
    <w:name w:val="Intense Quote Char"/>
    <w:basedOn w:val="DefaultParagraphFont"/>
    <w:link w:val="IntenseQuote"/>
    <w:uiPriority w:val="30"/>
    <w:semiHidden/>
    <w:rPr>
      <w:rFonts w:asciiTheme="majorHAnsi" w:hAnsiTheme="majorHAnsi"/>
      <w:i/>
      <w:iCs/>
      <w:color w:val="F98723" w:themeColor="accent2"/>
      <w:sz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sz w:val="34"/>
    </w:rPr>
  </w:style>
  <w:style w:type="paragraph" w:styleId="ListNumber">
    <w:name w:val="List Number"/>
    <w:basedOn w:val="Normal"/>
    <w:uiPriority w:val="32"/>
    <w:qFormat/>
    <w:pPr>
      <w:numPr>
        <w:numId w:val="7"/>
      </w:numPr>
      <w:contextualSpacing/>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rPr>
  </w:style>
  <w:style w:type="character" w:styleId="Hyperlink">
    <w:name w:val="Hyperlink"/>
    <w:basedOn w:val="DefaultParagraphFont"/>
    <w:uiPriority w:val="99"/>
    <w:unhideWhenUsed/>
    <w:rsid w:val="00CD5E9D"/>
    <w:rPr>
      <w:color w:val="0072C6" w:themeColor="hyperlink"/>
      <w:u w:val="single"/>
    </w:rPr>
  </w:style>
  <w:style w:type="character" w:styleId="UnresolvedMention">
    <w:name w:val="Unresolved Mention"/>
    <w:basedOn w:val="DefaultParagraphFont"/>
    <w:uiPriority w:val="99"/>
    <w:semiHidden/>
    <w:unhideWhenUsed/>
    <w:rsid w:val="00CD5E9D"/>
    <w:rPr>
      <w:color w:val="605E5C"/>
      <w:shd w:val="clear" w:color="auto" w:fill="E1DFDD"/>
    </w:rPr>
  </w:style>
  <w:style w:type="character" w:styleId="FollowedHyperlink">
    <w:name w:val="FollowedHyperlink"/>
    <w:basedOn w:val="DefaultParagraphFont"/>
    <w:uiPriority w:val="99"/>
    <w:semiHidden/>
    <w:unhideWhenUsed/>
    <w:rsid w:val="00CD5E9D"/>
    <w:rPr>
      <w:color w:val="79498B" w:themeColor="followedHyperlink"/>
      <w:u w:val="single"/>
    </w:rPr>
  </w:style>
  <w:style w:type="character" w:customStyle="1" w:styleId="apple-converted-space">
    <w:name w:val="apple-converted-space"/>
    <w:basedOn w:val="DefaultParagraphFont"/>
    <w:rsid w:val="00B9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19432">
      <w:bodyDiv w:val="1"/>
      <w:marLeft w:val="0"/>
      <w:marRight w:val="0"/>
      <w:marTop w:val="0"/>
      <w:marBottom w:val="0"/>
      <w:divBdr>
        <w:top w:val="none" w:sz="0" w:space="0" w:color="auto"/>
        <w:left w:val="none" w:sz="0" w:space="0" w:color="auto"/>
        <w:bottom w:val="none" w:sz="0" w:space="0" w:color="auto"/>
        <w:right w:val="none" w:sz="0" w:space="0" w:color="auto"/>
      </w:divBdr>
    </w:div>
    <w:div w:id="603029054">
      <w:bodyDiv w:val="1"/>
      <w:marLeft w:val="0"/>
      <w:marRight w:val="0"/>
      <w:marTop w:val="0"/>
      <w:marBottom w:val="0"/>
      <w:divBdr>
        <w:top w:val="none" w:sz="0" w:space="0" w:color="auto"/>
        <w:left w:val="none" w:sz="0" w:space="0" w:color="auto"/>
        <w:bottom w:val="none" w:sz="0" w:space="0" w:color="auto"/>
        <w:right w:val="none" w:sz="0" w:space="0" w:color="auto"/>
      </w:divBdr>
    </w:div>
    <w:div w:id="890464795">
      <w:bodyDiv w:val="1"/>
      <w:marLeft w:val="0"/>
      <w:marRight w:val="0"/>
      <w:marTop w:val="0"/>
      <w:marBottom w:val="0"/>
      <w:divBdr>
        <w:top w:val="none" w:sz="0" w:space="0" w:color="auto"/>
        <w:left w:val="none" w:sz="0" w:space="0" w:color="auto"/>
        <w:bottom w:val="none" w:sz="0" w:space="0" w:color="auto"/>
        <w:right w:val="none" w:sz="0" w:space="0" w:color="auto"/>
      </w:divBdr>
    </w:div>
    <w:div w:id="1153453056">
      <w:bodyDiv w:val="1"/>
      <w:marLeft w:val="0"/>
      <w:marRight w:val="0"/>
      <w:marTop w:val="0"/>
      <w:marBottom w:val="0"/>
      <w:divBdr>
        <w:top w:val="none" w:sz="0" w:space="0" w:color="auto"/>
        <w:left w:val="none" w:sz="0" w:space="0" w:color="auto"/>
        <w:bottom w:val="none" w:sz="0" w:space="0" w:color="auto"/>
        <w:right w:val="none" w:sz="0" w:space="0" w:color="auto"/>
      </w:divBdr>
    </w:div>
    <w:div w:id="1224020034">
      <w:bodyDiv w:val="1"/>
      <w:marLeft w:val="0"/>
      <w:marRight w:val="0"/>
      <w:marTop w:val="0"/>
      <w:marBottom w:val="0"/>
      <w:divBdr>
        <w:top w:val="none" w:sz="0" w:space="0" w:color="auto"/>
        <w:left w:val="none" w:sz="0" w:space="0" w:color="auto"/>
        <w:bottom w:val="none" w:sz="0" w:space="0" w:color="auto"/>
        <w:right w:val="none" w:sz="0" w:space="0" w:color="auto"/>
      </w:divBdr>
    </w:div>
    <w:div w:id="1770462634">
      <w:bodyDiv w:val="1"/>
      <w:marLeft w:val="0"/>
      <w:marRight w:val="0"/>
      <w:marTop w:val="0"/>
      <w:marBottom w:val="0"/>
      <w:divBdr>
        <w:top w:val="none" w:sz="0" w:space="0" w:color="auto"/>
        <w:left w:val="none" w:sz="0" w:space="0" w:color="auto"/>
        <w:bottom w:val="none" w:sz="0" w:space="0" w:color="auto"/>
        <w:right w:val="none" w:sz="0" w:space="0" w:color="auto"/>
      </w:divBdr>
    </w:div>
    <w:div w:id="1885754103">
      <w:bodyDiv w:val="1"/>
      <w:marLeft w:val="0"/>
      <w:marRight w:val="0"/>
      <w:marTop w:val="0"/>
      <w:marBottom w:val="0"/>
      <w:divBdr>
        <w:top w:val="none" w:sz="0" w:space="0" w:color="auto"/>
        <w:left w:val="none" w:sz="0" w:space="0" w:color="auto"/>
        <w:bottom w:val="none" w:sz="0" w:space="0" w:color="auto"/>
        <w:right w:val="none" w:sz="0" w:space="0" w:color="auto"/>
      </w:divBdr>
    </w:div>
    <w:div w:id="202894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otp.tools.investis.com/clients/us/hilton_worldwide2/SEC/sec-show.aspx?Type=page&amp;FilingId=16379047-334785-526159&amp;CIK=0001585689&amp;Index=14400#HLT-20221231_HTM_idfd173f54ba24709961323f33747f704_97" TargetMode="External"/><Relationship Id="rId18" Type="http://schemas.openxmlformats.org/officeDocument/2006/relationships/hyperlink" Target="https://www.getreskilled.com/pharmaceutical-compani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finance.yahoo.com/news/marriott-premium-brands-driving-results-153904505.html" TargetMode="External"/><Relationship Id="rId17" Type="http://schemas.openxmlformats.org/officeDocument/2006/relationships/hyperlink" Target="https://www.wsj.com/market-data/quotes/JNJ/financials/annual/income-statement" TargetMode="External"/><Relationship Id="rId2" Type="http://schemas.openxmlformats.org/officeDocument/2006/relationships/styles" Target="styles.xml"/><Relationship Id="rId16" Type="http://schemas.openxmlformats.org/officeDocument/2006/relationships/hyperlink" Target="https://www.jnj.com/johnson-johnson-announces-key-drivers-for-long-term-competitive-growth-at-enterprise-business-review" TargetMode="External"/><Relationship Id="rId20" Type="http://schemas.openxmlformats.org/officeDocument/2006/relationships/hyperlink" Target="https://s28.q4cdn.com/781576035/files/doc_financials/2022/ar/PFE-2022-Form-10K-FINAL-(without-Exhibi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riott.gcs-web.com/static-files/b82978a6-9d28-4e38-9855-fc4ae2cebe1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nnualreports.com/HostedData/AnnualReports/PDF/NYSE_JNJ_2022.pdf" TargetMode="Externa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hyperlink" Target="https://www.getreskilled.com/pharmaceutical-companies/"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forbes.com/sites/greatspeculations/2021/10/11/should-you-book-profits-in-hilton-worldwide-stock/?sh=4fb4908b9fb2"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a/Library/Containers/com.microsoft.Word/Data/Library/Application%20Support/Microsoft/Office/16.0/DTS/en-GB%7b1F798A59-6472-DE41-899B-BAE40CD022E9%7d/%7b8F845CB8-A24E-EA4D-89BE-AFC91EA626DD%7dtf1000207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sba/Documents/QCP%20Investment%20Analysis%20Program/1701164654_Task%204%20Revenue%20&amp;%20Cost%20Drive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sba/Documents/QCP%20Investment%20Analysis%20Program/1701164654_Task%204%20Revenue%20&amp;%20Cost%20Drive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ba/Documents/QCP%20Investment%20Analysis%20Program/1701164654_Task%204%20Revenue%20&amp;%20Cost%20Drive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sba/Documents/QCP%20Investment%20Analysis%20Program/1701164654_Task%204%20Revenue%20&amp;%20Cost%20Driver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US">
                <a:solidFill>
                  <a:schemeClr val="bg1"/>
                </a:solidFill>
              </a:rPr>
              <a:t>Revenue Drivers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en-US"/>
        </a:p>
      </c:txPr>
    </c:title>
    <c:autoTitleDeleted val="0"/>
    <c:plotArea>
      <c:layout/>
      <c:pieChart>
        <c:varyColors val="1"/>
        <c:ser>
          <c:idx val="0"/>
          <c:order val="0"/>
          <c:tx>
            <c:strRef>
              <c:f>'[1701164654_Task 4 Revenue &amp; Cost Drivers.xlsx]Revenue Drivers (Marriot)'!$C$2</c:f>
              <c:strCache>
                <c:ptCount val="1"/>
                <c:pt idx="0">
                  <c:v>£ (millions)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B5-6541-A5BE-22EF54EBC7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B5-6541-A5BE-22EF54EBC7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B5-6541-A5BE-22EF54EBC7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B5-6541-A5BE-22EF54EBC73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B5-6541-A5BE-22EF54EBC735}"/>
              </c:ext>
            </c:extLst>
          </c:dPt>
          <c:cat>
            <c:strRef>
              <c:f>'[1701164654_Task 4 Revenue &amp; Cost Drivers.xlsx]Revenue Drivers (Marriot)'!$B$3:$B$7</c:f>
              <c:strCache>
                <c:ptCount val="5"/>
                <c:pt idx="0">
                  <c:v>Base Management Fees</c:v>
                </c:pt>
                <c:pt idx="1">
                  <c:v>Franchise Fees</c:v>
                </c:pt>
                <c:pt idx="2">
                  <c:v>Incentive Management Fees</c:v>
                </c:pt>
                <c:pt idx="3">
                  <c:v>Owned, Leased and Other Revenue</c:v>
                </c:pt>
                <c:pt idx="4">
                  <c:v>Cost Reimbursement Revenue</c:v>
                </c:pt>
              </c:strCache>
            </c:strRef>
          </c:cat>
          <c:val>
            <c:numRef>
              <c:f>'[1701164654_Task 4 Revenue &amp; Cost Drivers.xlsx]Revenue Drivers (Marriot)'!$C$3:$C$7</c:f>
              <c:numCache>
                <c:formatCode>General</c:formatCode>
                <c:ptCount val="5"/>
                <c:pt idx="0">
                  <c:v>1404</c:v>
                </c:pt>
                <c:pt idx="1">
                  <c:v>2505</c:v>
                </c:pt>
                <c:pt idx="2">
                  <c:v>529</c:v>
                </c:pt>
                <c:pt idx="3">
                  <c:v>1367</c:v>
                </c:pt>
                <c:pt idx="4">
                  <c:v>15417</c:v>
                </c:pt>
              </c:numCache>
            </c:numRef>
          </c:val>
          <c:extLst>
            <c:ext xmlns:c16="http://schemas.microsoft.com/office/drawing/2014/chart" uri="{C3380CC4-5D6E-409C-BE32-E72D297353CC}">
              <c16:uniqueId val="{0000000A-13B5-6541-A5BE-22EF54EBC73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solidFill>
            <a:schemeClr val="bg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Cost</a:t>
            </a:r>
            <a:r>
              <a:rPr lang="en-US" baseline="0"/>
              <a:t> Drivers</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'Cost Drivers (Marriott)'!$C$3</c:f>
              <c:strCache>
                <c:ptCount val="1"/>
                <c:pt idx="0">
                  <c:v>£ (millions)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'Cost Drivers (Marriott)'!$B$4:$B$8</c:f>
              <c:strCache>
                <c:ptCount val="5"/>
                <c:pt idx="0">
                  <c:v>Owned, leased and other-direct</c:v>
                </c:pt>
                <c:pt idx="1">
                  <c:v>Depreciation, amortization and other</c:v>
                </c:pt>
                <c:pt idx="2">
                  <c:v>General, administrative, and other</c:v>
                </c:pt>
                <c:pt idx="3">
                  <c:v>Restructuring, merger-related charges, and other</c:v>
                </c:pt>
                <c:pt idx="4">
                  <c:v>Reimbursed expenses</c:v>
                </c:pt>
              </c:strCache>
            </c:strRef>
          </c:cat>
          <c:val>
            <c:numRef>
              <c:f>'Cost Drivers (Marriott)'!$C$4:$C$8</c:f>
              <c:numCache>
                <c:formatCode>General</c:formatCode>
                <c:ptCount val="5"/>
                <c:pt idx="0">
                  <c:v>1074</c:v>
                </c:pt>
                <c:pt idx="1">
                  <c:v>193</c:v>
                </c:pt>
                <c:pt idx="2">
                  <c:v>891</c:v>
                </c:pt>
                <c:pt idx="3">
                  <c:v>12</c:v>
                </c:pt>
                <c:pt idx="4">
                  <c:v>15141</c:v>
                </c:pt>
              </c:numCache>
            </c:numRef>
          </c:val>
          <c:extLst>
            <c:ext xmlns:c16="http://schemas.microsoft.com/office/drawing/2014/chart" uri="{C3380CC4-5D6E-409C-BE32-E72D297353CC}">
              <c16:uniqueId val="{00000000-5ACD-9F48-9922-A311C9AA37CB}"/>
            </c:ext>
          </c:extLst>
        </c:ser>
        <c:dLbls>
          <c:showLegendKey val="0"/>
          <c:showVal val="0"/>
          <c:showCatName val="0"/>
          <c:showSerName val="0"/>
          <c:showPercent val="0"/>
          <c:showBubbleSize val="0"/>
        </c:dLbls>
        <c:gapWidth val="115"/>
        <c:overlap val="-20"/>
        <c:axId val="440893279"/>
        <c:axId val="440817007"/>
      </c:barChart>
      <c:catAx>
        <c:axId val="440893279"/>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0817007"/>
        <c:crosses val="autoZero"/>
        <c:auto val="1"/>
        <c:lblAlgn val="ctr"/>
        <c:lblOffset val="100"/>
        <c:noMultiLvlLbl val="0"/>
      </c:catAx>
      <c:valAx>
        <c:axId val="440817007"/>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0893279"/>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Revenue</a:t>
            </a:r>
            <a:r>
              <a:rPr lang="en-GB" baseline="0"/>
              <a:t> Drivers ($m)</a:t>
            </a:r>
            <a:endParaRPr lang="en-GB"/>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'[1701164654_Task 4 Revenue &amp; Cost Drivers.xlsx]Revenue Drivers (J&amp;J)'!$C$3</c:f>
              <c:strCache>
                <c:ptCount val="1"/>
                <c:pt idx="0">
                  <c:v>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'[1701164654_Task 4 Revenue &amp; Cost Drivers.xlsx]Revenue Drivers (J&amp;J)'!$B$4:$B$6</c:f>
              <c:strCache>
                <c:ptCount val="3"/>
                <c:pt idx="0">
                  <c:v>Consumer Health</c:v>
                </c:pt>
                <c:pt idx="1">
                  <c:v>Pharmaceutical</c:v>
                </c:pt>
                <c:pt idx="2">
                  <c:v>MedTech</c:v>
                </c:pt>
              </c:strCache>
            </c:strRef>
          </c:cat>
          <c:val>
            <c:numRef>
              <c:f>'[1701164654_Task 4 Revenue &amp; Cost Drivers.xlsx]Revenue Drivers (J&amp;J)'!$C$4:$C$6</c:f>
              <c:numCache>
                <c:formatCode>General</c:formatCode>
                <c:ptCount val="3"/>
                <c:pt idx="0">
                  <c:v>14953</c:v>
                </c:pt>
                <c:pt idx="1">
                  <c:v>52563</c:v>
                </c:pt>
                <c:pt idx="2">
                  <c:v>27427</c:v>
                </c:pt>
              </c:numCache>
            </c:numRef>
          </c:val>
          <c:extLst>
            <c:ext xmlns:c16="http://schemas.microsoft.com/office/drawing/2014/chart" uri="{C3380CC4-5D6E-409C-BE32-E72D297353CC}">
              <c16:uniqueId val="{00000000-BE35-D049-9497-AD288C70B958}"/>
            </c:ext>
          </c:extLst>
        </c:ser>
        <c:ser>
          <c:idx val="1"/>
          <c:order val="1"/>
          <c:tx>
            <c:strRef>
              <c:f>'[1701164654_Task 4 Revenue &amp; Cost Drivers.xlsx]Revenue Drivers (J&amp;J)'!$D$3</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'[1701164654_Task 4 Revenue &amp; Cost Drivers.xlsx]Revenue Drivers (J&amp;J)'!$B$4:$B$6</c:f>
              <c:strCache>
                <c:ptCount val="3"/>
                <c:pt idx="0">
                  <c:v>Consumer Health</c:v>
                </c:pt>
                <c:pt idx="1">
                  <c:v>Pharmaceutical</c:v>
                </c:pt>
                <c:pt idx="2">
                  <c:v>MedTech</c:v>
                </c:pt>
              </c:strCache>
            </c:strRef>
          </c:cat>
          <c:val>
            <c:numRef>
              <c:f>'[1701164654_Task 4 Revenue &amp; Cost Drivers.xlsx]Revenue Drivers (J&amp;J)'!$D$4:$D$6</c:f>
              <c:numCache>
                <c:formatCode>General</c:formatCode>
                <c:ptCount val="3"/>
                <c:pt idx="0">
                  <c:v>15035</c:v>
                </c:pt>
                <c:pt idx="1">
                  <c:v>51680</c:v>
                </c:pt>
                <c:pt idx="2">
                  <c:v>27060</c:v>
                </c:pt>
              </c:numCache>
            </c:numRef>
          </c:val>
          <c:extLst>
            <c:ext xmlns:c16="http://schemas.microsoft.com/office/drawing/2014/chart" uri="{C3380CC4-5D6E-409C-BE32-E72D297353CC}">
              <c16:uniqueId val="{00000001-BE35-D049-9497-AD288C70B958}"/>
            </c:ext>
          </c:extLst>
        </c:ser>
        <c:dLbls>
          <c:showLegendKey val="0"/>
          <c:showVal val="0"/>
          <c:showCatName val="0"/>
          <c:showSerName val="0"/>
          <c:showPercent val="0"/>
          <c:showBubbleSize val="0"/>
        </c:dLbls>
        <c:gapWidth val="115"/>
        <c:overlap val="-20"/>
        <c:axId val="481738463"/>
        <c:axId val="481657567"/>
      </c:barChart>
      <c:catAx>
        <c:axId val="481738463"/>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1657567"/>
        <c:crosses val="autoZero"/>
        <c:auto val="1"/>
        <c:lblAlgn val="ctr"/>
        <c:lblOffset val="100"/>
        <c:noMultiLvlLbl val="0"/>
      </c:catAx>
      <c:valAx>
        <c:axId val="481657567"/>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173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Cost</a:t>
            </a:r>
            <a:r>
              <a:rPr lang="en-GB" baseline="0"/>
              <a:t> Drivers (£bn)</a:t>
            </a:r>
            <a:endParaRPr lang="en-GB"/>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'[1701164654_Task 4 Revenue &amp; Cost Drivers.xlsx]Cost Drivers (J&amp;J)'!$C$3</c:f>
              <c:strCache>
                <c:ptCount val="1"/>
                <c:pt idx="0">
                  <c:v>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'[1701164654_Task 4 Revenue &amp; Cost Drivers.xlsx]Cost Drivers (J&amp;J)'!$B$4:$B$7</c:f>
              <c:strCache>
                <c:ptCount val="4"/>
                <c:pt idx="0">
                  <c:v>COGS</c:v>
                </c:pt>
                <c:pt idx="1">
                  <c:v>Selling, Marketing &amp; Administrative</c:v>
                </c:pt>
                <c:pt idx="2">
                  <c:v>R&amp;D</c:v>
                </c:pt>
                <c:pt idx="3">
                  <c:v>Other (Income) Expense, Net</c:v>
                </c:pt>
              </c:strCache>
            </c:strRef>
          </c:cat>
          <c:val>
            <c:numRef>
              <c:f>'[1701164654_Task 4 Revenue &amp; Cost Drivers.xlsx]Cost Drivers (J&amp;J)'!$C$4:$C$7</c:f>
              <c:numCache>
                <c:formatCode>General</c:formatCode>
                <c:ptCount val="4"/>
                <c:pt idx="0">
                  <c:v>31.1</c:v>
                </c:pt>
                <c:pt idx="1">
                  <c:v>24.8</c:v>
                </c:pt>
                <c:pt idx="2">
                  <c:v>14.6</c:v>
                </c:pt>
                <c:pt idx="3">
                  <c:v>1.9</c:v>
                </c:pt>
              </c:numCache>
            </c:numRef>
          </c:val>
          <c:extLst>
            <c:ext xmlns:c16="http://schemas.microsoft.com/office/drawing/2014/chart" uri="{C3380CC4-5D6E-409C-BE32-E72D297353CC}">
              <c16:uniqueId val="{00000000-6360-E847-AD78-706D219A4142}"/>
            </c:ext>
          </c:extLst>
        </c:ser>
        <c:ser>
          <c:idx val="1"/>
          <c:order val="1"/>
          <c:tx>
            <c:strRef>
              <c:f>'[1701164654_Task 4 Revenue &amp; Cost Drivers.xlsx]Cost Drivers (J&amp;J)'!$D$3</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'[1701164654_Task 4 Revenue &amp; Cost Drivers.xlsx]Cost Drivers (J&amp;J)'!$B$4:$B$7</c:f>
              <c:strCache>
                <c:ptCount val="4"/>
                <c:pt idx="0">
                  <c:v>COGS</c:v>
                </c:pt>
                <c:pt idx="1">
                  <c:v>Selling, Marketing &amp; Administrative</c:v>
                </c:pt>
                <c:pt idx="2">
                  <c:v>R&amp;D</c:v>
                </c:pt>
                <c:pt idx="3">
                  <c:v>Other (Income) Expense, Net</c:v>
                </c:pt>
              </c:strCache>
            </c:strRef>
          </c:cat>
          <c:val>
            <c:numRef>
              <c:f>'[1701164654_Task 4 Revenue &amp; Cost Drivers.xlsx]Cost Drivers (J&amp;J)'!$D$4:$D$7</c:f>
              <c:numCache>
                <c:formatCode>General</c:formatCode>
                <c:ptCount val="4"/>
                <c:pt idx="0">
                  <c:v>29.9</c:v>
                </c:pt>
                <c:pt idx="1">
                  <c:v>24.7</c:v>
                </c:pt>
                <c:pt idx="2">
                  <c:v>14.7</c:v>
                </c:pt>
                <c:pt idx="3">
                  <c:v>0.5</c:v>
                </c:pt>
              </c:numCache>
            </c:numRef>
          </c:val>
          <c:extLst>
            <c:ext xmlns:c16="http://schemas.microsoft.com/office/drawing/2014/chart" uri="{C3380CC4-5D6E-409C-BE32-E72D297353CC}">
              <c16:uniqueId val="{00000001-6360-E847-AD78-706D219A4142}"/>
            </c:ext>
          </c:extLst>
        </c:ser>
        <c:dLbls>
          <c:dLblPos val="inEnd"/>
          <c:showLegendKey val="0"/>
          <c:showVal val="1"/>
          <c:showCatName val="0"/>
          <c:showSerName val="0"/>
          <c:showPercent val="0"/>
          <c:showBubbleSize val="0"/>
        </c:dLbls>
        <c:gapWidth val="100"/>
        <c:overlap val="-24"/>
        <c:axId val="438484831"/>
        <c:axId val="425954511"/>
      </c:barChart>
      <c:catAx>
        <c:axId val="43848483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25954511"/>
        <c:crosses val="autoZero"/>
        <c:auto val="1"/>
        <c:lblAlgn val="ctr"/>
        <c:lblOffset val="100"/>
        <c:noMultiLvlLbl val="0"/>
      </c:catAx>
      <c:valAx>
        <c:axId val="425954511"/>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8484831"/>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{8F845CB8-A24E-EA4D-89BE-AFC91EA626DD}tf10002076.dotx</Template>
  <TotalTime>629</TotalTime>
  <Pages>8</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Ansari</dc:creator>
  <cp:keywords/>
  <dc:description/>
  <cp:lastModifiedBy>Simon Ansari</cp:lastModifiedBy>
  <cp:revision>21</cp:revision>
  <dcterms:created xsi:type="dcterms:W3CDTF">2023-12-07T20:59:00Z</dcterms:created>
  <dcterms:modified xsi:type="dcterms:W3CDTF">2023-12-18T16:16:00Z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ies>
</file>