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0D934CF" w:rsidP="07CFA405" w:rsidRDefault="10D934CF" w14:paraId="730DC25B" w14:textId="12DD311C">
      <w:pPr>
        <w:pStyle w:val="Normal"/>
        <w:widowControl w:val="0"/>
        <w:spacing w:after="0" w:afterAutospacing="off" w:line="240" w:lineRule="auto"/>
        <w:jc w:val="center"/>
        <w:rPr>
          <w:rFonts w:ascii="Tahoma" w:hAnsi="Tahoma" w:eastAsia="Tahoma" w:cs="Tahoma"/>
          <w:b w:val="0"/>
          <w:bCs w:val="0"/>
          <w:i w:val="1"/>
          <w:iCs w:val="1"/>
          <w:color w:val="auto"/>
          <w:sz w:val="24"/>
          <w:szCs w:val="24"/>
          <w:u w:val="none"/>
        </w:rPr>
      </w:pPr>
      <w:r w:rsidRPr="07CFA405" w:rsidR="25A6AABA">
        <w:rPr>
          <w:rFonts w:ascii="Tahoma" w:hAnsi="Tahoma" w:eastAsia="Tahoma" w:cs="Tahoma"/>
          <w:b w:val="0"/>
          <w:bCs w:val="0"/>
          <w:i w:val="1"/>
          <w:iCs w:val="1"/>
          <w:color w:val="auto"/>
          <w:sz w:val="24"/>
          <w:szCs w:val="24"/>
          <w:u w:val="none"/>
        </w:rPr>
        <w:t xml:space="preserve">Amazon Financial Health Report (2021-2022) </w:t>
      </w:r>
    </w:p>
    <w:p w:rsidR="10D934CF" w:rsidP="4D7B493F" w:rsidRDefault="10D934CF" w14:paraId="175D2F9A" w14:textId="4123111B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0443996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>Liquidity</w:t>
      </w:r>
      <w:r w:rsidRPr="4D7B493F" w:rsidR="0443996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7CFA405" w:rsidP="4D7B493F" w:rsidRDefault="07CFA405" w14:paraId="46160AD6" w14:textId="0912D204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p w:rsidR="04439961" w:rsidP="4D7B493F" w:rsidRDefault="04439961" w14:paraId="1D2C7FCE" w14:textId="5E077825">
      <w:pPr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0443996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The current ratio of Amazon decreased</w:t>
      </w:r>
      <w:r w:rsidRPr="4D7B493F" w:rsidR="7C86E63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by 0.2</w:t>
      </w:r>
      <w:r w:rsidRPr="4D7B493F" w:rsidR="0443996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from 1.14 in 2021 to 0.94 in 2022</w:t>
      </w:r>
      <w:r w:rsidRPr="4D7B493F" w:rsidR="312BF1F6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</w:t>
      </w:r>
      <w:r w:rsidRPr="4D7B493F" w:rsidR="4ACB5F0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This means that Amazon has a similar ratio of assets to liabilities (current) and may struggle to pay short-term debt obligations. It is also lower than the consumer discretionary/retail benchmark ratio</w:t>
      </w:r>
      <w:r w:rsidRPr="4D7B493F" w:rsidR="5F403DF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of 1.3. </w:t>
      </w:r>
      <w:r w:rsidRPr="4D7B493F" w:rsidR="0443996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The quick ratio of Amazon decreased </w:t>
      </w:r>
      <w:r w:rsidRPr="4D7B493F" w:rsidR="593D243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by 0.19 </w:t>
      </w:r>
      <w:r w:rsidRPr="4D7B493F" w:rsidR="0443996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from 0.91 to 0.72</w:t>
      </w:r>
      <w:r w:rsidRPr="4D7B493F" w:rsidR="6B54249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r w:rsidRPr="4D7B493F" w:rsidR="6B54249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remaining</w:t>
      </w:r>
      <w:r w:rsidRPr="4D7B493F" w:rsidR="6B54249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above the benchmark of 0.6</w:t>
      </w:r>
      <w:r w:rsidRPr="4D7B493F" w:rsidR="5C2BEC9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6795A10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The cash ratio of Amazon increased</w:t>
      </w:r>
      <w:r w:rsidRPr="4D7B493F" w:rsidR="2AE3C49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by 0.1</w:t>
      </w:r>
      <w:r w:rsidRPr="4D7B493F" w:rsidR="6795A10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from 0.25 to 0.35</w:t>
      </w:r>
      <w:r w:rsidRPr="4D7B493F" w:rsidR="1B237D8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and</w:t>
      </w:r>
      <w:r w:rsidRPr="4D7B493F" w:rsidR="5D8423A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D7B493F" w:rsidR="5D8423A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remains</w:t>
      </w:r>
      <w:r w:rsidRPr="4D7B493F" w:rsidR="5D8423A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above the benchmark of </w:t>
      </w:r>
      <w:r w:rsidRPr="4D7B493F" w:rsidR="3FA0046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0.3. </w:t>
      </w:r>
    </w:p>
    <w:p w:rsidR="02505C56" w:rsidP="4D7B493F" w:rsidRDefault="02505C56" w14:paraId="6788B455" w14:textId="3793DFE1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6795A10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The defensive interval</w:t>
      </w:r>
      <w:r w:rsidRPr="4D7B493F" w:rsidR="79E00F6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ratio</w:t>
      </w:r>
      <w:r w:rsidRPr="4D7B493F" w:rsidR="6795A10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of Amazon decreased</w:t>
      </w:r>
      <w:r w:rsidRPr="4D7B493F" w:rsidR="3760CA56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by 26</w:t>
      </w:r>
      <w:r w:rsidRPr="4D7B493F" w:rsidR="6795A10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from</w:t>
      </w:r>
      <w:r w:rsidRPr="4D7B493F" w:rsidR="46525B2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133(</w:t>
      </w:r>
      <w:r w:rsidRPr="4D7B493F" w:rsidR="6795A10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132.55</w:t>
      </w:r>
      <w:r w:rsidRPr="4D7B493F" w:rsidR="6BDB938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)</w:t>
      </w:r>
      <w:r w:rsidRPr="4D7B493F" w:rsidR="6795A10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to </w:t>
      </w:r>
      <w:r w:rsidRPr="4D7B493F" w:rsidR="1A23FE1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107(</w:t>
      </w:r>
      <w:r w:rsidRPr="4D7B493F" w:rsidR="6795A10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106.79</w:t>
      </w:r>
      <w:r w:rsidRPr="4D7B493F" w:rsidR="43F9F23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)</w:t>
      </w:r>
      <w:r w:rsidRPr="4D7B493F" w:rsidR="5DABC6E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</w:t>
      </w:r>
      <w:r w:rsidRPr="4D7B493F" w:rsidR="27093CE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Amazon may continue its business for over 3 months. </w:t>
      </w:r>
    </w:p>
    <w:p w:rsidR="4D3E3C2D" w:rsidP="4D7B493F" w:rsidRDefault="4D3E3C2D" w14:paraId="7594A97D" w14:textId="3365D929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2E26007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Amazon Inc</w:t>
      </w:r>
      <w:r w:rsidRPr="4D7B493F" w:rsidR="2A69AF5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orporated</w:t>
      </w:r>
      <w:r w:rsidRPr="4D7B493F" w:rsidR="2E26007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’s Inventory Days decreased from 44(43.74) to 43(43.48)</w:t>
      </w:r>
      <w:r w:rsidRPr="4D7B493F" w:rsidR="6EC4ACE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below the benchmark of </w:t>
      </w:r>
      <w:r w:rsidRPr="4D7B493F" w:rsidR="0EA4336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60 days (about 2 months)</w:t>
      </w:r>
      <w:r w:rsidRPr="4D7B493F" w:rsidR="58A41F3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588602ED" w:rsidP="4D7B493F" w:rsidRDefault="588602ED" w14:paraId="10A843D2" w14:textId="473BFC6A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Amazon </w:t>
      </w:r>
      <w:r w:rsidRPr="4D7B493F" w:rsidR="2990A14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Incorporated’s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Payable Days decreased 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from </w:t>
      </w:r>
      <w:r w:rsidRPr="4D7B493F" w:rsidR="5B0963B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105(</w:t>
      </w:r>
      <w:r w:rsidRPr="4D7B493F" w:rsidR="0F40909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105.43</w:t>
      </w:r>
      <w:r w:rsidRPr="4D7B493F" w:rsidR="26FAE7C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)</w:t>
      </w:r>
      <w:r w:rsidRPr="4D7B493F" w:rsidR="0F40909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to</w:t>
      </w:r>
      <w:r w:rsidRPr="4D7B493F" w:rsidR="5A7D693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D7B493F" w:rsidR="7512D4A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101(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100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.59</w:t>
      </w:r>
      <w:r w:rsidRPr="4D7B493F" w:rsidR="23A09E8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).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588602ED" w:rsidP="4D7B493F" w:rsidRDefault="588602ED" w14:paraId="640B61AC" w14:textId="101F7EB7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Amazon </w:t>
      </w:r>
      <w:r w:rsidRPr="4D7B493F" w:rsidR="43032B1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Incorporated’s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Receivable Days </w:t>
      </w:r>
      <w:r w:rsidRPr="4D7B493F" w:rsidR="1633EDB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increas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ed </w:t>
      </w:r>
      <w:r w:rsidRPr="4D7B493F" w:rsidR="56B9759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25 to 30 in 2022</w:t>
      </w:r>
      <w:r w:rsidRPr="4D7B493F" w:rsidR="61CC742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065D160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more than the benchmark of </w:t>
      </w:r>
      <w:r w:rsidRPr="4D7B493F" w:rsidR="281B85E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10</w:t>
      </w:r>
      <w:r w:rsidRPr="4D7B493F" w:rsidR="065D160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067E3C9A" w:rsidP="4D7B493F" w:rsidRDefault="067E3C9A" w14:paraId="29534D43" w14:textId="64047346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Amazon </w:t>
      </w:r>
      <w:r w:rsidRPr="4D7B493F" w:rsidR="78B67EC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Incorporated’s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net trading 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cycle </w:t>
      </w:r>
      <w:r w:rsidRPr="4D7B493F" w:rsidR="69586B6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incre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ased</w:t>
      </w:r>
      <w:r w:rsidRPr="4D7B493F" w:rsidR="2456559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D7B493F" w:rsidR="5F28BF1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from –36 to –27</w:t>
      </w:r>
      <w:r w:rsidRPr="4D7B493F" w:rsidR="4DF7181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, the negative values suggest </w:t>
      </w:r>
      <w:r w:rsidRPr="4D7B493F" w:rsidR="7A6BBC9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online retailers such as Amazon receive funds from </w:t>
      </w:r>
      <w:r w:rsidRPr="4D7B493F" w:rsidR="41D53B8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third parties</w:t>
      </w:r>
      <w:r w:rsidRPr="4D7B493F" w:rsidR="7A6BBC9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but do not pay them </w:t>
      </w:r>
      <w:r w:rsidRPr="4D7B493F" w:rsidR="7A6BBC9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immediately</w:t>
      </w:r>
      <w:r w:rsidRPr="4D7B493F" w:rsidR="7A6BBC9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</w:t>
      </w:r>
      <w:r w:rsidRPr="4D7B493F" w:rsidR="0E9E75B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D7B493F" w:rsidR="5CE5B2A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Working Capital decreased by (–8</w:t>
      </w:r>
      <w:r w:rsidRPr="4D7B493F" w:rsidR="0A200A2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5CE5B2A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602)–19</w:t>
      </w:r>
      <w:r w:rsidRPr="4D7B493F" w:rsidR="324A521F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5CE5B2A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314=</w:t>
      </w:r>
      <w:r w:rsidRPr="4D7B493F" w:rsidR="47B3F8A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-27,736</w:t>
      </w:r>
      <w:r w:rsidRPr="4D7B493F" w:rsidR="1195FAD9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meaning that </w:t>
      </w:r>
      <w:r w:rsidRPr="4D7B493F" w:rsidR="652E3CA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Amazon’s ability to pay for its current liabilities has significantly decreased. </w:t>
      </w:r>
      <w:r w:rsidRPr="4D7B493F" w:rsidR="5CE5B2A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Working Capital as a percentage of sales decreased by 0.06% [-0.02-0.04]</w:t>
      </w:r>
      <w:r w:rsidRPr="4D7B493F" w:rsidR="4C0C209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</w:t>
      </w:r>
      <w:r w:rsidRPr="4D7B493F" w:rsidR="0AE24DB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</w:p>
    <w:p w:rsidR="067E3C9A" w:rsidP="4D7B493F" w:rsidRDefault="067E3C9A" w14:paraId="7FAB7389" w14:textId="2BD190AE">
      <w:pPr>
        <w:pStyle w:val="Normal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0AE24DB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The ratios suggest Amazon is quite illiquid, but this may be in relation to its business as a consumer discretionary/online retailer.</w:t>
      </w:r>
    </w:p>
    <w:p w:rsidR="07CFA405" w:rsidP="4D7B493F" w:rsidRDefault="07CFA405" w14:paraId="7BA46F3F" w14:textId="05C02AD2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p w:rsidR="3C0C3E49" w:rsidP="07CFA405" w:rsidRDefault="3C0C3E49" w14:paraId="4BF122EF" w14:textId="440B60CF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07CFA405" w:rsidR="3C0C3E49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>Profitability</w:t>
      </w:r>
    </w:p>
    <w:p w:rsidR="07CFA405" w:rsidP="4D7B493F" w:rsidRDefault="07CFA405" w14:paraId="407997E4" w14:textId="018B585E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p w:rsidR="0111D160" w:rsidP="4D7B493F" w:rsidRDefault="0111D160" w14:paraId="1378AB27" w14:textId="1DED3B5F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1A19F69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The gross</w:t>
      </w: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margin increased from 42 </w:t>
      </w: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to 44</w:t>
      </w:r>
      <w:r w:rsidRPr="4D7B493F" w:rsidR="4048D46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 This suggests that Amazon has increased its percentage of profit in relation to its revenue</w:t>
      </w:r>
      <w:r w:rsidRPr="4D7B493F" w:rsidR="1062AC6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and is above the 35% benchmark. </w:t>
      </w:r>
    </w:p>
    <w:p w:rsidR="0111D160" w:rsidP="4D7B493F" w:rsidRDefault="0111D160" w14:paraId="3D7C2F78" w14:textId="0F8443AB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EBIT decreased to –276</w:t>
      </w:r>
      <w:r w:rsidRPr="4D7B493F" w:rsidR="2153C46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583 from the previous year’s </w:t>
      </w:r>
      <w:r w:rsidRPr="4D7B493F" w:rsidR="359176C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-247,</w:t>
      </w: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465</w:t>
      </w:r>
      <w:r w:rsidRPr="4D7B493F" w:rsidR="5D3A5C7F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EBIT margin </w:t>
      </w:r>
      <w:r w:rsidRPr="4D7B493F" w:rsidR="07D7ED9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decreased from –0.53 to –0.54</w:t>
      </w:r>
      <w:r w:rsidRPr="4D7B493F" w:rsidR="0DC2395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EBITDA</w:t>
      </w:r>
      <w:r w:rsidRPr="4D7B493F" w:rsidR="4A56DD7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D7B493F" w:rsidR="72273FC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decreased by </w:t>
      </w:r>
      <w:r w:rsidRPr="4D7B493F" w:rsidR="3AE9E85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2</w:t>
      </w:r>
      <w:r w:rsidRPr="4D7B493F" w:rsidR="7E33C08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1</w:t>
      </w:r>
      <w:r w:rsidRPr="4D7B493F" w:rsidR="5C139406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353104D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630</w:t>
      </w:r>
      <w:r w:rsidRPr="4D7B493F" w:rsidR="0D1837C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from –213</w:t>
      </w:r>
      <w:r w:rsidRPr="4D7B493F" w:rsidR="35D0EFF9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0D1837C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032 to –234</w:t>
      </w:r>
      <w:r w:rsidRPr="4D7B493F" w:rsidR="7782DF0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0D1837C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662</w:t>
      </w:r>
      <w:r w:rsidRPr="4D7B493F" w:rsidR="475035F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</w:t>
      </w:r>
      <w:r w:rsidRPr="4D7B493F" w:rsidR="68E68ED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EBITDA margin</w:t>
      </w:r>
      <w:r w:rsidRPr="4D7B493F" w:rsidR="18139B3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remained </w:t>
      </w:r>
      <w:r w:rsidRPr="4D7B493F" w:rsidR="18139B3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relatively similar</w:t>
      </w:r>
      <w:r w:rsidRPr="4D7B493F" w:rsidR="18139B3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in both years as it </w:t>
      </w:r>
      <w:r w:rsidRPr="4D7B493F" w:rsidR="18139B3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maintained</w:t>
      </w:r>
      <w:r w:rsidRPr="4D7B493F" w:rsidR="18139B3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-0.45</w:t>
      </w:r>
      <w:r w:rsidRPr="4D7B493F" w:rsidR="3103B45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% </w:t>
      </w:r>
      <w:r w:rsidRPr="4D7B493F" w:rsidR="1E36D54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operating profit in respect to revenue. </w:t>
      </w:r>
    </w:p>
    <w:p w:rsidR="20077A8A" w:rsidP="4D7B493F" w:rsidRDefault="20077A8A" w14:paraId="4F94EEEE" w14:textId="29240366">
      <w:pPr>
        <w:pStyle w:val="Normal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20077A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Net margin decreased from 0.07 to –0.005</w:t>
      </w:r>
      <w:r w:rsidRPr="4D7B493F" w:rsidR="0283282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D7B493F" w:rsidR="0283282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indicating</w:t>
      </w:r>
      <w:r w:rsidRPr="4D7B493F" w:rsidR="0283282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Amazon may have lost money for every dollar collected in 2022. The </w:t>
      </w:r>
      <w:r w:rsidRPr="4D7B493F" w:rsidR="3AFB3EF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ratios</w:t>
      </w:r>
      <w:r w:rsidRPr="4D7B493F" w:rsidR="0283282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show Amazon may n</w:t>
      </w:r>
      <w:r w:rsidRPr="4D7B493F" w:rsidR="7602DA2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ot have a high means of </w:t>
      </w:r>
      <w:r w:rsidRPr="4D7B493F" w:rsidR="63400A4F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profitability</w:t>
      </w:r>
      <w:r w:rsidRPr="4D7B493F" w:rsidR="7602DA2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65340159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This may be connected to the unprofitable Rivian investment.</w:t>
      </w:r>
    </w:p>
    <w:p w:rsidR="07CFA405" w:rsidP="4D7B493F" w:rsidRDefault="07CFA405" w14:paraId="69ED84E3" w14:textId="4C546976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p w:rsidR="3C0C3E49" w:rsidP="4D7B493F" w:rsidRDefault="3C0C3E49" w14:paraId="24ECC9CE" w14:textId="77295E9C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4D7B493F" w:rsidR="0443996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>Solvency</w:t>
      </w:r>
      <w:r w:rsidRPr="4D7B493F" w:rsidR="51404DC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 xml:space="preserve"> </w:t>
      </w:r>
      <w:r w:rsidRPr="4D7B493F" w:rsidR="0443996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>/</w:t>
      </w:r>
      <w:r w:rsidRPr="4D7B493F" w:rsidR="51404DC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 xml:space="preserve"> Debt Management</w:t>
      </w:r>
    </w:p>
    <w:p w:rsidR="07CFA405" w:rsidP="4D7B493F" w:rsidRDefault="07CFA405" w14:paraId="7D673A68" w14:textId="0E8E45F7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p w:rsidR="631A7995" w:rsidP="4D7B493F" w:rsidRDefault="631A7995" w14:paraId="7C002D01" w14:textId="6B0E4863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D/E ratio increased from</w:t>
      </w:r>
      <w:r w:rsidRPr="4D7B493F" w:rsidR="348AC25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0.35 to 0.46 </w:t>
      </w:r>
      <w:r w:rsidRPr="4D7B493F" w:rsidR="10F0268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showing the company uses more debt to </w:t>
      </w:r>
      <w:r w:rsidRPr="4D7B493F" w:rsidR="10F0268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leverage</w:t>
      </w:r>
      <w:r w:rsidRPr="4D7B493F" w:rsidR="10F0268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finances but the low ratio shows </w:t>
      </w:r>
      <w:r w:rsidRPr="4D7B493F" w:rsidR="12C05AB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reduced risk. This is supported by the 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Debt to total assets ratio</w:t>
      </w:r>
      <w:r w:rsidRPr="4D7B493F" w:rsidR="75DB2716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increas</w:t>
      </w:r>
      <w:r w:rsidRPr="4D7B493F" w:rsidR="4334700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ing</w:t>
      </w:r>
      <w:r w:rsidRPr="4D7B493F" w:rsidR="1C189A0F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from 0.116 to 0.145</w:t>
      </w:r>
      <w:r w:rsidRPr="4D7B493F" w:rsidR="406372A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550B5A1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The d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ebt to 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Capitalisation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ratio increased from</w:t>
      </w:r>
      <w:r w:rsidRPr="4D7B493F" w:rsidR="6357CA1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0.50 to 0.52</w:t>
      </w:r>
      <w:r w:rsidRPr="4D7B493F" w:rsidR="05D1414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.</w:t>
      </w:r>
    </w:p>
    <w:p w:rsidR="631A7995" w:rsidP="4D7B493F" w:rsidRDefault="631A7995" w14:paraId="03AC37F0" w14:textId="4DF85DE0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TIE increased from</w:t>
      </w:r>
      <w:r w:rsidRPr="4D7B493F" w:rsidR="797F191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105 to 153</w:t>
      </w:r>
      <w:r w:rsidRPr="4D7B493F" w:rsidR="59F4868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showing </w:t>
      </w:r>
      <w:r w:rsidRPr="4D7B493F" w:rsidR="59F4868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low risk</w:t>
      </w:r>
      <w:r w:rsidRPr="4D7B493F" w:rsidR="59F4868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of solvency and possible efficient management. </w:t>
      </w:r>
    </w:p>
    <w:p w:rsidR="631A7995" w:rsidP="4D7B493F" w:rsidRDefault="631A7995" w14:paraId="43B69610" w14:textId="5BB8B29B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Debt coverage increased </w:t>
      </w:r>
      <w:r w:rsidRPr="4D7B493F" w:rsidR="789ADCA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from –8.82 to –4.30</w:t>
      </w:r>
      <w:r w:rsidRPr="4D7B493F" w:rsidR="5DC4A86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Free Cash Flow per share increased from</w:t>
      </w:r>
      <w:r w:rsidRPr="4D7B493F" w:rsidR="77312B9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4.50 to 4.59</w:t>
      </w:r>
      <w:r w:rsidRPr="4D7B493F" w:rsidR="243ED6B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FCFE increased from 1</w:t>
      </w:r>
      <w:r w:rsidRPr="4D7B493F" w:rsidR="4FC3578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204 to 32</w:t>
      </w:r>
      <w:r w:rsidRPr="4D7B493F" w:rsidR="1E58288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,</w:t>
      </w:r>
      <w:r w:rsidRPr="4D7B493F" w:rsidR="64A4A2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650 in 2022</w:t>
      </w:r>
      <w:r w:rsidRPr="4D7B493F" w:rsidR="0CA436A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These ratios </w:t>
      </w:r>
      <w:r w:rsidRPr="4D7B493F" w:rsidR="0CA436A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indicate</w:t>
      </w:r>
      <w:r w:rsidRPr="4D7B493F" w:rsidR="0CA436A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that Amazon is quite solvent </w:t>
      </w:r>
      <w:r w:rsidRPr="4D7B493F" w:rsidR="4FCD7AE9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and can reward its investors. </w:t>
      </w:r>
    </w:p>
    <w:p w:rsidR="07CFA405" w:rsidP="4D7B493F" w:rsidRDefault="07CFA405" w14:paraId="44ECB496" w14:textId="59AF566E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p w:rsidR="3D44E0C0" w:rsidP="07CFA405" w:rsidRDefault="3D44E0C0" w14:paraId="73E2B3DB" w14:textId="2493D0A4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07CFA405" w:rsidR="3D44E0C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 xml:space="preserve">Asset </w:t>
      </w:r>
      <w:r w:rsidRPr="07CFA405" w:rsidR="3D44E0C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>Utilisation</w:t>
      </w:r>
    </w:p>
    <w:p w:rsidR="07CFA405" w:rsidP="4D7B493F" w:rsidRDefault="07CFA405" w14:paraId="35F337E5" w14:textId="57BD307C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p w:rsidR="544F1A28" w:rsidP="4D7B493F" w:rsidRDefault="544F1A28" w14:paraId="6BC43491" w14:textId="11015981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  <w:r w:rsidRPr="4D7B493F" w:rsidR="544F1A2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Total Asset Turnover</w:t>
      </w:r>
      <w:r w:rsidRPr="4D7B493F" w:rsidR="3AC7731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decreased from 1.117 to 1.111</w:t>
      </w:r>
      <w:r w:rsidRPr="4D7B493F" w:rsidR="0063C2A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544F1A2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Fixed Asset Turnover</w:t>
      </w:r>
      <w:r w:rsidRPr="4D7B493F" w:rsidR="28AF6C0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decreased from 2.93 to 2.75</w:t>
      </w:r>
      <w:r w:rsidRPr="4D7B493F" w:rsidR="4D1AA16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</w:t>
      </w:r>
      <w:r w:rsidRPr="4D7B493F" w:rsidR="544F1A2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Inventory Turnover</w:t>
      </w:r>
      <w:r w:rsidRPr="4D7B493F" w:rsidR="1B086C4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increased from 14.39 to 14.94</w:t>
      </w:r>
      <w:r w:rsidRPr="4D7B493F" w:rsidR="6CAB7869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 and </w:t>
      </w:r>
      <w:r w:rsidRPr="4D7B493F" w:rsidR="544F1A2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ROA </w:t>
      </w:r>
      <w:r w:rsidRPr="4D7B493F" w:rsidR="1796CE6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>decreased from 0.079 to –0.00588</w:t>
      </w:r>
      <w:r w:rsidRPr="4D7B493F" w:rsidR="650C3B8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  <w:t xml:space="preserve">. All the above propose that Amazon is to a small extent using its assets efficiently (in comparison to its competitors). </w:t>
      </w:r>
    </w:p>
    <w:p w:rsidR="4D7B493F" w:rsidP="4D7B493F" w:rsidRDefault="4D7B493F" w14:paraId="6A342E98" w14:textId="5360757A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</w:rPr>
      </w:pPr>
    </w:p>
    <w:p w:rsidR="3D44E0C0" w:rsidP="07CFA405" w:rsidRDefault="3D44E0C0" w14:paraId="3FD5043C" w14:textId="2CBF4569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</w:pPr>
      <w:r w:rsidRPr="07CFA405" w:rsidR="3D44E0C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single"/>
        </w:rPr>
        <w:t>Investor / Market Ratios</w:t>
      </w:r>
    </w:p>
    <w:p w:rsidR="07CFA405" w:rsidP="4D7B493F" w:rsidRDefault="07CFA405" w14:paraId="75951477" w14:textId="482AC879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7D617098" w:rsidP="4D7B493F" w:rsidRDefault="7D617098" w14:paraId="3AEFF1E0" w14:textId="7BC8ABA5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4D7B493F" w:rsidR="4A45FA3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The P/E ratio decreased from 47 to –574</w:t>
      </w:r>
      <w:r w:rsidRPr="4D7B493F" w:rsidR="2D22A21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meaning that in 2022 Amazon </w:t>
      </w:r>
      <w:r w:rsidRPr="4D7B493F" w:rsidR="78065B2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under</w:t>
      </w:r>
      <w:r w:rsidRPr="4D7B493F" w:rsidR="4C87BD46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-</w:t>
      </w:r>
      <w:r w:rsidRPr="4D7B493F" w:rsidR="78065B2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performed</w:t>
      </w:r>
      <w:r w:rsidRPr="4D7B493F" w:rsidR="2D22A21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investor expectations. </w:t>
      </w:r>
      <w:r w:rsidRPr="4D7B493F" w:rsidR="4A45FA3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Earnin</w:t>
      </w:r>
      <w:r w:rsidRPr="4D7B493F" w:rsidR="4A45FA3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gs per share also decreased by 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3.51 from $3.24 to –$0.27</w:t>
      </w:r>
      <w:r w:rsidRPr="4D7B493F" w:rsidR="291D968F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.</w:t>
      </w:r>
    </w:p>
    <w:p w:rsidR="753ECFC1" w:rsidP="4D7B493F" w:rsidRDefault="753ECFC1" w14:paraId="41E86F23" w14:textId="6B72CCDE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Price to book value </w:t>
      </w:r>
      <w:r w:rsidRPr="4D7B493F" w:rsidR="15CC1B22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de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creased fro</w:t>
      </w:r>
      <w:r w:rsidRPr="4D7B493F" w:rsidR="6137194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m </w:t>
      </w:r>
      <w:r w:rsidRPr="4D7B493F" w:rsidR="28298DA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11.4 to 10.7</w:t>
      </w:r>
      <w:r w:rsidRPr="4D7B493F" w:rsidR="0858996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and ROE decreased from 0.24 to –0.02</w:t>
      </w:r>
      <w:r w:rsidRPr="4D7B493F" w:rsidR="18DF240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, which is expected as Amazon </w:t>
      </w:r>
      <w:r w:rsidRPr="4D7B493F" w:rsidR="18DF240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under</w:t>
      </w:r>
      <w:r w:rsidRPr="4D7B493F" w:rsidR="1BEBD42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-</w:t>
      </w:r>
      <w:r w:rsidRPr="4D7B493F" w:rsidR="18DF240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performed in 2022. The ratios p</w:t>
      </w:r>
      <w:r w:rsidRPr="4D7B493F" w:rsidR="0858996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ropos</w:t>
      </w:r>
      <w:r w:rsidRPr="4D7B493F" w:rsidR="19186ACC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e</w:t>
      </w:r>
      <w:r w:rsidRPr="4D7B493F" w:rsidR="0858996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that Amazon is overvalued; </w:t>
      </w:r>
      <w:r w:rsidRPr="4D7B493F" w:rsidR="4CB4C514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however,</w:t>
      </w:r>
      <w:r w:rsidRPr="4D7B493F" w:rsidR="0858996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book value does not account for intangible assets and Amazon has an abundance of non-current assets. </w:t>
      </w:r>
    </w:p>
    <w:p w:rsidR="753ECFC1" w:rsidP="4D7B493F" w:rsidRDefault="753ECFC1" w14:paraId="15F8D9BA" w14:textId="648FFDC0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Book value per share</w:t>
      </w:r>
      <w:r w:rsidRPr="4D7B493F" w:rsidR="60C595E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increased from 13.4 to 14.3</w:t>
      </w:r>
      <w:r w:rsidRPr="4D7B493F" w:rsidR="142B14E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and the contrast to its market value may be due to its large customer base or brand loyalty. </w:t>
      </w:r>
    </w:p>
    <w:p w:rsidR="753ECFC1" w:rsidP="4D7B493F" w:rsidRDefault="753ECFC1" w14:paraId="3E64DEE2" w14:textId="2211DAFD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ROCE</w:t>
      </w:r>
      <w:r w:rsidRPr="4D7B493F" w:rsidR="417EF4B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increased from –1.32</w:t>
      </w:r>
      <w:r w:rsidRPr="4D7B493F" w:rsidR="6F6775C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to –1.30</w:t>
      </w:r>
      <w:r w:rsidRPr="4D7B493F" w:rsidR="3E1F14B0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,</w:t>
      </w:r>
      <w:r w:rsidRPr="4D7B493F" w:rsidR="1D6BA2A6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showing Amazon may be losing $2 for every $1 of capital employed. </w:t>
      </w:r>
    </w:p>
    <w:p w:rsidR="753ECFC1" w:rsidP="4D7B493F" w:rsidRDefault="753ECFC1" w14:paraId="5F89D9EC" w14:textId="0CFCFD40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Enterprise value increased 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by </w:t>
      </w:r>
      <w:r w:rsidRPr="4D7B493F" w:rsidR="3868D7A7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16,644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</w:t>
      </w:r>
      <w:r w:rsidRPr="4D7B493F" w:rsidR="40722CE6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from</w:t>
      </w:r>
      <w:r w:rsidRPr="4D7B493F" w:rsidR="0B51FC8A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2021’s 247</w:t>
      </w:r>
      <w:r w:rsidRPr="4D7B493F" w:rsidR="16BC6846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,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663</w:t>
      </w:r>
      <w:r w:rsidRPr="4D7B493F" w:rsidR="263F829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to 2022’s 264</w:t>
      </w:r>
      <w:r w:rsidRPr="4D7B493F" w:rsidR="44E7E1C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,</w:t>
      </w:r>
      <w:r w:rsidRPr="4D7B493F" w:rsidR="263F829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307</w:t>
      </w:r>
      <w:r w:rsidRPr="4D7B493F" w:rsidR="35000208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and the valuation multiple of 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Enterprise value to EBITDA increased from –1.16 to –1.13</w:t>
      </w:r>
      <w:r w:rsidRPr="4D7B493F" w:rsidR="4382F7E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these may suggest that compared to its </w:t>
      </w:r>
      <w:bookmarkStart w:name="_Int_HFgJkMF6" w:id="1059404167"/>
      <w:r w:rsidRPr="4D7B493F" w:rsidR="4382F7E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$1.6 trillion</w:t>
      </w:r>
      <w:bookmarkEnd w:id="1059404167"/>
      <w:r w:rsidRPr="4D7B493F" w:rsidR="4382F7E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market </w:t>
      </w:r>
      <w:r w:rsidRPr="4D7B493F" w:rsidR="4382F7E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capitalisation</w:t>
      </w:r>
      <w:r w:rsidRPr="4D7B493F" w:rsidR="4382F7E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Amazon is overvalued and</w:t>
      </w:r>
      <w:r w:rsidRPr="4D7B493F" w:rsidR="2DB8C735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has</w:t>
      </w:r>
      <w:r w:rsidRPr="4D7B493F" w:rsidR="4382F7E1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slowed growth. </w:t>
      </w:r>
    </w:p>
    <w:p w:rsidR="753ECFC1" w:rsidP="4D7B493F" w:rsidRDefault="753ECFC1" w14:paraId="4244E167" w14:textId="73292210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AMZN stock is not a dividend </w:t>
      </w:r>
      <w:r w:rsidRPr="4D7B493F" w:rsidR="588FCAA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paying 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stock</w:t>
      </w:r>
      <w:r w:rsidRPr="4D7B493F" w:rsidR="0172D2DB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;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as such there are no applicable 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ra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tios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available</w:t>
      </w:r>
      <w:r w:rsidRPr="4D7B493F" w:rsidR="36979FD3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.</w:t>
      </w:r>
    </w:p>
    <w:p w:rsidR="0506D904" w:rsidP="4D7B493F" w:rsidRDefault="0506D904" w14:paraId="26C6EF93" w14:textId="56087842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0506D904" w:rsidP="4D7B493F" w:rsidRDefault="0506D904" w14:paraId="43C2B124" w14:textId="7C9F6A1D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p w:rsidR="0506D904" w:rsidP="4D7B493F" w:rsidRDefault="0506D904" w14:paraId="703100E2" w14:textId="495C2A15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  <w:r w:rsidRPr="4D7B493F" w:rsidR="1055889D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>Reference</w:t>
      </w:r>
    </w:p>
    <w:p w:rsidR="0506D904" w:rsidP="4D7B493F" w:rsidRDefault="0506D904" w14:paraId="440D4B0E" w14:textId="4F178129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8"/>
          <w:szCs w:val="28"/>
          <w:u w:val="none"/>
        </w:rPr>
      </w:pPr>
      <w:hyperlink r:id="Reafd9ccaf38e4c16">
        <w:r w:rsidRPr="4D7B493F" w:rsidR="79C34F3E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sz w:val="24"/>
            <w:szCs w:val="24"/>
          </w:rPr>
          <w:t>https://www.readyratios.com/sec/industry/G/</w:t>
        </w:r>
      </w:hyperlink>
      <w:r w:rsidRPr="4D7B493F" w:rsidR="79C34F3E"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  <w:t xml:space="preserve"> </w:t>
      </w:r>
    </w:p>
    <w:p w:rsidR="0506D904" w:rsidP="4D7B493F" w:rsidRDefault="0506D904" w14:paraId="7BBCF71F" w14:textId="24F54B3E">
      <w:pPr>
        <w:pStyle w:val="Normal"/>
        <w:widowControl w:val="0"/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olor w:val="auto"/>
          <w:sz w:val="24"/>
          <w:szCs w:val="24"/>
          <w:u w:val="none"/>
        </w:rPr>
      </w:pPr>
    </w:p>
    <w:sectPr>
      <w:pgSz w:w="11907" w:h="16839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dGz+xv7ysY64k" int2:id="fi3Fiv2v">
      <int2:state int2:type="AugLoop_Text_Critique" int2:value="Rejected"/>
    </int2:textHash>
    <int2:textHash int2:hashCode="ibp3p9vECz0eg5" int2:id="slnq7OKg">
      <int2:state int2:type="AugLoop_Text_Critique" int2:value="Rejected"/>
    </int2:textHash>
    <int2:bookmark int2:bookmarkName="_Int_HFgJkMF6" int2:invalidationBookmarkName="" int2:hashCode="7/X5qG6QGh4kpI" int2:id="bh30lVSn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128840"/>
    <w:rsid w:val="003FE0F1"/>
    <w:rsid w:val="0063C2AD"/>
    <w:rsid w:val="0111D160"/>
    <w:rsid w:val="01230085"/>
    <w:rsid w:val="01645574"/>
    <w:rsid w:val="0172D2DB"/>
    <w:rsid w:val="02505C56"/>
    <w:rsid w:val="025B508F"/>
    <w:rsid w:val="02832822"/>
    <w:rsid w:val="02B4DE13"/>
    <w:rsid w:val="02C6555E"/>
    <w:rsid w:val="02C771AD"/>
    <w:rsid w:val="02F3493D"/>
    <w:rsid w:val="04439961"/>
    <w:rsid w:val="0450AE74"/>
    <w:rsid w:val="0506D904"/>
    <w:rsid w:val="05D1414C"/>
    <w:rsid w:val="05EC7ED5"/>
    <w:rsid w:val="065D1602"/>
    <w:rsid w:val="067E3C9A"/>
    <w:rsid w:val="079D932B"/>
    <w:rsid w:val="07CFA405"/>
    <w:rsid w:val="07D7ED98"/>
    <w:rsid w:val="0858996B"/>
    <w:rsid w:val="08F4F706"/>
    <w:rsid w:val="090EB857"/>
    <w:rsid w:val="092CEBC2"/>
    <w:rsid w:val="0939638C"/>
    <w:rsid w:val="0A200A22"/>
    <w:rsid w:val="0AB0FFED"/>
    <w:rsid w:val="0AE24DB4"/>
    <w:rsid w:val="0B0F0A14"/>
    <w:rsid w:val="0B51FC8A"/>
    <w:rsid w:val="0BD5F83F"/>
    <w:rsid w:val="0C4A25F6"/>
    <w:rsid w:val="0CA436AC"/>
    <w:rsid w:val="0D1837C3"/>
    <w:rsid w:val="0DC23955"/>
    <w:rsid w:val="0DFF7E40"/>
    <w:rsid w:val="0E0FFBDD"/>
    <w:rsid w:val="0E9E75B8"/>
    <w:rsid w:val="0EA43363"/>
    <w:rsid w:val="0F374F12"/>
    <w:rsid w:val="0F409097"/>
    <w:rsid w:val="0FD9B9CB"/>
    <w:rsid w:val="0FDA8DB1"/>
    <w:rsid w:val="101101A3"/>
    <w:rsid w:val="10368E4E"/>
    <w:rsid w:val="10478C6B"/>
    <w:rsid w:val="1055889D"/>
    <w:rsid w:val="1062AC65"/>
    <w:rsid w:val="10D934CF"/>
    <w:rsid w:val="10F0268D"/>
    <w:rsid w:val="11371F02"/>
    <w:rsid w:val="1195FAD9"/>
    <w:rsid w:val="125763DD"/>
    <w:rsid w:val="12C05ABA"/>
    <w:rsid w:val="12D2EF63"/>
    <w:rsid w:val="13115A8D"/>
    <w:rsid w:val="13C8BA6A"/>
    <w:rsid w:val="142B14EE"/>
    <w:rsid w:val="15CC1B22"/>
    <w:rsid w:val="15E5251F"/>
    <w:rsid w:val="160A9025"/>
    <w:rsid w:val="16228798"/>
    <w:rsid w:val="1633EDB1"/>
    <w:rsid w:val="1697BCD8"/>
    <w:rsid w:val="16BC6846"/>
    <w:rsid w:val="175D25CC"/>
    <w:rsid w:val="1780F580"/>
    <w:rsid w:val="1796CE6E"/>
    <w:rsid w:val="18139B3E"/>
    <w:rsid w:val="18DF2404"/>
    <w:rsid w:val="19186ACC"/>
    <w:rsid w:val="1998DEFB"/>
    <w:rsid w:val="19F2081C"/>
    <w:rsid w:val="1A19F690"/>
    <w:rsid w:val="1A23FE13"/>
    <w:rsid w:val="1A837CCF"/>
    <w:rsid w:val="1B086C40"/>
    <w:rsid w:val="1B237D84"/>
    <w:rsid w:val="1B34AF5C"/>
    <w:rsid w:val="1BEBD428"/>
    <w:rsid w:val="1C189A0F"/>
    <w:rsid w:val="1C4AA918"/>
    <w:rsid w:val="1CC46A18"/>
    <w:rsid w:val="1CD07FBD"/>
    <w:rsid w:val="1D6090F7"/>
    <w:rsid w:val="1D6BA2A6"/>
    <w:rsid w:val="1E36D54A"/>
    <w:rsid w:val="1E58288C"/>
    <w:rsid w:val="20077A8A"/>
    <w:rsid w:val="2008207F"/>
    <w:rsid w:val="201C21E2"/>
    <w:rsid w:val="2153C46D"/>
    <w:rsid w:val="2178E02E"/>
    <w:rsid w:val="21A6DAA5"/>
    <w:rsid w:val="22C9A356"/>
    <w:rsid w:val="2342DDD7"/>
    <w:rsid w:val="23A09E80"/>
    <w:rsid w:val="23EDDFA2"/>
    <w:rsid w:val="243ED6B7"/>
    <w:rsid w:val="24565593"/>
    <w:rsid w:val="25A6AABA"/>
    <w:rsid w:val="2610B56E"/>
    <w:rsid w:val="263F829E"/>
    <w:rsid w:val="26FAE7C3"/>
    <w:rsid w:val="27093CE1"/>
    <w:rsid w:val="281B85E0"/>
    <w:rsid w:val="28298DA4"/>
    <w:rsid w:val="28AF6C00"/>
    <w:rsid w:val="28DE4B7C"/>
    <w:rsid w:val="291D968F"/>
    <w:rsid w:val="2990A14B"/>
    <w:rsid w:val="2A69AF54"/>
    <w:rsid w:val="2A715A71"/>
    <w:rsid w:val="2A7A1BDD"/>
    <w:rsid w:val="2AE3C49B"/>
    <w:rsid w:val="2B5E8D54"/>
    <w:rsid w:val="2B70D575"/>
    <w:rsid w:val="2BA8A4AC"/>
    <w:rsid w:val="2C497E75"/>
    <w:rsid w:val="2D22A215"/>
    <w:rsid w:val="2DB1BC9F"/>
    <w:rsid w:val="2DB8C735"/>
    <w:rsid w:val="2E0FB16D"/>
    <w:rsid w:val="2E260071"/>
    <w:rsid w:val="2EA722AA"/>
    <w:rsid w:val="2F44CB94"/>
    <w:rsid w:val="30B774C0"/>
    <w:rsid w:val="3103B454"/>
    <w:rsid w:val="312BF1F6"/>
    <w:rsid w:val="312D7F56"/>
    <w:rsid w:val="317ED0AE"/>
    <w:rsid w:val="31CC022D"/>
    <w:rsid w:val="31E4DC85"/>
    <w:rsid w:val="324A521F"/>
    <w:rsid w:val="32534521"/>
    <w:rsid w:val="327C6C56"/>
    <w:rsid w:val="3284A359"/>
    <w:rsid w:val="32852DC2"/>
    <w:rsid w:val="3391809F"/>
    <w:rsid w:val="33EF1582"/>
    <w:rsid w:val="3420FE23"/>
    <w:rsid w:val="347647D1"/>
    <w:rsid w:val="348AC25A"/>
    <w:rsid w:val="35000208"/>
    <w:rsid w:val="353104DB"/>
    <w:rsid w:val="35603AAE"/>
    <w:rsid w:val="359176C1"/>
    <w:rsid w:val="35D0EFF9"/>
    <w:rsid w:val="35FDEE09"/>
    <w:rsid w:val="367AACC7"/>
    <w:rsid w:val="36979FD3"/>
    <w:rsid w:val="36C92161"/>
    <w:rsid w:val="372C7D6E"/>
    <w:rsid w:val="37589EE5"/>
    <w:rsid w:val="3760CA56"/>
    <w:rsid w:val="38167D28"/>
    <w:rsid w:val="3868D7A7"/>
    <w:rsid w:val="3A00C223"/>
    <w:rsid w:val="3A04B516"/>
    <w:rsid w:val="3AC7731B"/>
    <w:rsid w:val="3AE9E85E"/>
    <w:rsid w:val="3AFB3EFD"/>
    <w:rsid w:val="3B9C9284"/>
    <w:rsid w:val="3C0C3E49"/>
    <w:rsid w:val="3CF11E97"/>
    <w:rsid w:val="3D0EE1B0"/>
    <w:rsid w:val="3D44E0C0"/>
    <w:rsid w:val="3E1F14B0"/>
    <w:rsid w:val="3ED43346"/>
    <w:rsid w:val="3F63B0CA"/>
    <w:rsid w:val="3FA0046B"/>
    <w:rsid w:val="403E4B60"/>
    <w:rsid w:val="4048D46A"/>
    <w:rsid w:val="406372AE"/>
    <w:rsid w:val="40722CE6"/>
    <w:rsid w:val="417EF4B1"/>
    <w:rsid w:val="4194C2A2"/>
    <w:rsid w:val="41D53B87"/>
    <w:rsid w:val="41FE2849"/>
    <w:rsid w:val="43032B15"/>
    <w:rsid w:val="43347002"/>
    <w:rsid w:val="4382F7E1"/>
    <w:rsid w:val="43F9F23D"/>
    <w:rsid w:val="44E7E1C3"/>
    <w:rsid w:val="45551FDB"/>
    <w:rsid w:val="45EA6152"/>
    <w:rsid w:val="463094EE"/>
    <w:rsid w:val="46525B2A"/>
    <w:rsid w:val="4688A5A2"/>
    <w:rsid w:val="475035FD"/>
    <w:rsid w:val="47B3F8AA"/>
    <w:rsid w:val="481774A4"/>
    <w:rsid w:val="48247603"/>
    <w:rsid w:val="48F4E602"/>
    <w:rsid w:val="4955E51E"/>
    <w:rsid w:val="49E52DA6"/>
    <w:rsid w:val="4A45FA3D"/>
    <w:rsid w:val="4A56DD7C"/>
    <w:rsid w:val="4ACB5F05"/>
    <w:rsid w:val="4B173CBB"/>
    <w:rsid w:val="4C0C2094"/>
    <w:rsid w:val="4C131850"/>
    <w:rsid w:val="4C87BD46"/>
    <w:rsid w:val="4CB4C514"/>
    <w:rsid w:val="4D1AA167"/>
    <w:rsid w:val="4D3E3C2D"/>
    <w:rsid w:val="4D5A6728"/>
    <w:rsid w:val="4D7B493F"/>
    <w:rsid w:val="4DF71810"/>
    <w:rsid w:val="4EC382F4"/>
    <w:rsid w:val="4F5B7C66"/>
    <w:rsid w:val="4FC3578E"/>
    <w:rsid w:val="4FCD7AE9"/>
    <w:rsid w:val="51404DC4"/>
    <w:rsid w:val="51F03F8B"/>
    <w:rsid w:val="544F1A28"/>
    <w:rsid w:val="550B5A17"/>
    <w:rsid w:val="557C738F"/>
    <w:rsid w:val="560DE842"/>
    <w:rsid w:val="56A65EA2"/>
    <w:rsid w:val="56B97592"/>
    <w:rsid w:val="57E1AE9C"/>
    <w:rsid w:val="588602ED"/>
    <w:rsid w:val="588FCAAD"/>
    <w:rsid w:val="58A41F37"/>
    <w:rsid w:val="593D243E"/>
    <w:rsid w:val="594FEC7A"/>
    <w:rsid w:val="59F4868D"/>
    <w:rsid w:val="5A7D693E"/>
    <w:rsid w:val="5AA599A2"/>
    <w:rsid w:val="5B0963BC"/>
    <w:rsid w:val="5C139406"/>
    <w:rsid w:val="5C2BEC9E"/>
    <w:rsid w:val="5C7B0C27"/>
    <w:rsid w:val="5CB51FBF"/>
    <w:rsid w:val="5CE5B2AC"/>
    <w:rsid w:val="5D3A554F"/>
    <w:rsid w:val="5D3A5C7F"/>
    <w:rsid w:val="5D3ADFB8"/>
    <w:rsid w:val="5D8423AE"/>
    <w:rsid w:val="5DABC6E2"/>
    <w:rsid w:val="5DAE0E5B"/>
    <w:rsid w:val="5DC4A863"/>
    <w:rsid w:val="5DD7A818"/>
    <w:rsid w:val="5E365EDC"/>
    <w:rsid w:val="5ED625B0"/>
    <w:rsid w:val="5F28BF15"/>
    <w:rsid w:val="5F403DF1"/>
    <w:rsid w:val="60C595E1"/>
    <w:rsid w:val="610C7123"/>
    <w:rsid w:val="61371940"/>
    <w:rsid w:val="616DFF9E"/>
    <w:rsid w:val="617AAAFC"/>
    <w:rsid w:val="618890E2"/>
    <w:rsid w:val="61CC7425"/>
    <w:rsid w:val="62066355"/>
    <w:rsid w:val="620C1FAF"/>
    <w:rsid w:val="620DC672"/>
    <w:rsid w:val="62A84184"/>
    <w:rsid w:val="62BC16A9"/>
    <w:rsid w:val="631A7995"/>
    <w:rsid w:val="631AA3B8"/>
    <w:rsid w:val="63400A4F"/>
    <w:rsid w:val="6357CA15"/>
    <w:rsid w:val="63731834"/>
    <w:rsid w:val="6397CA9D"/>
    <w:rsid w:val="63A233B6"/>
    <w:rsid w:val="63AA213C"/>
    <w:rsid w:val="63E0D32D"/>
    <w:rsid w:val="64A4A2C5"/>
    <w:rsid w:val="650C3B8C"/>
    <w:rsid w:val="652E3CA5"/>
    <w:rsid w:val="65340159"/>
    <w:rsid w:val="6555731B"/>
    <w:rsid w:val="6652447A"/>
    <w:rsid w:val="665C0205"/>
    <w:rsid w:val="6660DCD6"/>
    <w:rsid w:val="66AAB8F6"/>
    <w:rsid w:val="66D51479"/>
    <w:rsid w:val="670DC053"/>
    <w:rsid w:val="6755ED92"/>
    <w:rsid w:val="6795A101"/>
    <w:rsid w:val="687D925F"/>
    <w:rsid w:val="6886E4CF"/>
    <w:rsid w:val="68E68ED8"/>
    <w:rsid w:val="68F1BDF3"/>
    <w:rsid w:val="69586B65"/>
    <w:rsid w:val="698DD82F"/>
    <w:rsid w:val="6A1962C0"/>
    <w:rsid w:val="6A8D8E54"/>
    <w:rsid w:val="6B25B59D"/>
    <w:rsid w:val="6B2F7328"/>
    <w:rsid w:val="6B54249D"/>
    <w:rsid w:val="6BDB9387"/>
    <w:rsid w:val="6C6148C9"/>
    <w:rsid w:val="6CAB7869"/>
    <w:rsid w:val="6CB9A822"/>
    <w:rsid w:val="6DCD4E72"/>
    <w:rsid w:val="6E6F0170"/>
    <w:rsid w:val="6EC4ACE7"/>
    <w:rsid w:val="6EECD3E3"/>
    <w:rsid w:val="6F0774AD"/>
    <w:rsid w:val="6F6775C5"/>
    <w:rsid w:val="6F691ED3"/>
    <w:rsid w:val="6F6ACC3B"/>
    <w:rsid w:val="700AD1D1"/>
    <w:rsid w:val="7088A444"/>
    <w:rsid w:val="7104EF34"/>
    <w:rsid w:val="713E5798"/>
    <w:rsid w:val="722474A5"/>
    <w:rsid w:val="72273FCD"/>
    <w:rsid w:val="73C04506"/>
    <w:rsid w:val="749A5533"/>
    <w:rsid w:val="74DE42F4"/>
    <w:rsid w:val="7512D4A1"/>
    <w:rsid w:val="753ECFC1"/>
    <w:rsid w:val="755C1567"/>
    <w:rsid w:val="75D1629F"/>
    <w:rsid w:val="75DB2716"/>
    <w:rsid w:val="7602DA2C"/>
    <w:rsid w:val="76475BA7"/>
    <w:rsid w:val="76BE4959"/>
    <w:rsid w:val="77312B97"/>
    <w:rsid w:val="7782DF03"/>
    <w:rsid w:val="77F5055E"/>
    <w:rsid w:val="78065B25"/>
    <w:rsid w:val="7815E3B6"/>
    <w:rsid w:val="786EBCD9"/>
    <w:rsid w:val="789ADCAC"/>
    <w:rsid w:val="78B67EC2"/>
    <w:rsid w:val="78DED33B"/>
    <w:rsid w:val="797F1912"/>
    <w:rsid w:val="79B1B417"/>
    <w:rsid w:val="79C34F3E"/>
    <w:rsid w:val="79E00F63"/>
    <w:rsid w:val="7A2F868A"/>
    <w:rsid w:val="7A6BBC92"/>
    <w:rsid w:val="7AA9CC2D"/>
    <w:rsid w:val="7C86E63C"/>
    <w:rsid w:val="7D08402E"/>
    <w:rsid w:val="7D128840"/>
    <w:rsid w:val="7D617098"/>
    <w:rsid w:val="7DEB5FC2"/>
    <w:rsid w:val="7E289985"/>
    <w:rsid w:val="7E33C081"/>
    <w:rsid w:val="7E7873D3"/>
    <w:rsid w:val="7EA4108F"/>
    <w:rsid w:val="7EF315DD"/>
    <w:rsid w:val="7F69392C"/>
    <w:rsid w:val="7F7D3D50"/>
    <w:rsid w:val="7FBBA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28840"/>
  <w15:chartTrackingRefBased/>
  <w15:docId w15:val="{D025F784-DA8D-4302-AD12-23AF4621A9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6975cf9acbc4ee6" /><Relationship Type="http://schemas.openxmlformats.org/officeDocument/2006/relationships/hyperlink" Target="https://www.readyratios.com/sec/industry/G/" TargetMode="External" Id="Reafd9ccaf38e4c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2023-12-22T15:46:43.4900105Z</dcterms:created>
  <dcterms:modified xsi:type="dcterms:W3CDTF">2023-12-24T19:32:38.1427788Z</dcterms:modified>
  <dc:creator>BABARINDE, DANIEL (UG)</dc:creator>
  <lastModifiedBy>BABARINDE, DANIEL (UG)</lastModifiedBy>
</coreProperties>
</file>