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xlsx" ContentType="application/vnd.openxmlformats-officedocument.spreadsheetml.sheet"/>
  <Override PartName="/word/embeddings/oleObject2.xlsx" ContentType="application/vnd.openxmlformats-officedocument.spreadsheetml.sheet"/>
  <Override PartName="/word/embeddings/oleObject3.xlsx" ContentType="application/vnd.openxmlformats-officedocument.spreadsheetml.sheet"/>
  <Override PartName="/word/media/image1.emf" ContentType="image/x-emf"/>
  <Override PartName="/word/media/image2.png" ContentType="image/png"/>
  <Override PartName="/word/media/image3.png" ContentType="image/png"/>
  <Override PartName="/word/media/image4.emf" ContentType="image/x-emf"/>
  <Override PartName="/word/media/image5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mc:AlternateContent>
          <mc:Choice Requires="wps">
            <w:drawing>
              <wp:anchor behindDoc="0" distT="40005" distB="52070" distL="109220" distR="124460" simplePos="0" locked="0" layoutInCell="0" allowOverlap="1" relativeHeight="2">
                <wp:simplePos x="0" y="0"/>
                <wp:positionH relativeFrom="column">
                  <wp:posOffset>18415</wp:posOffset>
                </wp:positionH>
                <wp:positionV relativeFrom="paragraph">
                  <wp:posOffset>-10160</wp:posOffset>
                </wp:positionV>
                <wp:extent cx="6842760" cy="1210310"/>
                <wp:effectExtent l="5080" t="5080" r="5080" b="508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880" cy="121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Company Name: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Nike Inc.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Ticker: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NKE, NYSE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Current Share Price: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u w:val="none"/>
                              </w:rPr>
                              <w:t>111.17 USD , 2023 average share price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Upside/(Downside) to current share price: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 xml:space="preserve">[100.46-111.17]/111.17 = (9.63%) 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1.45pt;margin-top:-0.8pt;width:538.75pt;height:95.25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color w:val="000000"/>
                        </w:rPr>
                        <w:t xml:space="preserve">Company Name: </w:t>
                      </w:r>
                      <w:r>
                        <w:rPr>
                          <w:i/>
                          <w:iCs/>
                          <w:color w:val="000000"/>
                        </w:rPr>
                        <w:t>Nike Inc.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color w:val="000000"/>
                        </w:rPr>
                        <w:t xml:space="preserve">Ticker: </w:t>
                      </w:r>
                      <w:r>
                        <w:rPr>
                          <w:i/>
                          <w:iCs/>
                          <w:color w:val="000000"/>
                        </w:rPr>
                        <w:t>NKE, NYSE</w:t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color w:val="000000"/>
                        </w:rPr>
                        <w:t xml:space="preserve">Current Share Price: </w:t>
                      </w:r>
                      <w:r>
                        <w:rPr>
                          <w:i/>
                          <w:iCs/>
                          <w:color w:val="000000"/>
                          <w:u w:val="none"/>
                        </w:rPr>
                        <w:t>111.17 USD , 2023 average share price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color w:val="000000"/>
                        </w:rPr>
                        <w:t xml:space="preserve">Upside/(Downside) to current share price:  </w:t>
                      </w:r>
                      <w:r>
                        <w:rPr>
                          <w:i/>
                          <w:iCs/>
                          <w:color w:val="000000"/>
                        </w:rPr>
                        <w:t xml:space="preserve">[100.46-111.17]/111.17 = (9.63%) 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39370" distB="66675" distL="108585" distR="124460" simplePos="0" locked="0" layoutInCell="0" allowOverlap="1" relativeHeight="4">
                <wp:simplePos x="0" y="0"/>
                <wp:positionH relativeFrom="column">
                  <wp:posOffset>16510</wp:posOffset>
                </wp:positionH>
                <wp:positionV relativeFrom="paragraph">
                  <wp:posOffset>1294765</wp:posOffset>
                </wp:positionV>
                <wp:extent cx="6866255" cy="999490"/>
                <wp:effectExtent l="5080" t="5080" r="5080" b="5080"/>
                <wp:wrapTopAndBottom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866280" cy="99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Investment thesis: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Nike Inc’s stock has fallen approximately 50% from a record high in Q2/3 of 2021. The implied share price calculated shows a downside of nearly 10% at the end of 2023. The ROE from 2023 to 2027 falls 2% annually suggesting Nike has little room to grow and its stock price to rise.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1.3pt;margin-top:101.95pt;width:540.6pt;height:78.65pt;flip:xy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Investment thesis: 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color w:val="000000"/>
                        </w:rPr>
                        <w:t>Nike Inc’s stock has fallen approximately 50% from a record high in Q2/3 of 2021. The implied share price calculated shows a downside of nearly 10% at the end of 2023. The ROE from 2023 to 2027 falls 2% annually suggesting Nike has little room to grow and its stock price to rise.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39370" distB="67310" distL="108585" distR="131445" simplePos="0" locked="0" layoutInCell="0" allowOverlap="1" relativeHeight="6">
                <wp:simplePos x="0" y="0"/>
                <wp:positionH relativeFrom="column">
                  <wp:posOffset>38100</wp:posOffset>
                </wp:positionH>
                <wp:positionV relativeFrom="paragraph">
                  <wp:posOffset>4079875</wp:posOffset>
                </wp:positionV>
                <wp:extent cx="6859905" cy="1167765"/>
                <wp:effectExtent l="5715" t="5715" r="4445" b="4445"/>
                <wp:wrapSquare wrapText="bothSides"/>
                <wp:docPr id="5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800" cy="11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Point 2: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From 2021 to 2027 Nike’s EBITDA margin reduces from 17% to 12% , a rate of 0.8% annually. Analysing segmental revenue it becomes clear that, EMEA and Greater China have experienced the most growth historically. Capitalised research and development expenditures grew 65%  FY22-23. The 2023 Proxy states “utilize research committees and advisory boards made up of athletes, coaches, trainers, equipment managers, orthopedists, podiatrists, physicians”.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pt;margin-top:321.25pt;width:540.1pt;height:91.9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Point 2: 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color w:val="000000"/>
                        </w:rPr>
                        <w:t xml:space="preserve">From 2021 to 2027 Nike’s EBITDA margin reduces from 17% to 12% , a rate of 0.8% annually. Analysing segmental revenue it becomes clear that, EMEA and Greater China have experienced the most growth historically. Capitalised research and development expenditures grew 65%  FY22-23. The 2023 Proxy states “utilize research committees and advisory boards made up of athletes, coaches, trainers, equipment managers, orthopedists, podiatrists, physicians”.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0005" distB="55245" distL="109220" distR="135890" simplePos="0" locked="0" layoutInCell="0" allowOverlap="1" relativeHeight="8">
                <wp:simplePos x="0" y="0"/>
                <wp:positionH relativeFrom="column">
                  <wp:posOffset>47625</wp:posOffset>
                </wp:positionH>
                <wp:positionV relativeFrom="paragraph">
                  <wp:posOffset>5417820</wp:posOffset>
                </wp:positionV>
                <wp:extent cx="6845300" cy="1496695"/>
                <wp:effectExtent l="5080" t="5715" r="5080" b="4445"/>
                <wp:wrapSquare wrapText="bothSides"/>
                <wp:docPr id="7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400" cy="14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Point 3: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Earnings per share for Nike accounting for the share buyback plan from 2023 to 2026, remains similar to 2020&amp;21 Coronavirus years however also sees a relative decline from 4 to 3. Free Cash Flow to Firm for Nike fluctuated between 2015 and 2022; however from 2023 to 2032, in high growth phase, it decreases with a perpetuity growth rate of 0.975% , over 6000 to over 4000. Capital Expenditure for the 5 forecasted years of 2023 to 2027 from 810 million to 920 with YOY growth of 2.5%. PPE and Net Working Capital increase in the forecast years coupled with a decreasing debt to capital ratio, suggesting Nike’s assets are not highly leveraged.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t" o:allowincell="f" style="position:absolute;margin-left:3.75pt;margin-top:426.6pt;width:538.95pt;height:117.8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Point 3: 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color w:val="000000"/>
                        </w:rPr>
                        <w:t>Earnings per share for Nike accounting for the share buyback plan from 2023 to 2026, remains similar to 2020&amp;21 Coronavirus years however also sees a relative decline from 4 to 3. Free Cash Flow to Firm for Nike fluctuated between 2015 and 2022; however from 2023 to 2032, in high growth phase, it decreases with a perpetuity growth rate of 0.975% , over 6000 to over 4000. Capital Expenditure for the 5 forecasted years of 2023 to 2027 from 810 million to 920 with YOY growth of 2.5%. PPE and Net Working Capital increase in the forecast years coupled with a decreasing debt to capital ratio, suggesting Nike’s assets are not highly leveraged.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39370" distB="52705" distL="108585" distR="132080" simplePos="0" locked="0" layoutInCell="0" allowOverlap="1" relativeHeight="10">
                <wp:simplePos x="0" y="0"/>
                <wp:positionH relativeFrom="column">
                  <wp:posOffset>17780</wp:posOffset>
                </wp:positionH>
                <wp:positionV relativeFrom="paragraph">
                  <wp:posOffset>2403475</wp:posOffset>
                </wp:positionV>
                <wp:extent cx="6878320" cy="1550035"/>
                <wp:effectExtent l="5080" t="5715" r="5080" b="4445"/>
                <wp:wrapSquare wrapText="bothSides"/>
                <wp:docPr id="9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160" cy="155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Point 1: 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Nike’s revenue growth forecasted from 2022 to 2027 sees a 4.9% increase YOY.The primary segment performance revolves around the EMEA region and its Organic Footwear segments which see 8% and 9%+ constitutes growth YOY, around 16% of all revenue. In 2024 Nike acquired Europe’s biggest kit maker in the DFB. The product performance of Nike with most significant growth is the Jordan brand with 29% growth FY22-23 including currency changes. The Global Brand Divisions continues in its losses amounts whereas; Wholesale Operations to Direct Operations grew 21% including currency changes [FY23 Q4 schedules].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t" o:allowincell="f" style="position:absolute;margin-left:1.4pt;margin-top:189.25pt;width:541.55pt;height:122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b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Point 1: </w:t>
                      </w:r>
                    </w:p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>
                          <w:color w:val="000000"/>
                        </w:rPr>
                        <w:t>Nike’s revenue growth forecasted from 2022 to 2027 sees a 4.9% increase YOY.The primary segment performance revolves around the EMEA region and its Organic Footwear segments which see 8% and 9%+ constitutes growth YOY, around 16% of all revenue. In 2024 Nike acquired Europe’s biggest kit maker in the DFB. The product performance of Nike with most significant growth is the Jordan brand with 29% growth FY22-23 including currency changes. The Global Brand Divisions continues in its losses amounts whereas; Wholesale Operations to Direct Operations grew 21% including currency changes [FY23 Q4 schedules].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object w:dxaOrig="20017" w:dyaOrig="2028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-9.2pt;margin-top:571.45pt;width:559.75pt;height:124.3pt;mso-wrap-distance-right:0pt;mso-position-horizontal-relative:text;mso-position-vertical-relative:text" filled="f" o:ole="">
            <v:imagedata r:id="rId3" o:title=""/>
            <w10:wrap type="square"/>
          </v:shape>
          <o:OLEObject Type="Embed" ProgID="Excel.Sheet.12" ShapeID="ole_rId2" DrawAspect="Content" ObjectID="_1085385313" r:id="rId2"/>
        </w:object>
      </w:r>
      <w:r>
        <w:br w:type="page"/>
      </w:r>
    </w:p>
    <w:p>
      <w:pPr>
        <w:pStyle w:val="Normal"/>
        <w:spacing w:before="0" w:after="160"/>
        <w:rPr/>
      </w:pPr>
      <w:r>
        <w:rPr/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161925</wp:posOffset>
            </wp:positionH>
            <wp:positionV relativeFrom="paragraph">
              <wp:posOffset>3061335</wp:posOffset>
            </wp:positionV>
            <wp:extent cx="6534785" cy="2886075"/>
            <wp:effectExtent l="0" t="0" r="0" b="0"/>
            <wp:wrapSquare wrapText="largest"/>
            <wp:docPr id="1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70" t="22741" r="7224" b="7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72390</wp:posOffset>
            </wp:positionH>
            <wp:positionV relativeFrom="paragraph">
              <wp:posOffset>-28575</wp:posOffset>
            </wp:positionV>
            <wp:extent cx="6572885" cy="2910205"/>
            <wp:effectExtent l="0" t="0" r="0" b="0"/>
            <wp:wrapSquare wrapText="largest"/>
            <wp:docPr id="12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49" t="25202" r="7780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85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object w:dxaOrig="7301" w:dyaOrig="2485">
          <v:shapetype id="_x0000_tole_rId6" coordsize="21600,21600" o:spt="ole_rId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type="_x0000_tole_rId6" style="position:absolute;margin-left:-7pt;margin-top:481.95pt;width:366.6pt;height:124.8pt;mso-position-horizontal-relative:text;mso-position-vertical-relative:text" filled="f" o:ole="">
            <v:imagedata r:id="rId7" o:title=""/>
            <w10:wrap type="square" side="largest"/>
          </v:shape>
          <o:OLEObject Type="Embed" ProgID="Excel.Sheet.12" ShapeID="ole_rId6" DrawAspect="Content" ObjectID="_1719824891" r:id="rId6"/>
        </w:object>
        <w:object w:dxaOrig="7301" w:dyaOrig="2208">
          <v:shapetype id="_x0000_tole_rId8" coordsize="21600,21600" o:spt="ole_rId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" type="_x0000_tole_rId8" style="position:absolute;margin-left:169.95pt;margin-top:611.95pt;width:377.3pt;height:114.1pt;mso-position-horizontal-relative:text;mso-position-vertical-relative:text" filled="f" o:ole="">
            <v:imagedata r:id="rId9" o:title=""/>
            <w10:wrap type="square" side="largest"/>
          </v:shape>
          <o:OLEObject Type="Embed" ProgID="Excel.Sheet.12" ShapeID="ole_rId8" DrawAspect="Content" ObjectID="_1669283816" r:id="rId8"/>
        </w:object>
      </w:r>
    </w:p>
    <w:sectPr>
      <w:type w:val="nextPage"/>
      <w:pgSz w:w="12240" w:h="15840"/>
      <w:pgMar w:left="720" w:right="720" w:gutter="0" w:header="0" w:top="720" w:footer="0" w:bottom="720"/>
      <w:pgBorders w:display="allPages" w:offsetFrom="text">
        <w:top w:val="single" w:sz="4" w:space="12" w:color="000000"/>
        <w:left w:val="single" w:sz="4" w:space="12" w:color="000000"/>
        <w:bottom w:val="single" w:sz="4" w:space="12" w:color="000000"/>
        <w:right w:val="single" w:sz="4" w:space="12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TitleChar">
    <w:name w:val="Title Char"/>
    <w:basedOn w:val="DefaultParagraphFont"/>
    <w:link w:val="Title"/>
    <w:qFormat/>
    <w:rPr>
      <w:rFonts w:ascii="Calibri Light" w:hAnsi="Calibri Light" w:eastAsia="Calibri" w:cs="Tahoma"/>
      <w:spacing w:val="-10"/>
      <w:kern w:val="2"/>
      <w:sz w:val="56"/>
      <w:szCs w:val="5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Title">
    <w:name w:val="Title"/>
    <w:basedOn w:val="Normal"/>
    <w:next w:val="Normal"/>
    <w:link w:val="TitleChar"/>
    <w:qFormat/>
    <w:pPr>
      <w:spacing w:lineRule="auto" w:line="240" w:before="0" w:after="0"/>
      <w:contextualSpacing/>
    </w:pPr>
    <w:rPr>
      <w:rFonts w:ascii="Calibri Light" w:hAnsi="Calibri Light" w:eastAsia="Calibri" w:cs="Tahoma"/>
      <w:spacing w:val="-10"/>
      <w:kern w:val="2"/>
      <w:sz w:val="56"/>
      <w:szCs w:val="56"/>
    </w:rPr>
  </w:style>
  <w:style w:type="paragraph" w:styleId="FrameContents">
    <w:name w:val="Frame Contents"/>
    <w:basedOn w:val="Normal"/>
    <w:qFormat/>
    <w:pPr/>
    <w:rPr/>
  </w:style>
  <w:style w:type="paragraph" w:styleId="TableofFigures">
    <w:name w:val="Table of Figures"/>
    <w:basedOn w:val="Caption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package" Target="embeddings/oleObject2.xlsx"/><Relationship Id="rId7" Type="http://schemas.openxmlformats.org/officeDocument/2006/relationships/image" Target="media/image4.emf"/><Relationship Id="rId8" Type="http://schemas.openxmlformats.org/officeDocument/2006/relationships/package" Target="embeddings/oleObject3.xlsx"/><Relationship Id="rId9" Type="http://schemas.openxmlformats.org/officeDocument/2006/relationships/image" Target="media/image5.emf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LibreOffice/7.3.5.2$Windows_X86_64 LibreOffice_project/184fe81b8c8c30d8b5082578aee2fed2ea847c01</Application>
  <AppVersion>15.0000</AppVersion>
  <Pages>2</Pages>
  <Words>356</Words>
  <Characters>1849</Characters>
  <CharactersWithSpaces>2202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2020-08-04T09:51:00Z</dcterms:created>
  <dc:creator/>
  <dc:description/>
  <dc:language>en-GB</dc:language>
  <cp:lastModifiedBy/>
  <dcterms:modified xsi:type="dcterms:W3CDTF">2024-04-11T11:04:54Z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