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2864" w14:textId="03E32F42" w:rsidR="00E530FC" w:rsidRDefault="00CC1984" w:rsidP="00D94BD4">
      <w:pPr>
        <w:jc w:val="center"/>
        <w:rPr>
          <w:rFonts w:ascii="Cambria" w:hAnsi="Cambria"/>
          <w:b/>
          <w:bCs/>
          <w:sz w:val="28"/>
          <w:szCs w:val="28"/>
        </w:rPr>
      </w:pPr>
      <w:r w:rsidRPr="00CC1984">
        <w:rPr>
          <w:rFonts w:ascii="Cambria" w:hAnsi="Cambria"/>
          <w:b/>
          <w:bCs/>
          <w:sz w:val="28"/>
          <w:szCs w:val="28"/>
        </w:rPr>
        <w:t xml:space="preserve">Marriot </w:t>
      </w:r>
      <w:r w:rsidR="006519F2">
        <w:rPr>
          <w:rFonts w:ascii="Cambria" w:hAnsi="Cambria"/>
          <w:b/>
          <w:bCs/>
          <w:sz w:val="28"/>
          <w:szCs w:val="28"/>
        </w:rPr>
        <w:t>I</w:t>
      </w:r>
      <w:r w:rsidRPr="00CC1984">
        <w:rPr>
          <w:rFonts w:ascii="Cambria" w:hAnsi="Cambria"/>
          <w:b/>
          <w:bCs/>
          <w:sz w:val="28"/>
          <w:szCs w:val="28"/>
        </w:rPr>
        <w:t>nternational Inc.</w:t>
      </w:r>
    </w:p>
    <w:p w14:paraId="3C9A632F" w14:textId="68BDC7EA" w:rsidR="00D65574" w:rsidRPr="004E42CF" w:rsidRDefault="001C2EBE" w:rsidP="004E42CF">
      <w:pPr>
        <w:autoSpaceDE w:val="0"/>
        <w:autoSpaceDN w:val="0"/>
        <w:adjustRightInd w:val="0"/>
        <w:spacing w:after="120" w:line="240" w:lineRule="auto"/>
        <w:jc w:val="both"/>
        <w:rPr>
          <w:rFonts w:ascii="Cambria" w:hAnsi="Cambria"/>
          <w:color w:val="000000" w:themeColor="text1"/>
          <w:sz w:val="24"/>
          <w:szCs w:val="24"/>
        </w:rPr>
      </w:pPr>
      <w:r w:rsidRPr="004E42CF">
        <w:rPr>
          <w:rFonts w:ascii="Cambria" w:hAnsi="Cambria"/>
          <w:color w:val="000000" w:themeColor="text1"/>
          <w:sz w:val="24"/>
          <w:szCs w:val="24"/>
        </w:rPr>
        <w:t xml:space="preserve">Marriott International </w:t>
      </w:r>
      <w:r w:rsidR="008508EC" w:rsidRPr="004E42CF">
        <w:rPr>
          <w:rFonts w:ascii="Cambria" w:hAnsi="Cambria"/>
          <w:color w:val="000000" w:themeColor="text1"/>
          <w:sz w:val="24"/>
          <w:szCs w:val="24"/>
        </w:rPr>
        <w:t>Inc. (</w:t>
      </w:r>
      <w:r w:rsidRPr="004E42CF">
        <w:rPr>
          <w:rFonts w:ascii="Cambria" w:hAnsi="Cambria"/>
          <w:color w:val="000000" w:themeColor="text1"/>
          <w:sz w:val="24"/>
          <w:szCs w:val="24"/>
        </w:rPr>
        <w:t>Marriot)is</w:t>
      </w:r>
      <w:r w:rsidR="008508EC" w:rsidRPr="004E42CF">
        <w:rPr>
          <w:rFonts w:ascii="Cambria" w:hAnsi="Cambria"/>
          <w:color w:val="000000" w:themeColor="text1"/>
          <w:sz w:val="24"/>
          <w:szCs w:val="24"/>
        </w:rPr>
        <w:t xml:space="preserve"> </w:t>
      </w:r>
      <w:r w:rsidRPr="004E42CF">
        <w:rPr>
          <w:rFonts w:ascii="Cambria" w:hAnsi="Cambria"/>
          <w:color w:val="000000" w:themeColor="text1"/>
          <w:sz w:val="24"/>
          <w:szCs w:val="24"/>
        </w:rPr>
        <w:t xml:space="preserve">incorporated and based in USA, and has </w:t>
      </w:r>
      <w:r w:rsidR="008508EC" w:rsidRPr="004E42CF">
        <w:rPr>
          <w:rFonts w:ascii="Cambria" w:hAnsi="Cambria"/>
          <w:color w:val="000000" w:themeColor="text1"/>
          <w:sz w:val="24"/>
          <w:szCs w:val="24"/>
        </w:rPr>
        <w:t>accumulated approximately</w:t>
      </w:r>
      <w:r w:rsidRPr="004E42CF">
        <w:rPr>
          <w:rFonts w:ascii="Cambria" w:hAnsi="Cambria"/>
          <w:color w:val="000000" w:themeColor="text1"/>
          <w:sz w:val="24"/>
          <w:szCs w:val="24"/>
        </w:rPr>
        <w:t xml:space="preserve"> 8,700 properties </w:t>
      </w:r>
      <w:r w:rsidR="008508EC" w:rsidRPr="004E42CF">
        <w:rPr>
          <w:rFonts w:ascii="Cambria" w:hAnsi="Cambria"/>
          <w:color w:val="000000" w:themeColor="text1"/>
          <w:sz w:val="24"/>
          <w:szCs w:val="24"/>
        </w:rPr>
        <w:t xml:space="preserve">in 139 countries across </w:t>
      </w:r>
      <w:r w:rsidR="004A66C7" w:rsidRPr="004E42CF">
        <w:rPr>
          <w:rFonts w:ascii="Cambria" w:hAnsi="Cambria"/>
          <w:color w:val="000000" w:themeColor="text1"/>
          <w:sz w:val="24"/>
          <w:szCs w:val="24"/>
        </w:rPr>
        <w:t xml:space="preserve">the brands categorized by style of offering </w:t>
      </w:r>
      <w:r w:rsidR="001E661A" w:rsidRPr="004E42CF">
        <w:rPr>
          <w:rFonts w:ascii="Cambria" w:hAnsi="Cambria"/>
          <w:color w:val="000000" w:themeColor="text1"/>
          <w:sz w:val="24"/>
          <w:szCs w:val="24"/>
        </w:rPr>
        <w:t>under three quality tiers in Luxury, Premium, and Select. Marriot is</w:t>
      </w:r>
      <w:r w:rsidR="001E661A" w:rsidRPr="004E42CF">
        <w:rPr>
          <w:rFonts w:ascii="Cambria" w:hAnsi="Cambria" w:cs="TimesNewRoman"/>
          <w:color w:val="000000" w:themeColor="text1"/>
          <w:sz w:val="24"/>
          <w:szCs w:val="24"/>
        </w:rPr>
        <w:t xml:space="preserve"> a worldwide operator, franchisor, and licensor of hotel, residential, timeshare, and other lodging properties under numerous brand names at different price and service points.</w:t>
      </w:r>
    </w:p>
    <w:p w14:paraId="236440A8" w14:textId="77777777" w:rsidR="00233678" w:rsidRPr="004E42CF" w:rsidRDefault="00233678" w:rsidP="004E42CF">
      <w:pPr>
        <w:autoSpaceDE w:val="0"/>
        <w:autoSpaceDN w:val="0"/>
        <w:adjustRightInd w:val="0"/>
        <w:spacing w:after="120" w:line="240" w:lineRule="auto"/>
        <w:jc w:val="both"/>
        <w:rPr>
          <w:rFonts w:ascii="Cambria" w:hAnsi="Cambria"/>
          <w:color w:val="000000" w:themeColor="text1"/>
          <w:sz w:val="24"/>
          <w:szCs w:val="24"/>
        </w:rPr>
      </w:pPr>
      <w:r w:rsidRPr="004E42CF">
        <w:rPr>
          <w:rFonts w:ascii="Cambria" w:hAnsi="Cambria"/>
          <w:color w:val="000000" w:themeColor="text1"/>
          <w:sz w:val="24"/>
          <w:szCs w:val="24"/>
        </w:rPr>
        <w:t>The management fees revenue is basically consisted of base management fees and incentive management fees. Base management fees are typically calculated as a percentage of property-level revenue. Incentive management fees are typically calculated as a percentage of a hotel profitability measure, and, the reportable geographical segments in U.S. &amp; Canada and International, are subject to a specified owner return. Franchise fees are typically calculated as a percentage of property-level revenue or a portion thereof. In addition,</w:t>
      </w:r>
      <w:r w:rsidRPr="004E42CF">
        <w:rPr>
          <w:color w:val="000000" w:themeColor="text1"/>
        </w:rPr>
        <w:t xml:space="preserve"> </w:t>
      </w:r>
      <w:r w:rsidRPr="004E42CF">
        <w:rPr>
          <w:rFonts w:ascii="Cambria" w:hAnsi="Cambria"/>
          <w:color w:val="000000" w:themeColor="text1"/>
          <w:sz w:val="24"/>
          <w:szCs w:val="24"/>
        </w:rPr>
        <w:t>other revenue includes global design fees, termination fees, and other property and brand revenues as a part of the loyalty program.</w:t>
      </w:r>
    </w:p>
    <w:p w14:paraId="0B23D778" w14:textId="07DF9839" w:rsidR="005E2C39" w:rsidRPr="004E42CF" w:rsidRDefault="005E2C39" w:rsidP="004E42CF">
      <w:pPr>
        <w:autoSpaceDE w:val="0"/>
        <w:autoSpaceDN w:val="0"/>
        <w:adjustRightInd w:val="0"/>
        <w:spacing w:after="120" w:line="240" w:lineRule="auto"/>
        <w:jc w:val="both"/>
        <w:rPr>
          <w:rFonts w:ascii="Cambria" w:hAnsi="Cambria"/>
          <w:color w:val="000000" w:themeColor="text1"/>
          <w:sz w:val="24"/>
          <w:szCs w:val="24"/>
        </w:rPr>
      </w:pPr>
      <w:bookmarkStart w:id="0" w:name="_Hlk158310285"/>
      <w:r w:rsidRPr="004E42CF">
        <w:rPr>
          <w:rFonts w:ascii="Cambria" w:hAnsi="Cambria"/>
          <w:color w:val="000000" w:themeColor="text1"/>
          <w:sz w:val="24"/>
          <w:szCs w:val="24"/>
        </w:rPr>
        <w:t xml:space="preserve">Cost reimbursements </w:t>
      </w:r>
      <w:r w:rsidR="00FC610A" w:rsidRPr="004E42CF">
        <w:rPr>
          <w:rFonts w:ascii="Cambria" w:hAnsi="Cambria"/>
          <w:color w:val="000000" w:themeColor="text1"/>
          <w:sz w:val="24"/>
          <w:szCs w:val="24"/>
        </w:rPr>
        <w:t xml:space="preserve">revenue </w:t>
      </w:r>
      <w:r w:rsidRPr="004E42CF">
        <w:rPr>
          <w:rFonts w:ascii="Cambria" w:hAnsi="Cambria"/>
          <w:color w:val="000000" w:themeColor="text1"/>
          <w:sz w:val="24"/>
          <w:szCs w:val="24"/>
        </w:rPr>
        <w:t>are reimbursement for certain costs incurred on behalf of the managed, franchised and licensed properties. These costs mainly consist of payroll and related expenses at managed properties and also include certain operational and administrative costs that are predetermined in the contracts.</w:t>
      </w:r>
    </w:p>
    <w:p w14:paraId="6671898C" w14:textId="789546CD" w:rsidR="005E2C39" w:rsidRPr="004E42CF" w:rsidRDefault="005E2C39" w:rsidP="004E42CF">
      <w:pPr>
        <w:autoSpaceDE w:val="0"/>
        <w:autoSpaceDN w:val="0"/>
        <w:adjustRightInd w:val="0"/>
        <w:spacing w:after="120" w:line="240" w:lineRule="auto"/>
        <w:jc w:val="both"/>
        <w:rPr>
          <w:rFonts w:ascii="Cambria" w:hAnsi="Cambria"/>
          <w:color w:val="000000" w:themeColor="text1"/>
          <w:sz w:val="24"/>
          <w:szCs w:val="24"/>
        </w:rPr>
      </w:pPr>
      <w:r w:rsidRPr="004E42CF">
        <w:rPr>
          <w:rFonts w:ascii="Cambria" w:hAnsi="Cambria"/>
          <w:color w:val="000000" w:themeColor="text1"/>
          <w:sz w:val="24"/>
          <w:szCs w:val="24"/>
        </w:rPr>
        <w:t>Total revenue is the sum of owned and leased revenue, managed and franchise revenue, other revenue and cost reimbursements.</w:t>
      </w:r>
    </w:p>
    <w:bookmarkEnd w:id="0"/>
    <w:p w14:paraId="0DF510A1" w14:textId="1FBA9295" w:rsidR="00D65574" w:rsidRPr="004E42CF" w:rsidRDefault="00D65574" w:rsidP="004E42CF">
      <w:pPr>
        <w:autoSpaceDE w:val="0"/>
        <w:autoSpaceDN w:val="0"/>
        <w:adjustRightInd w:val="0"/>
        <w:spacing w:after="120" w:line="240" w:lineRule="auto"/>
        <w:jc w:val="both"/>
        <w:rPr>
          <w:rFonts w:ascii="Cambria" w:hAnsi="Cambria"/>
          <w:color w:val="000000" w:themeColor="text1"/>
          <w:sz w:val="24"/>
          <w:szCs w:val="24"/>
        </w:rPr>
      </w:pPr>
      <w:r w:rsidRPr="004E42CF">
        <w:rPr>
          <w:rFonts w:ascii="Cambria" w:hAnsi="Cambria"/>
          <w:color w:val="000000" w:themeColor="text1"/>
          <w:sz w:val="24"/>
          <w:szCs w:val="24"/>
        </w:rPr>
        <w:t xml:space="preserve">The key </w:t>
      </w:r>
      <w:r w:rsidR="00625562" w:rsidRPr="004E42CF">
        <w:rPr>
          <w:rFonts w:ascii="Cambria" w:hAnsi="Cambria"/>
          <w:color w:val="000000" w:themeColor="text1"/>
          <w:sz w:val="24"/>
          <w:szCs w:val="24"/>
        </w:rPr>
        <w:t xml:space="preserve">performance measures </w:t>
      </w:r>
      <w:r w:rsidRPr="004E42CF">
        <w:rPr>
          <w:rFonts w:ascii="Cambria" w:hAnsi="Cambria"/>
          <w:color w:val="000000" w:themeColor="text1"/>
          <w:sz w:val="24"/>
          <w:szCs w:val="24"/>
        </w:rPr>
        <w:t>revenue information related to Revenue per Available Room (“RevPAR”), average daily rate (“ADR”), occupancy</w:t>
      </w:r>
      <w:r w:rsidR="00915635" w:rsidRPr="004E42CF">
        <w:rPr>
          <w:rFonts w:ascii="Cambria" w:hAnsi="Cambria"/>
          <w:color w:val="000000" w:themeColor="text1"/>
          <w:sz w:val="24"/>
          <w:szCs w:val="24"/>
        </w:rPr>
        <w:t xml:space="preserve"> </w:t>
      </w:r>
      <w:r w:rsidRPr="004E42CF">
        <w:rPr>
          <w:rFonts w:ascii="Cambria" w:hAnsi="Cambria"/>
          <w:color w:val="000000" w:themeColor="text1"/>
          <w:sz w:val="24"/>
          <w:szCs w:val="24"/>
        </w:rPr>
        <w:t>and other future demand and recovery trends and expectations</w:t>
      </w:r>
      <w:r w:rsidR="00BD2DFD" w:rsidRPr="004E42CF">
        <w:rPr>
          <w:rFonts w:ascii="Cambria" w:hAnsi="Cambria"/>
          <w:color w:val="000000" w:themeColor="text1"/>
          <w:sz w:val="24"/>
          <w:szCs w:val="24"/>
        </w:rPr>
        <w:t xml:space="preserve"> on</w:t>
      </w:r>
      <w:r w:rsidRPr="004E42CF">
        <w:rPr>
          <w:rFonts w:ascii="Cambria" w:hAnsi="Cambria"/>
          <w:color w:val="000000" w:themeColor="text1"/>
          <w:sz w:val="24"/>
          <w:szCs w:val="24"/>
        </w:rPr>
        <w:t xml:space="preserve"> rooms growth</w:t>
      </w:r>
      <w:r w:rsidR="00BD2DFD" w:rsidRPr="004E42CF">
        <w:rPr>
          <w:rFonts w:ascii="Cambria" w:hAnsi="Cambria"/>
          <w:color w:val="000000" w:themeColor="text1"/>
          <w:sz w:val="24"/>
          <w:szCs w:val="24"/>
        </w:rPr>
        <w:t>,</w:t>
      </w:r>
      <w:r w:rsidRPr="004E42CF">
        <w:rPr>
          <w:rFonts w:ascii="Cambria" w:hAnsi="Cambria"/>
          <w:color w:val="000000" w:themeColor="text1"/>
          <w:sz w:val="24"/>
          <w:szCs w:val="24"/>
        </w:rPr>
        <w:t xml:space="preserve"> ability to meet </w:t>
      </w:r>
      <w:r w:rsidR="00BD2DFD" w:rsidRPr="004E42CF">
        <w:rPr>
          <w:rFonts w:ascii="Cambria" w:hAnsi="Cambria"/>
          <w:color w:val="000000" w:themeColor="text1"/>
          <w:sz w:val="24"/>
          <w:szCs w:val="24"/>
        </w:rPr>
        <w:t>liquidity requirements, capital</w:t>
      </w:r>
      <w:r w:rsidRPr="004E42CF">
        <w:rPr>
          <w:rFonts w:ascii="Cambria" w:hAnsi="Cambria"/>
          <w:color w:val="000000" w:themeColor="text1"/>
          <w:sz w:val="24"/>
          <w:szCs w:val="24"/>
        </w:rPr>
        <w:t xml:space="preserve"> expenditures and other investment spending</w:t>
      </w:r>
      <w:r w:rsidR="00BD2DFD" w:rsidRPr="004E42CF">
        <w:rPr>
          <w:rFonts w:ascii="Cambria" w:hAnsi="Cambria"/>
          <w:color w:val="000000" w:themeColor="text1"/>
          <w:sz w:val="24"/>
          <w:szCs w:val="24"/>
        </w:rPr>
        <w:t xml:space="preserve"> etc.</w:t>
      </w:r>
    </w:p>
    <w:p w14:paraId="25609E28" w14:textId="61F9DB3C" w:rsidR="00233678" w:rsidRPr="004E42CF" w:rsidRDefault="006519F2" w:rsidP="004E42CF">
      <w:pPr>
        <w:spacing w:after="120" w:line="240" w:lineRule="auto"/>
        <w:jc w:val="both"/>
        <w:rPr>
          <w:rFonts w:ascii="Cambria" w:hAnsi="Cambria"/>
          <w:color w:val="000000" w:themeColor="text1"/>
          <w:sz w:val="24"/>
          <w:szCs w:val="24"/>
        </w:rPr>
      </w:pPr>
      <w:r w:rsidRPr="004E42CF">
        <w:rPr>
          <w:rFonts w:ascii="Cambria" w:hAnsi="Cambria"/>
          <w:color w:val="000000" w:themeColor="text1"/>
          <w:sz w:val="24"/>
          <w:szCs w:val="24"/>
        </w:rPr>
        <w:t xml:space="preserve">Marriot has shown </w:t>
      </w:r>
      <w:r w:rsidR="009848CD" w:rsidRPr="004E42CF">
        <w:rPr>
          <w:rFonts w:ascii="Cambria" w:hAnsi="Cambria"/>
          <w:color w:val="000000" w:themeColor="text1"/>
          <w:sz w:val="24"/>
          <w:szCs w:val="24"/>
        </w:rPr>
        <w:t xml:space="preserve">a gradual growth </w:t>
      </w:r>
      <w:r w:rsidRPr="004E42CF">
        <w:rPr>
          <w:rFonts w:ascii="Cambria" w:hAnsi="Cambria"/>
          <w:color w:val="000000" w:themeColor="text1"/>
          <w:sz w:val="24"/>
          <w:szCs w:val="24"/>
        </w:rPr>
        <w:t xml:space="preserve">in system-wide comparable </w:t>
      </w:r>
      <w:r w:rsidR="00DC0992" w:rsidRPr="004E42CF">
        <w:rPr>
          <w:rFonts w:ascii="Cambria" w:hAnsi="Cambria"/>
          <w:color w:val="000000" w:themeColor="text1"/>
          <w:sz w:val="24"/>
          <w:szCs w:val="24"/>
        </w:rPr>
        <w:t>Revenue Per Available Room (</w:t>
      </w:r>
      <w:r w:rsidRPr="004E42CF">
        <w:rPr>
          <w:rFonts w:ascii="Cambria" w:hAnsi="Cambria"/>
          <w:color w:val="000000" w:themeColor="text1"/>
          <w:sz w:val="24"/>
          <w:szCs w:val="24"/>
        </w:rPr>
        <w:t>RevPAR</w:t>
      </w:r>
      <w:r w:rsidR="00DC0992" w:rsidRPr="004E42CF">
        <w:rPr>
          <w:rFonts w:ascii="Cambria" w:hAnsi="Cambria"/>
          <w:color w:val="000000" w:themeColor="text1"/>
          <w:sz w:val="24"/>
          <w:szCs w:val="24"/>
        </w:rPr>
        <w:t>)from $ 46.28 in 2020, $ 74.66 in 2021</w:t>
      </w:r>
      <w:r w:rsidR="00F04B1A" w:rsidRPr="004E42CF">
        <w:rPr>
          <w:rFonts w:ascii="Cambria" w:hAnsi="Cambria"/>
          <w:color w:val="000000" w:themeColor="text1"/>
          <w:sz w:val="24"/>
          <w:szCs w:val="24"/>
        </w:rPr>
        <w:t>,</w:t>
      </w:r>
      <w:r w:rsidR="00DC0992" w:rsidRPr="004E42CF">
        <w:rPr>
          <w:rFonts w:ascii="Cambria" w:hAnsi="Cambria"/>
          <w:color w:val="000000" w:themeColor="text1"/>
          <w:sz w:val="24"/>
          <w:szCs w:val="24"/>
        </w:rPr>
        <w:t xml:space="preserve"> </w:t>
      </w:r>
      <w:r w:rsidR="00F04B1A" w:rsidRPr="004E42CF">
        <w:rPr>
          <w:rFonts w:ascii="Cambria" w:hAnsi="Cambria"/>
          <w:color w:val="000000" w:themeColor="text1"/>
          <w:sz w:val="24"/>
          <w:szCs w:val="24"/>
        </w:rPr>
        <w:t>and</w:t>
      </w:r>
      <w:r w:rsidR="00DC0992" w:rsidRPr="004E42CF">
        <w:rPr>
          <w:rFonts w:ascii="Cambria" w:hAnsi="Cambria"/>
          <w:color w:val="000000" w:themeColor="text1"/>
          <w:sz w:val="24"/>
          <w:szCs w:val="24"/>
        </w:rPr>
        <w:t xml:space="preserve"> $ 110.64 in 2022.</w:t>
      </w:r>
      <w:r w:rsidRPr="004E42CF">
        <w:rPr>
          <w:rFonts w:ascii="Cambria" w:hAnsi="Cambria"/>
          <w:color w:val="000000" w:themeColor="text1"/>
          <w:sz w:val="24"/>
          <w:szCs w:val="24"/>
        </w:rPr>
        <w:t xml:space="preserve"> </w:t>
      </w:r>
      <w:r w:rsidR="00233678" w:rsidRPr="004E42CF">
        <w:rPr>
          <w:rFonts w:ascii="Cambria" w:hAnsi="Cambria"/>
          <w:color w:val="000000" w:themeColor="text1"/>
          <w:sz w:val="24"/>
          <w:szCs w:val="24"/>
        </w:rPr>
        <w:t xml:space="preserve">Hilton Worldwide Holding Inc. as a </w:t>
      </w:r>
      <w:r w:rsidR="00F04B1A" w:rsidRPr="004E42CF">
        <w:rPr>
          <w:rFonts w:ascii="Cambria" w:hAnsi="Cambria"/>
          <w:color w:val="000000" w:themeColor="text1"/>
          <w:sz w:val="24"/>
          <w:szCs w:val="24"/>
        </w:rPr>
        <w:t>major competitor</w:t>
      </w:r>
      <w:r w:rsidR="005C551F" w:rsidRPr="004E42CF">
        <w:rPr>
          <w:rFonts w:ascii="Cambria" w:hAnsi="Cambria"/>
          <w:color w:val="000000" w:themeColor="text1"/>
          <w:sz w:val="24"/>
          <w:szCs w:val="24"/>
        </w:rPr>
        <w:t xml:space="preserve"> with</w:t>
      </w:r>
      <w:r w:rsidR="00233678" w:rsidRPr="004E42CF">
        <w:rPr>
          <w:rFonts w:ascii="Cambria" w:hAnsi="Cambria"/>
          <w:color w:val="000000" w:themeColor="text1"/>
          <w:sz w:val="24"/>
          <w:szCs w:val="24"/>
        </w:rPr>
        <w:t xml:space="preserve"> 7,165 properties comprising 1,127,430 rooms in 123 countries as of December 31, </w:t>
      </w:r>
      <w:r w:rsidR="000D038A" w:rsidRPr="004E42CF">
        <w:rPr>
          <w:rFonts w:ascii="Cambria" w:hAnsi="Cambria"/>
          <w:color w:val="000000" w:themeColor="text1"/>
          <w:sz w:val="24"/>
          <w:szCs w:val="24"/>
        </w:rPr>
        <w:t xml:space="preserve">2022, RevPAR as at 31 </w:t>
      </w:r>
      <w:r w:rsidR="009848CD" w:rsidRPr="004E42CF">
        <w:rPr>
          <w:rFonts w:ascii="Cambria" w:hAnsi="Cambria"/>
          <w:color w:val="000000" w:themeColor="text1"/>
          <w:sz w:val="24"/>
          <w:szCs w:val="24"/>
        </w:rPr>
        <w:t>December in</w:t>
      </w:r>
      <w:r w:rsidR="000D038A" w:rsidRPr="004E42CF">
        <w:rPr>
          <w:rFonts w:ascii="Cambria" w:hAnsi="Cambria"/>
          <w:color w:val="000000" w:themeColor="text1"/>
          <w:sz w:val="24"/>
          <w:szCs w:val="24"/>
        </w:rPr>
        <w:t xml:space="preserve"> 2020,2021, and 2022 are $ 46, $ 73.65, and $ 101.9 respectively.</w:t>
      </w:r>
    </w:p>
    <w:p w14:paraId="495C7060" w14:textId="34B79C22" w:rsidR="00EF002A" w:rsidRPr="004E42CF" w:rsidRDefault="00EF002A" w:rsidP="004E42CF">
      <w:pPr>
        <w:spacing w:after="120" w:line="240" w:lineRule="auto"/>
        <w:jc w:val="both"/>
        <w:rPr>
          <w:rFonts w:ascii="Cambria" w:hAnsi="Cambria"/>
          <w:color w:val="000000" w:themeColor="text1"/>
          <w:sz w:val="24"/>
          <w:szCs w:val="24"/>
        </w:rPr>
      </w:pPr>
      <w:r w:rsidRPr="004E42CF">
        <w:rPr>
          <w:rFonts w:ascii="Cambria" w:hAnsi="Cambria"/>
          <w:color w:val="000000" w:themeColor="text1"/>
          <w:sz w:val="24"/>
          <w:szCs w:val="24"/>
        </w:rPr>
        <w:t xml:space="preserve">The occupancy of Marriot has increased steadily from 35.5% in 2020 to 51.3 % in 2021 and increased </w:t>
      </w:r>
      <w:r w:rsidR="00E2712A" w:rsidRPr="004E42CF">
        <w:rPr>
          <w:rFonts w:ascii="Cambria" w:hAnsi="Cambria"/>
          <w:color w:val="000000" w:themeColor="text1"/>
          <w:sz w:val="24"/>
          <w:szCs w:val="24"/>
        </w:rPr>
        <w:t>further up to 64 %</w:t>
      </w:r>
      <w:r w:rsidRPr="004E42CF">
        <w:rPr>
          <w:rFonts w:ascii="Cambria" w:hAnsi="Cambria"/>
          <w:color w:val="000000" w:themeColor="text1"/>
          <w:sz w:val="24"/>
          <w:szCs w:val="24"/>
        </w:rPr>
        <w:t xml:space="preserve"> in 2022</w:t>
      </w:r>
      <w:r w:rsidR="00E2712A" w:rsidRPr="004E42CF">
        <w:rPr>
          <w:rFonts w:ascii="Cambria" w:hAnsi="Cambria"/>
          <w:color w:val="000000" w:themeColor="text1"/>
          <w:sz w:val="24"/>
          <w:szCs w:val="24"/>
        </w:rPr>
        <w:t>,</w:t>
      </w:r>
      <w:r w:rsidRPr="004E42CF">
        <w:rPr>
          <w:rFonts w:ascii="Cambria" w:hAnsi="Cambria"/>
          <w:color w:val="000000" w:themeColor="text1"/>
          <w:sz w:val="24"/>
          <w:szCs w:val="24"/>
        </w:rPr>
        <w:t xml:space="preserve"> </w:t>
      </w:r>
      <w:r w:rsidR="00E2712A" w:rsidRPr="004E42CF">
        <w:rPr>
          <w:rFonts w:ascii="Cambria" w:hAnsi="Cambria"/>
          <w:color w:val="000000" w:themeColor="text1"/>
          <w:sz w:val="24"/>
          <w:szCs w:val="24"/>
        </w:rPr>
        <w:t>despite of Covid-19 pandemic in the world. However, Hilton has shown a significant growth in occupancy than Marriot such as         40.3 % in 2020, 57.2 % in 2021, and 67.5 % in 2022.</w:t>
      </w:r>
    </w:p>
    <w:p w14:paraId="466C8F95" w14:textId="2223D498" w:rsidR="006519F2" w:rsidRPr="004E42CF" w:rsidRDefault="009848CD" w:rsidP="004E42CF">
      <w:pPr>
        <w:spacing w:after="120" w:line="240" w:lineRule="auto"/>
        <w:jc w:val="both"/>
        <w:rPr>
          <w:rFonts w:ascii="Cambria" w:hAnsi="Cambria"/>
          <w:color w:val="000000" w:themeColor="text1"/>
          <w:sz w:val="24"/>
          <w:szCs w:val="24"/>
        </w:rPr>
      </w:pPr>
      <w:r w:rsidRPr="004E42CF">
        <w:rPr>
          <w:rFonts w:ascii="Cambria" w:hAnsi="Cambria"/>
          <w:color w:val="000000" w:themeColor="text1"/>
          <w:sz w:val="24"/>
          <w:szCs w:val="24"/>
        </w:rPr>
        <w:t xml:space="preserve">The ADR of Marriot has shown an increasing trend from $130.4 in 2020, $145.56 in 2021, and $172.85 in 2022. </w:t>
      </w:r>
      <w:r w:rsidR="006519F2" w:rsidRPr="004E42CF">
        <w:rPr>
          <w:rFonts w:ascii="Cambria" w:hAnsi="Cambria"/>
          <w:color w:val="000000" w:themeColor="text1"/>
          <w:sz w:val="24"/>
          <w:szCs w:val="24"/>
        </w:rPr>
        <w:t xml:space="preserve">while also demonstrating significant growth </w:t>
      </w:r>
      <w:r w:rsidR="00EF002A" w:rsidRPr="004E42CF">
        <w:rPr>
          <w:rFonts w:ascii="Cambria" w:hAnsi="Cambria"/>
          <w:color w:val="000000" w:themeColor="text1"/>
          <w:sz w:val="24"/>
          <w:szCs w:val="24"/>
        </w:rPr>
        <w:t>by Hyatt Hotels Corporation Inc. from $147.19 in 2020, $160.11 in 2021, and $ 195.35 in 2022.</w:t>
      </w:r>
      <w:r w:rsidR="006519F2" w:rsidRPr="004E42CF">
        <w:rPr>
          <w:rFonts w:ascii="Cambria" w:hAnsi="Cambria"/>
          <w:color w:val="000000" w:themeColor="text1"/>
          <w:sz w:val="24"/>
          <w:szCs w:val="24"/>
        </w:rPr>
        <w:t xml:space="preserve"> </w:t>
      </w:r>
    </w:p>
    <w:p w14:paraId="539F93F9" w14:textId="11D69DB1" w:rsidR="00D94BD4" w:rsidRPr="004E42CF" w:rsidRDefault="00D94BD4" w:rsidP="00A65781">
      <w:pPr>
        <w:autoSpaceDE w:val="0"/>
        <w:autoSpaceDN w:val="0"/>
        <w:adjustRightInd w:val="0"/>
        <w:spacing w:after="120" w:line="240" w:lineRule="auto"/>
        <w:jc w:val="both"/>
        <w:rPr>
          <w:rFonts w:ascii="Cambria" w:hAnsi="Cambria"/>
          <w:color w:val="000000" w:themeColor="text1"/>
          <w:sz w:val="24"/>
          <w:szCs w:val="24"/>
        </w:rPr>
      </w:pPr>
      <w:r w:rsidRPr="004E42CF">
        <w:rPr>
          <w:rFonts w:ascii="Cambria" w:hAnsi="Cambria"/>
          <w:color w:val="000000" w:themeColor="text1"/>
          <w:sz w:val="24"/>
          <w:szCs w:val="24"/>
        </w:rPr>
        <w:t xml:space="preserve">The principal cost factors that </w:t>
      </w:r>
      <w:r w:rsidR="001E661A" w:rsidRPr="004E42CF">
        <w:rPr>
          <w:rFonts w:ascii="Cambria" w:hAnsi="Cambria"/>
          <w:color w:val="000000" w:themeColor="text1"/>
          <w:sz w:val="24"/>
          <w:szCs w:val="24"/>
        </w:rPr>
        <w:t xml:space="preserve">affect the costs and expenses </w:t>
      </w:r>
      <w:r w:rsidRPr="004E42CF">
        <w:rPr>
          <w:rFonts w:ascii="Cambria" w:hAnsi="Cambria"/>
          <w:color w:val="000000" w:themeColor="text1"/>
          <w:sz w:val="24"/>
          <w:szCs w:val="24"/>
        </w:rPr>
        <w:t xml:space="preserve">are </w:t>
      </w:r>
      <w:r w:rsidRPr="004E42CF">
        <w:rPr>
          <w:rFonts w:ascii="Cambria" w:hAnsi="Cambria"/>
          <w:i/>
          <w:iCs/>
          <w:color w:val="000000" w:themeColor="text1"/>
          <w:sz w:val="24"/>
          <w:szCs w:val="24"/>
        </w:rPr>
        <w:t>Owned &amp; leased hotels</w:t>
      </w:r>
      <w:r w:rsidRPr="004E42CF">
        <w:rPr>
          <w:rFonts w:ascii="Cambria" w:hAnsi="Cambria"/>
          <w:color w:val="000000" w:themeColor="text1"/>
          <w:sz w:val="24"/>
          <w:szCs w:val="24"/>
        </w:rPr>
        <w:t xml:space="preserve">, </w:t>
      </w:r>
      <w:r w:rsidRPr="004E42CF">
        <w:rPr>
          <w:rFonts w:ascii="Cambria" w:hAnsi="Cambria"/>
          <w:i/>
          <w:iCs/>
          <w:color w:val="000000" w:themeColor="text1"/>
          <w:sz w:val="24"/>
          <w:szCs w:val="24"/>
        </w:rPr>
        <w:t>Depreciation &amp; amortization</w:t>
      </w:r>
      <w:r w:rsidRPr="004E42CF">
        <w:rPr>
          <w:rFonts w:ascii="Cambria" w:hAnsi="Cambria"/>
          <w:color w:val="000000" w:themeColor="text1"/>
          <w:sz w:val="24"/>
          <w:szCs w:val="24"/>
        </w:rPr>
        <w:t xml:space="preserve">, </w:t>
      </w:r>
      <w:r w:rsidRPr="004E42CF">
        <w:rPr>
          <w:rFonts w:ascii="Cambria" w:hAnsi="Cambria"/>
          <w:i/>
          <w:iCs/>
          <w:color w:val="000000" w:themeColor="text1"/>
          <w:sz w:val="24"/>
          <w:szCs w:val="24"/>
        </w:rPr>
        <w:t>General &amp; administrative</w:t>
      </w:r>
      <w:r w:rsidRPr="004E42CF">
        <w:rPr>
          <w:rFonts w:ascii="Cambria" w:hAnsi="Cambria"/>
          <w:color w:val="000000" w:themeColor="text1"/>
          <w:sz w:val="24"/>
          <w:szCs w:val="24"/>
        </w:rPr>
        <w:t xml:space="preserve">, </w:t>
      </w:r>
      <w:r w:rsidR="004E42CF" w:rsidRPr="004E42CF">
        <w:rPr>
          <w:rFonts w:ascii="Cambria" w:hAnsi="Cambria"/>
          <w:i/>
          <w:iCs/>
          <w:color w:val="000000" w:themeColor="text1"/>
          <w:sz w:val="24"/>
          <w:szCs w:val="24"/>
        </w:rPr>
        <w:t>other</w:t>
      </w:r>
      <w:r w:rsidR="001E661A" w:rsidRPr="004E42CF">
        <w:rPr>
          <w:rFonts w:ascii="Cambria" w:hAnsi="Cambria"/>
          <w:i/>
          <w:iCs/>
          <w:color w:val="000000" w:themeColor="text1"/>
          <w:sz w:val="24"/>
          <w:szCs w:val="24"/>
        </w:rPr>
        <w:t xml:space="preserve"> expenses from managed and franchised properties</w:t>
      </w:r>
      <w:r w:rsidR="001E661A" w:rsidRPr="004E42CF">
        <w:rPr>
          <w:rFonts w:ascii="Cambria" w:hAnsi="Cambria"/>
          <w:color w:val="000000" w:themeColor="text1"/>
          <w:sz w:val="24"/>
          <w:szCs w:val="24"/>
        </w:rPr>
        <w:t xml:space="preserve">. </w:t>
      </w:r>
      <w:r w:rsidRPr="004E42CF">
        <w:rPr>
          <w:rFonts w:ascii="Cambria" w:hAnsi="Cambria"/>
          <w:color w:val="000000" w:themeColor="text1"/>
          <w:sz w:val="24"/>
          <w:szCs w:val="24"/>
        </w:rPr>
        <w:t>Many of the expenses associated with owning and leasing hotels are relatively fixed. These expenses include personnel costs, rent, property</w:t>
      </w:r>
      <w:r w:rsidR="001E661A" w:rsidRPr="004E42CF">
        <w:rPr>
          <w:rFonts w:ascii="Cambria" w:hAnsi="Cambria"/>
          <w:color w:val="000000" w:themeColor="text1"/>
          <w:sz w:val="24"/>
          <w:szCs w:val="24"/>
        </w:rPr>
        <w:t xml:space="preserve"> </w:t>
      </w:r>
      <w:r w:rsidRPr="004E42CF">
        <w:rPr>
          <w:rFonts w:ascii="Cambria" w:hAnsi="Cambria"/>
          <w:color w:val="000000" w:themeColor="text1"/>
          <w:sz w:val="24"/>
          <w:szCs w:val="24"/>
        </w:rPr>
        <w:t xml:space="preserve">taxes, insurance and </w:t>
      </w:r>
      <w:r w:rsidR="004E42CF" w:rsidRPr="004E42CF">
        <w:rPr>
          <w:rFonts w:ascii="Cambria" w:hAnsi="Cambria"/>
          <w:color w:val="000000" w:themeColor="text1"/>
          <w:sz w:val="24"/>
          <w:szCs w:val="24"/>
        </w:rPr>
        <w:t>utilities. The operating expenses of consolidated owned and leased hotels, including room expenses, food and beverage costs, other support costs and property expenses.</w:t>
      </w:r>
      <w:r w:rsidR="004E42CF" w:rsidRPr="004E42CF">
        <w:t xml:space="preserve"> </w:t>
      </w:r>
      <w:r w:rsidR="004E42CF" w:rsidRPr="004E42CF">
        <w:rPr>
          <w:rFonts w:ascii="Cambria" w:hAnsi="Cambria"/>
          <w:color w:val="000000" w:themeColor="text1"/>
          <w:sz w:val="24"/>
          <w:szCs w:val="24"/>
        </w:rPr>
        <w:t xml:space="preserve">Other expenses </w:t>
      </w:r>
      <w:r w:rsidR="004E42CF">
        <w:rPr>
          <w:rFonts w:ascii="Cambria" w:hAnsi="Cambria"/>
          <w:color w:val="000000" w:themeColor="text1"/>
          <w:sz w:val="24"/>
          <w:szCs w:val="24"/>
        </w:rPr>
        <w:t>include</w:t>
      </w:r>
      <w:r w:rsidR="004E42CF" w:rsidRPr="004E42CF">
        <w:rPr>
          <w:rFonts w:ascii="Cambria" w:hAnsi="Cambria"/>
          <w:color w:val="000000" w:themeColor="text1"/>
          <w:sz w:val="24"/>
          <w:szCs w:val="24"/>
        </w:rPr>
        <w:t xml:space="preserve"> certain costs and expenses that are contractually reimbursed to us by hotel owners for</w:t>
      </w:r>
      <w:r w:rsidR="004E42CF">
        <w:rPr>
          <w:rFonts w:ascii="Cambria" w:hAnsi="Cambria"/>
          <w:color w:val="000000" w:themeColor="text1"/>
          <w:sz w:val="24"/>
          <w:szCs w:val="24"/>
        </w:rPr>
        <w:t xml:space="preserve"> </w:t>
      </w:r>
      <w:r w:rsidR="004E42CF" w:rsidRPr="004E42CF">
        <w:rPr>
          <w:rFonts w:ascii="Cambria" w:hAnsi="Cambria"/>
          <w:color w:val="000000" w:themeColor="text1"/>
          <w:sz w:val="24"/>
          <w:szCs w:val="24"/>
        </w:rPr>
        <w:t>payroll and related costs for properties</w:t>
      </w:r>
      <w:r w:rsidR="004E42CF">
        <w:rPr>
          <w:rFonts w:ascii="Cambria" w:hAnsi="Cambria"/>
          <w:color w:val="000000" w:themeColor="text1"/>
          <w:sz w:val="24"/>
          <w:szCs w:val="24"/>
        </w:rPr>
        <w:t>.</w:t>
      </w:r>
    </w:p>
    <w:p w14:paraId="26A29EB0" w14:textId="716C53C9" w:rsidR="00CC1984" w:rsidRDefault="00D11D07">
      <w:pPr>
        <w:rPr>
          <w:rFonts w:ascii="Cambria" w:hAnsi="Cambria"/>
          <w:b/>
          <w:bCs/>
          <w:sz w:val="28"/>
          <w:szCs w:val="28"/>
        </w:rPr>
      </w:pPr>
      <w:r>
        <w:rPr>
          <w:noProof/>
        </w:rPr>
        <w:lastRenderedPageBreak/>
        <w:drawing>
          <wp:inline distT="0" distB="0" distL="0" distR="0" wp14:anchorId="6E9E8C82" wp14:editId="6829CF5B">
            <wp:extent cx="5699760" cy="2651760"/>
            <wp:effectExtent l="0" t="0" r="15240" b="15240"/>
            <wp:docPr id="1" name="Chart 1">
              <a:extLst xmlns:a="http://schemas.openxmlformats.org/drawingml/2006/main">
                <a:ext uri="{FF2B5EF4-FFF2-40B4-BE49-F238E27FC236}">
                  <a16:creationId xmlns:a16="http://schemas.microsoft.com/office/drawing/2014/main" id="{DC1FF12B-E3EB-4D91-AFA5-5D80E04A00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3D72C1C" w14:textId="26E4D335" w:rsidR="004E42CF" w:rsidRDefault="00D048F6" w:rsidP="00D048F6">
      <w:pPr>
        <w:pStyle w:val="ListParagraph"/>
        <w:numPr>
          <w:ilvl w:val="0"/>
          <w:numId w:val="1"/>
        </w:numPr>
        <w:rPr>
          <w:rFonts w:ascii="Cambria" w:hAnsi="Cambria"/>
          <w:sz w:val="24"/>
          <w:szCs w:val="24"/>
        </w:rPr>
      </w:pPr>
      <w:r w:rsidRPr="00D048F6">
        <w:rPr>
          <w:rFonts w:ascii="Cambria" w:hAnsi="Cambria"/>
          <w:sz w:val="24"/>
          <w:szCs w:val="24"/>
        </w:rPr>
        <w:t xml:space="preserve">RevPAR </w:t>
      </w:r>
      <w:r>
        <w:rPr>
          <w:rFonts w:ascii="Cambria" w:hAnsi="Cambria"/>
          <w:sz w:val="24"/>
          <w:szCs w:val="24"/>
        </w:rPr>
        <w:t>shows an upward trend and a steady growth as a revenue driver from 2020 to 2022.</w:t>
      </w:r>
    </w:p>
    <w:p w14:paraId="33874F54" w14:textId="77777777" w:rsidR="005977AC" w:rsidRDefault="005977AC" w:rsidP="005977AC">
      <w:pPr>
        <w:pStyle w:val="ListParagraph"/>
        <w:rPr>
          <w:rFonts w:ascii="Cambria" w:hAnsi="Cambria"/>
          <w:sz w:val="24"/>
          <w:szCs w:val="24"/>
        </w:rPr>
      </w:pPr>
    </w:p>
    <w:p w14:paraId="3CABBD54" w14:textId="68FB1065" w:rsidR="00D048F6" w:rsidRDefault="00D048F6" w:rsidP="00D048F6">
      <w:pPr>
        <w:pStyle w:val="ListParagraph"/>
        <w:numPr>
          <w:ilvl w:val="0"/>
          <w:numId w:val="1"/>
        </w:numPr>
        <w:rPr>
          <w:rFonts w:ascii="Cambria" w:hAnsi="Cambria"/>
          <w:sz w:val="24"/>
          <w:szCs w:val="24"/>
        </w:rPr>
      </w:pPr>
      <w:r>
        <w:rPr>
          <w:rFonts w:ascii="Cambria" w:hAnsi="Cambria"/>
          <w:sz w:val="24"/>
          <w:szCs w:val="24"/>
        </w:rPr>
        <w:t>ADR shows a 12 % increase</w:t>
      </w:r>
      <w:r w:rsidR="00B21C69">
        <w:rPr>
          <w:rFonts w:ascii="Cambria" w:hAnsi="Cambria"/>
          <w:sz w:val="24"/>
          <w:szCs w:val="24"/>
        </w:rPr>
        <w:t xml:space="preserve"> from 2020 to 2021 and increased by 19 % in 2022 with respect to 2021.</w:t>
      </w:r>
    </w:p>
    <w:p w14:paraId="586BD7FC" w14:textId="77777777" w:rsidR="005977AC" w:rsidRPr="005977AC" w:rsidRDefault="005977AC" w:rsidP="005977AC">
      <w:pPr>
        <w:pStyle w:val="ListParagraph"/>
        <w:rPr>
          <w:rFonts w:ascii="Cambria" w:hAnsi="Cambria"/>
          <w:sz w:val="24"/>
          <w:szCs w:val="24"/>
        </w:rPr>
      </w:pPr>
    </w:p>
    <w:p w14:paraId="57E68923" w14:textId="44C97162" w:rsidR="00B21C69" w:rsidRPr="00D048F6" w:rsidRDefault="00B21C69" w:rsidP="00D048F6">
      <w:pPr>
        <w:pStyle w:val="ListParagraph"/>
        <w:numPr>
          <w:ilvl w:val="0"/>
          <w:numId w:val="1"/>
        </w:numPr>
        <w:rPr>
          <w:rFonts w:ascii="Cambria" w:hAnsi="Cambria"/>
          <w:sz w:val="24"/>
          <w:szCs w:val="24"/>
        </w:rPr>
      </w:pPr>
      <w:r>
        <w:rPr>
          <w:rFonts w:ascii="Cambria" w:hAnsi="Cambria"/>
          <w:sz w:val="24"/>
          <w:szCs w:val="24"/>
        </w:rPr>
        <w:t xml:space="preserve">Occupancy has increased by 45 % and 25 % in 2021 and 2022 with respect </w:t>
      </w:r>
      <w:r w:rsidR="00FF1723">
        <w:rPr>
          <w:rFonts w:ascii="Cambria" w:hAnsi="Cambria"/>
          <w:sz w:val="24"/>
          <w:szCs w:val="24"/>
        </w:rPr>
        <w:t>to 2020</w:t>
      </w:r>
      <w:r>
        <w:rPr>
          <w:rFonts w:ascii="Cambria" w:hAnsi="Cambria"/>
          <w:sz w:val="24"/>
          <w:szCs w:val="24"/>
        </w:rPr>
        <w:t xml:space="preserve"> and 2021 respectively.</w:t>
      </w:r>
    </w:p>
    <w:p w14:paraId="1566090F" w14:textId="018139E3" w:rsidR="00D11D07" w:rsidRDefault="00D11D07">
      <w:pPr>
        <w:rPr>
          <w:rFonts w:ascii="Cambria" w:hAnsi="Cambria"/>
          <w:b/>
          <w:bCs/>
          <w:sz w:val="28"/>
          <w:szCs w:val="28"/>
        </w:rPr>
      </w:pPr>
      <w:r>
        <w:rPr>
          <w:noProof/>
        </w:rPr>
        <w:drawing>
          <wp:inline distT="0" distB="0" distL="0" distR="0" wp14:anchorId="62DE5D81" wp14:editId="6E5360C4">
            <wp:extent cx="5731510" cy="2743200"/>
            <wp:effectExtent l="0" t="0" r="2540" b="0"/>
            <wp:docPr id="2" name="Chart 2">
              <a:extLst xmlns:a="http://schemas.openxmlformats.org/drawingml/2006/main">
                <a:ext uri="{FF2B5EF4-FFF2-40B4-BE49-F238E27FC236}">
                  <a16:creationId xmlns:a16="http://schemas.microsoft.com/office/drawing/2014/main" id="{DC4BA8B2-E88C-45B6-96F5-34D216E465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59669CB" w14:textId="514C7DF1" w:rsidR="00D11D07" w:rsidRPr="005977AC" w:rsidRDefault="00FF1723" w:rsidP="00FF1723">
      <w:pPr>
        <w:pStyle w:val="ListParagraph"/>
        <w:numPr>
          <w:ilvl w:val="0"/>
          <w:numId w:val="2"/>
        </w:numPr>
        <w:rPr>
          <w:rFonts w:ascii="Cambria" w:hAnsi="Cambria"/>
          <w:b/>
          <w:bCs/>
          <w:sz w:val="24"/>
          <w:szCs w:val="24"/>
        </w:rPr>
      </w:pPr>
      <w:bookmarkStart w:id="1" w:name="_Hlk158405853"/>
      <w:r w:rsidRPr="00522F6C">
        <w:rPr>
          <w:rFonts w:ascii="Cambria" w:hAnsi="Cambria"/>
          <w:sz w:val="24"/>
          <w:szCs w:val="24"/>
        </w:rPr>
        <w:t xml:space="preserve">Number of managed properties have </w:t>
      </w:r>
      <w:r w:rsidR="005977AC">
        <w:rPr>
          <w:rFonts w:ascii="Cambria" w:hAnsi="Cambria"/>
          <w:sz w:val="24"/>
          <w:szCs w:val="24"/>
        </w:rPr>
        <w:t xml:space="preserve">slightly </w:t>
      </w:r>
      <w:r w:rsidRPr="00522F6C">
        <w:rPr>
          <w:rFonts w:ascii="Cambria" w:hAnsi="Cambria"/>
          <w:sz w:val="24"/>
          <w:szCs w:val="24"/>
        </w:rPr>
        <w:t xml:space="preserve">declined in 2021 and </w:t>
      </w:r>
      <w:r w:rsidR="005977AC">
        <w:rPr>
          <w:rFonts w:ascii="Cambria" w:hAnsi="Cambria"/>
          <w:sz w:val="24"/>
          <w:szCs w:val="24"/>
        </w:rPr>
        <w:t>slightly</w:t>
      </w:r>
      <w:r w:rsidR="00522F6C" w:rsidRPr="00522F6C">
        <w:rPr>
          <w:rFonts w:ascii="Cambria" w:hAnsi="Cambria"/>
          <w:sz w:val="24"/>
          <w:szCs w:val="24"/>
        </w:rPr>
        <w:t xml:space="preserve"> increase in 2022.</w:t>
      </w:r>
    </w:p>
    <w:p w14:paraId="3C5487ED" w14:textId="77777777" w:rsidR="005977AC" w:rsidRPr="00522F6C" w:rsidRDefault="005977AC" w:rsidP="005977AC">
      <w:pPr>
        <w:pStyle w:val="ListParagraph"/>
        <w:rPr>
          <w:rFonts w:ascii="Cambria" w:hAnsi="Cambria"/>
          <w:b/>
          <w:bCs/>
          <w:sz w:val="24"/>
          <w:szCs w:val="24"/>
        </w:rPr>
      </w:pPr>
    </w:p>
    <w:bookmarkEnd w:id="1"/>
    <w:p w14:paraId="32C0B6DC" w14:textId="2BF5CC4A" w:rsidR="00522F6C" w:rsidRPr="005977AC" w:rsidRDefault="00522F6C" w:rsidP="00FF1723">
      <w:pPr>
        <w:pStyle w:val="ListParagraph"/>
        <w:numPr>
          <w:ilvl w:val="0"/>
          <w:numId w:val="2"/>
        </w:numPr>
        <w:rPr>
          <w:rFonts w:ascii="Cambria" w:hAnsi="Cambria"/>
          <w:b/>
          <w:bCs/>
          <w:sz w:val="24"/>
          <w:szCs w:val="24"/>
        </w:rPr>
      </w:pPr>
      <w:r>
        <w:rPr>
          <w:rFonts w:ascii="Cambria" w:hAnsi="Cambria"/>
          <w:sz w:val="24"/>
          <w:szCs w:val="24"/>
        </w:rPr>
        <w:t>Number of franchised/licensed properties have increased by 7% and 4% in 2021 and 2022 respectively.</w:t>
      </w:r>
    </w:p>
    <w:p w14:paraId="7BAC44C7" w14:textId="77777777" w:rsidR="005977AC" w:rsidRPr="005977AC" w:rsidRDefault="005977AC" w:rsidP="005977AC">
      <w:pPr>
        <w:pStyle w:val="ListParagraph"/>
        <w:rPr>
          <w:rFonts w:ascii="Cambria" w:hAnsi="Cambria"/>
          <w:b/>
          <w:bCs/>
          <w:sz w:val="24"/>
          <w:szCs w:val="24"/>
        </w:rPr>
      </w:pPr>
    </w:p>
    <w:p w14:paraId="2E893CCF" w14:textId="7FFBD487" w:rsidR="00522F6C" w:rsidRPr="00522F6C" w:rsidRDefault="00522F6C" w:rsidP="00FF1723">
      <w:pPr>
        <w:pStyle w:val="ListParagraph"/>
        <w:numPr>
          <w:ilvl w:val="0"/>
          <w:numId w:val="2"/>
        </w:numPr>
        <w:rPr>
          <w:rFonts w:ascii="Cambria" w:hAnsi="Cambria"/>
          <w:b/>
          <w:bCs/>
          <w:sz w:val="24"/>
          <w:szCs w:val="24"/>
        </w:rPr>
      </w:pPr>
      <w:r>
        <w:rPr>
          <w:rFonts w:ascii="Cambria" w:hAnsi="Cambria"/>
          <w:sz w:val="24"/>
          <w:szCs w:val="24"/>
        </w:rPr>
        <w:t>Number of owned /leased properties have shown a consistent over the years and number of residential properties ha</w:t>
      </w:r>
      <w:r w:rsidR="00702CD5">
        <w:rPr>
          <w:rFonts w:ascii="Cambria" w:hAnsi="Cambria"/>
          <w:sz w:val="24"/>
          <w:szCs w:val="24"/>
        </w:rPr>
        <w:t>ve</w:t>
      </w:r>
      <w:r>
        <w:rPr>
          <w:rFonts w:ascii="Cambria" w:hAnsi="Cambria"/>
          <w:sz w:val="24"/>
          <w:szCs w:val="24"/>
        </w:rPr>
        <w:t xml:space="preserve"> increased by 11 % from 2021 to 2022.</w:t>
      </w:r>
    </w:p>
    <w:p w14:paraId="6645A0F0" w14:textId="0C4C8C36" w:rsidR="00D11D07" w:rsidRDefault="00D11D07" w:rsidP="003C442C">
      <w:pPr>
        <w:pStyle w:val="ListParagraph"/>
        <w:ind w:left="0"/>
        <w:rPr>
          <w:rFonts w:ascii="Cambria" w:hAnsi="Cambria"/>
          <w:b/>
          <w:bCs/>
          <w:sz w:val="28"/>
          <w:szCs w:val="28"/>
        </w:rPr>
      </w:pPr>
      <w:r>
        <w:rPr>
          <w:noProof/>
        </w:rPr>
        <w:lastRenderedPageBreak/>
        <w:drawing>
          <wp:inline distT="0" distB="0" distL="0" distR="0" wp14:anchorId="72DAAF64" wp14:editId="73D51C16">
            <wp:extent cx="5731510" cy="3345180"/>
            <wp:effectExtent l="0" t="0" r="2540" b="7620"/>
            <wp:docPr id="3" name="Chart 3">
              <a:extLst xmlns:a="http://schemas.openxmlformats.org/drawingml/2006/main">
                <a:ext uri="{FF2B5EF4-FFF2-40B4-BE49-F238E27FC236}">
                  <a16:creationId xmlns:a16="http://schemas.microsoft.com/office/drawing/2014/main" id="{AF7963F9-F93A-4D9D-B152-42F45E7B9E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ABA5D1" w14:textId="27053797" w:rsidR="003C442C" w:rsidRDefault="003C442C" w:rsidP="003C442C">
      <w:pPr>
        <w:pStyle w:val="ListParagraph"/>
        <w:ind w:left="0"/>
        <w:rPr>
          <w:rFonts w:ascii="Cambria" w:hAnsi="Cambria"/>
          <w:b/>
          <w:bCs/>
          <w:sz w:val="28"/>
          <w:szCs w:val="28"/>
        </w:rPr>
      </w:pPr>
    </w:p>
    <w:p w14:paraId="0B493FC6" w14:textId="7E885BF7" w:rsidR="00A65781" w:rsidRPr="005977AC" w:rsidRDefault="00A65781" w:rsidP="00A65781">
      <w:pPr>
        <w:pStyle w:val="ListParagraph"/>
        <w:numPr>
          <w:ilvl w:val="0"/>
          <w:numId w:val="3"/>
        </w:numPr>
        <w:rPr>
          <w:rFonts w:ascii="Cambria" w:hAnsi="Cambria"/>
          <w:b/>
          <w:bCs/>
          <w:sz w:val="24"/>
          <w:szCs w:val="24"/>
        </w:rPr>
      </w:pPr>
      <w:r w:rsidRPr="00522F6C">
        <w:rPr>
          <w:rFonts w:ascii="Cambria" w:hAnsi="Cambria"/>
          <w:sz w:val="24"/>
          <w:szCs w:val="24"/>
        </w:rPr>
        <w:t xml:space="preserve">Number of managed </w:t>
      </w:r>
      <w:r>
        <w:rPr>
          <w:rFonts w:ascii="Cambria" w:hAnsi="Cambria"/>
          <w:sz w:val="24"/>
          <w:szCs w:val="24"/>
        </w:rPr>
        <w:t>rooms</w:t>
      </w:r>
      <w:r w:rsidRPr="00522F6C">
        <w:rPr>
          <w:rFonts w:ascii="Cambria" w:hAnsi="Cambria"/>
          <w:sz w:val="24"/>
          <w:szCs w:val="24"/>
        </w:rPr>
        <w:t xml:space="preserve"> have </w:t>
      </w:r>
      <w:r>
        <w:rPr>
          <w:rFonts w:ascii="Cambria" w:hAnsi="Cambria"/>
          <w:sz w:val="24"/>
          <w:szCs w:val="24"/>
        </w:rPr>
        <w:t xml:space="preserve">slightly </w:t>
      </w:r>
      <w:r w:rsidRPr="00522F6C">
        <w:rPr>
          <w:rFonts w:ascii="Cambria" w:hAnsi="Cambria"/>
          <w:sz w:val="24"/>
          <w:szCs w:val="24"/>
        </w:rPr>
        <w:t xml:space="preserve">declined </w:t>
      </w:r>
      <w:r>
        <w:rPr>
          <w:rFonts w:ascii="Cambria" w:hAnsi="Cambria"/>
          <w:sz w:val="24"/>
          <w:szCs w:val="24"/>
        </w:rPr>
        <w:t xml:space="preserve">by 3% </w:t>
      </w:r>
      <w:r w:rsidRPr="00522F6C">
        <w:rPr>
          <w:rFonts w:ascii="Cambria" w:hAnsi="Cambria"/>
          <w:sz w:val="24"/>
          <w:szCs w:val="24"/>
        </w:rPr>
        <w:t>in 2021 and a</w:t>
      </w:r>
      <w:r>
        <w:rPr>
          <w:rFonts w:ascii="Cambria" w:hAnsi="Cambria"/>
          <w:sz w:val="24"/>
          <w:szCs w:val="24"/>
        </w:rPr>
        <w:t xml:space="preserve">gain slightly </w:t>
      </w:r>
      <w:r w:rsidRPr="00522F6C">
        <w:rPr>
          <w:rFonts w:ascii="Cambria" w:hAnsi="Cambria"/>
          <w:sz w:val="24"/>
          <w:szCs w:val="24"/>
        </w:rPr>
        <w:t>increase</w:t>
      </w:r>
      <w:r>
        <w:rPr>
          <w:rFonts w:ascii="Cambria" w:hAnsi="Cambria"/>
          <w:sz w:val="24"/>
          <w:szCs w:val="24"/>
        </w:rPr>
        <w:t>d by 1%</w:t>
      </w:r>
      <w:r w:rsidRPr="00522F6C">
        <w:rPr>
          <w:rFonts w:ascii="Cambria" w:hAnsi="Cambria"/>
          <w:sz w:val="24"/>
          <w:szCs w:val="24"/>
        </w:rPr>
        <w:t xml:space="preserve"> in 2022.</w:t>
      </w:r>
    </w:p>
    <w:p w14:paraId="503D15A1" w14:textId="77777777" w:rsidR="005977AC" w:rsidRPr="00522F6C" w:rsidRDefault="005977AC" w:rsidP="005977AC">
      <w:pPr>
        <w:pStyle w:val="ListParagraph"/>
        <w:rPr>
          <w:rFonts w:ascii="Cambria" w:hAnsi="Cambria"/>
          <w:b/>
          <w:bCs/>
          <w:sz w:val="24"/>
          <w:szCs w:val="24"/>
        </w:rPr>
      </w:pPr>
    </w:p>
    <w:p w14:paraId="0E326EA8" w14:textId="52280375" w:rsidR="003C442C" w:rsidRPr="005977AC" w:rsidRDefault="00A65781" w:rsidP="00A65781">
      <w:pPr>
        <w:pStyle w:val="ListParagraph"/>
        <w:numPr>
          <w:ilvl w:val="0"/>
          <w:numId w:val="3"/>
        </w:numPr>
        <w:rPr>
          <w:rFonts w:ascii="Cambria" w:hAnsi="Cambria"/>
          <w:b/>
          <w:bCs/>
          <w:sz w:val="28"/>
          <w:szCs w:val="28"/>
        </w:rPr>
      </w:pPr>
      <w:r>
        <w:rPr>
          <w:rFonts w:ascii="Cambria" w:hAnsi="Cambria"/>
          <w:sz w:val="24"/>
          <w:szCs w:val="24"/>
        </w:rPr>
        <w:t xml:space="preserve">Number of franchised/licensed rooms have increased by 7% </w:t>
      </w:r>
      <w:r w:rsidR="00702CD5">
        <w:rPr>
          <w:rFonts w:ascii="Cambria" w:hAnsi="Cambria"/>
          <w:sz w:val="24"/>
          <w:szCs w:val="24"/>
        </w:rPr>
        <w:t xml:space="preserve">in 2021 </w:t>
      </w:r>
      <w:r>
        <w:rPr>
          <w:rFonts w:ascii="Cambria" w:hAnsi="Cambria"/>
          <w:sz w:val="24"/>
          <w:szCs w:val="24"/>
        </w:rPr>
        <w:t xml:space="preserve">and </w:t>
      </w:r>
      <w:r w:rsidR="00702CD5">
        <w:rPr>
          <w:rFonts w:ascii="Cambria" w:hAnsi="Cambria"/>
          <w:sz w:val="24"/>
          <w:szCs w:val="24"/>
        </w:rPr>
        <w:t xml:space="preserve">further increased by </w:t>
      </w:r>
      <w:r>
        <w:rPr>
          <w:rFonts w:ascii="Cambria" w:hAnsi="Cambria"/>
          <w:sz w:val="24"/>
          <w:szCs w:val="24"/>
        </w:rPr>
        <w:t>4% in 2022</w:t>
      </w:r>
      <w:r w:rsidR="00702CD5">
        <w:rPr>
          <w:rFonts w:ascii="Cambria" w:hAnsi="Cambria"/>
          <w:sz w:val="24"/>
          <w:szCs w:val="24"/>
        </w:rPr>
        <w:t>.</w:t>
      </w:r>
    </w:p>
    <w:p w14:paraId="42424044" w14:textId="77777777" w:rsidR="005977AC" w:rsidRPr="005977AC" w:rsidRDefault="005977AC" w:rsidP="005977AC">
      <w:pPr>
        <w:pStyle w:val="ListParagraph"/>
        <w:rPr>
          <w:rFonts w:ascii="Cambria" w:hAnsi="Cambria"/>
          <w:b/>
          <w:bCs/>
          <w:sz w:val="28"/>
          <w:szCs w:val="28"/>
        </w:rPr>
      </w:pPr>
    </w:p>
    <w:p w14:paraId="4150A2AD" w14:textId="76C6C10C" w:rsidR="00702CD5" w:rsidRPr="00522F6C" w:rsidRDefault="00702CD5" w:rsidP="00702CD5">
      <w:pPr>
        <w:pStyle w:val="ListParagraph"/>
        <w:numPr>
          <w:ilvl w:val="0"/>
          <w:numId w:val="3"/>
        </w:numPr>
        <w:rPr>
          <w:rFonts w:ascii="Cambria" w:hAnsi="Cambria"/>
          <w:b/>
          <w:bCs/>
          <w:sz w:val="24"/>
          <w:szCs w:val="24"/>
        </w:rPr>
      </w:pPr>
      <w:r>
        <w:rPr>
          <w:rFonts w:ascii="Cambria" w:hAnsi="Cambria"/>
          <w:sz w:val="24"/>
          <w:szCs w:val="24"/>
        </w:rPr>
        <w:t>Number of owned /leased rooms have shown a consistent over the years and number of residential rooms have increased by 16 % from 2021 to 2022.</w:t>
      </w:r>
    </w:p>
    <w:p w14:paraId="6BB5C6F2" w14:textId="48D07345" w:rsidR="00702CD5" w:rsidRDefault="00702CD5" w:rsidP="00702CD5">
      <w:pPr>
        <w:pStyle w:val="ListParagraph"/>
        <w:rPr>
          <w:rFonts w:ascii="Cambria" w:hAnsi="Cambria"/>
          <w:b/>
          <w:bCs/>
          <w:sz w:val="28"/>
          <w:szCs w:val="28"/>
        </w:rPr>
      </w:pPr>
    </w:p>
    <w:p w14:paraId="0C0A7DFB" w14:textId="41E8E777" w:rsidR="00D11D07" w:rsidRDefault="00D11D07">
      <w:pPr>
        <w:rPr>
          <w:rFonts w:ascii="Cambria" w:hAnsi="Cambria"/>
          <w:b/>
          <w:bCs/>
          <w:sz w:val="28"/>
          <w:szCs w:val="28"/>
        </w:rPr>
      </w:pPr>
      <w:r>
        <w:rPr>
          <w:noProof/>
        </w:rPr>
        <w:drawing>
          <wp:inline distT="0" distB="0" distL="0" distR="0" wp14:anchorId="43DAA3B6" wp14:editId="636F5E07">
            <wp:extent cx="5234940" cy="3223260"/>
            <wp:effectExtent l="0" t="0" r="3810" b="15240"/>
            <wp:docPr id="4" name="Chart 4">
              <a:extLst xmlns:a="http://schemas.openxmlformats.org/drawingml/2006/main">
                <a:ext uri="{FF2B5EF4-FFF2-40B4-BE49-F238E27FC236}">
                  <a16:creationId xmlns:a16="http://schemas.microsoft.com/office/drawing/2014/main" id="{5950B824-824F-4712-9644-1F8EB42D01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048EAF" w14:textId="5638D7FF" w:rsidR="00702CD5" w:rsidRPr="005977AC" w:rsidRDefault="00702CD5" w:rsidP="005977AC">
      <w:pPr>
        <w:pStyle w:val="ListParagraph"/>
        <w:numPr>
          <w:ilvl w:val="0"/>
          <w:numId w:val="4"/>
        </w:numPr>
        <w:spacing w:after="0"/>
        <w:rPr>
          <w:rFonts w:ascii="Cambria" w:hAnsi="Cambria"/>
          <w:b/>
          <w:bCs/>
          <w:sz w:val="28"/>
          <w:szCs w:val="28"/>
        </w:rPr>
      </w:pPr>
      <w:bookmarkStart w:id="2" w:name="_Hlk158407336"/>
      <w:r>
        <w:rPr>
          <w:rFonts w:ascii="Cambria" w:hAnsi="Cambria"/>
          <w:sz w:val="24"/>
          <w:szCs w:val="24"/>
        </w:rPr>
        <w:lastRenderedPageBreak/>
        <w:t>Base management fees have increased in 2021 and 2022 by 51 % and 56 % respectively.</w:t>
      </w:r>
    </w:p>
    <w:p w14:paraId="69878247" w14:textId="77777777" w:rsidR="005977AC" w:rsidRPr="005977AC" w:rsidRDefault="005977AC" w:rsidP="005977AC">
      <w:pPr>
        <w:pStyle w:val="ListParagraph"/>
        <w:spacing w:after="0"/>
        <w:rPr>
          <w:rFonts w:ascii="Cambria" w:hAnsi="Cambria"/>
          <w:b/>
          <w:bCs/>
          <w:sz w:val="28"/>
          <w:szCs w:val="28"/>
        </w:rPr>
      </w:pPr>
    </w:p>
    <w:p w14:paraId="5277C93A" w14:textId="41186640" w:rsidR="005977AC" w:rsidRPr="005977AC" w:rsidRDefault="00EC7693" w:rsidP="005977AC">
      <w:pPr>
        <w:pStyle w:val="ListParagraph"/>
        <w:numPr>
          <w:ilvl w:val="0"/>
          <w:numId w:val="4"/>
        </w:numPr>
        <w:spacing w:after="0"/>
        <w:rPr>
          <w:rFonts w:ascii="Cambria" w:hAnsi="Cambria"/>
          <w:b/>
          <w:bCs/>
          <w:sz w:val="28"/>
          <w:szCs w:val="28"/>
        </w:rPr>
      </w:pPr>
      <w:r w:rsidRPr="005977AC">
        <w:rPr>
          <w:rFonts w:ascii="Cambria" w:hAnsi="Cambria"/>
          <w:sz w:val="24"/>
          <w:szCs w:val="24"/>
        </w:rPr>
        <w:t>Franchise fees have also increased in 2021 and 2022 by 55 % and 40 % respectively.</w:t>
      </w:r>
    </w:p>
    <w:p w14:paraId="21C660AE" w14:textId="77777777" w:rsidR="005977AC" w:rsidRPr="005977AC" w:rsidRDefault="005977AC" w:rsidP="005977AC">
      <w:pPr>
        <w:pStyle w:val="ListParagraph"/>
        <w:spacing w:after="0"/>
        <w:rPr>
          <w:rFonts w:ascii="Cambria" w:hAnsi="Cambria"/>
          <w:b/>
          <w:bCs/>
          <w:sz w:val="28"/>
          <w:szCs w:val="28"/>
        </w:rPr>
      </w:pPr>
    </w:p>
    <w:p w14:paraId="7A0ADE55" w14:textId="60177532" w:rsidR="00702CD5" w:rsidRPr="005977AC" w:rsidRDefault="00EC7693" w:rsidP="005977AC">
      <w:pPr>
        <w:pStyle w:val="ListParagraph"/>
        <w:numPr>
          <w:ilvl w:val="0"/>
          <w:numId w:val="4"/>
        </w:numPr>
        <w:spacing w:after="0"/>
        <w:rPr>
          <w:rFonts w:ascii="Cambria" w:hAnsi="Cambria"/>
          <w:b/>
          <w:bCs/>
          <w:sz w:val="28"/>
          <w:szCs w:val="28"/>
        </w:rPr>
      </w:pPr>
      <w:r>
        <w:rPr>
          <w:rFonts w:ascii="Cambria" w:hAnsi="Cambria"/>
          <w:sz w:val="24"/>
          <w:szCs w:val="24"/>
        </w:rPr>
        <w:t>Incentive management</w:t>
      </w:r>
      <w:r w:rsidR="00702CD5">
        <w:rPr>
          <w:rFonts w:ascii="Cambria" w:hAnsi="Cambria"/>
          <w:sz w:val="24"/>
          <w:szCs w:val="24"/>
        </w:rPr>
        <w:t xml:space="preserve"> fees have increased in 2021 and 2022 by </w:t>
      </w:r>
      <w:r>
        <w:rPr>
          <w:rFonts w:ascii="Cambria" w:hAnsi="Cambria"/>
          <w:sz w:val="24"/>
          <w:szCs w:val="24"/>
        </w:rPr>
        <w:t>170 % and    125 % respectively.</w:t>
      </w:r>
    </w:p>
    <w:p w14:paraId="09F5B75E" w14:textId="77777777" w:rsidR="005977AC" w:rsidRPr="005977AC" w:rsidRDefault="005977AC" w:rsidP="005977AC">
      <w:pPr>
        <w:pStyle w:val="ListParagraph"/>
        <w:spacing w:after="0"/>
        <w:rPr>
          <w:rFonts w:ascii="Cambria" w:hAnsi="Cambria"/>
          <w:b/>
          <w:bCs/>
          <w:sz w:val="28"/>
          <w:szCs w:val="28"/>
        </w:rPr>
      </w:pPr>
    </w:p>
    <w:p w14:paraId="447F136D" w14:textId="13572789" w:rsidR="00EC7693" w:rsidRDefault="00EC7693" w:rsidP="005977AC">
      <w:pPr>
        <w:pStyle w:val="ListParagraph"/>
        <w:numPr>
          <w:ilvl w:val="0"/>
          <w:numId w:val="4"/>
        </w:numPr>
        <w:spacing w:after="0"/>
        <w:rPr>
          <w:rFonts w:ascii="Cambria" w:hAnsi="Cambria"/>
          <w:sz w:val="24"/>
          <w:szCs w:val="24"/>
        </w:rPr>
      </w:pPr>
      <w:r w:rsidRPr="00EC7693">
        <w:rPr>
          <w:rFonts w:ascii="Cambria" w:hAnsi="Cambria"/>
          <w:sz w:val="24"/>
          <w:szCs w:val="24"/>
        </w:rPr>
        <w:t>Owned</w:t>
      </w:r>
      <w:r>
        <w:rPr>
          <w:rFonts w:ascii="Cambria" w:hAnsi="Cambria"/>
          <w:sz w:val="24"/>
          <w:szCs w:val="24"/>
        </w:rPr>
        <w:t>, leased, and</w:t>
      </w:r>
      <w:r w:rsidRPr="00EC7693">
        <w:rPr>
          <w:rFonts w:ascii="Cambria" w:hAnsi="Cambria"/>
          <w:sz w:val="24"/>
          <w:szCs w:val="24"/>
        </w:rPr>
        <w:t xml:space="preserve"> other revenue </w:t>
      </w:r>
      <w:r>
        <w:rPr>
          <w:rFonts w:ascii="Cambria" w:hAnsi="Cambria"/>
          <w:sz w:val="24"/>
          <w:szCs w:val="24"/>
        </w:rPr>
        <w:t>have also increased in 2021 and 2022 by 40 % and 72 % respectively.</w:t>
      </w:r>
    </w:p>
    <w:p w14:paraId="072019AC" w14:textId="77777777" w:rsidR="005977AC" w:rsidRPr="005977AC" w:rsidRDefault="005977AC" w:rsidP="005977AC">
      <w:pPr>
        <w:pStyle w:val="ListParagraph"/>
        <w:spacing w:after="0"/>
        <w:rPr>
          <w:rFonts w:ascii="Cambria" w:hAnsi="Cambria"/>
          <w:sz w:val="24"/>
          <w:szCs w:val="24"/>
        </w:rPr>
      </w:pPr>
    </w:p>
    <w:p w14:paraId="0E975244" w14:textId="13B4161E" w:rsidR="00EC7693" w:rsidRDefault="00EC7693" w:rsidP="005977AC">
      <w:pPr>
        <w:pStyle w:val="ListParagraph"/>
        <w:numPr>
          <w:ilvl w:val="0"/>
          <w:numId w:val="4"/>
        </w:numPr>
        <w:spacing w:after="0"/>
        <w:rPr>
          <w:rFonts w:ascii="Cambria" w:hAnsi="Cambria"/>
          <w:sz w:val="24"/>
          <w:szCs w:val="24"/>
        </w:rPr>
      </w:pPr>
      <w:r>
        <w:rPr>
          <w:rFonts w:ascii="Cambria" w:hAnsi="Cambria"/>
          <w:sz w:val="24"/>
          <w:szCs w:val="24"/>
        </w:rPr>
        <w:t>Cost reimbursement revenue has also increased in 2021 and 2022 by 24 % and 48 % respectively.</w:t>
      </w:r>
    </w:p>
    <w:p w14:paraId="2FA08619" w14:textId="77777777" w:rsidR="00956183" w:rsidRPr="00956183" w:rsidRDefault="00956183" w:rsidP="00956183">
      <w:pPr>
        <w:pStyle w:val="ListParagraph"/>
        <w:rPr>
          <w:rFonts w:ascii="Cambria" w:hAnsi="Cambria"/>
          <w:sz w:val="24"/>
          <w:szCs w:val="24"/>
        </w:rPr>
      </w:pPr>
    </w:p>
    <w:bookmarkEnd w:id="2"/>
    <w:p w14:paraId="762EA75B" w14:textId="7A09048F" w:rsidR="00D11D07" w:rsidRDefault="00D11D07">
      <w:pPr>
        <w:rPr>
          <w:rFonts w:ascii="Cambria" w:hAnsi="Cambria"/>
          <w:b/>
          <w:bCs/>
          <w:sz w:val="28"/>
          <w:szCs w:val="28"/>
        </w:rPr>
      </w:pPr>
      <w:r>
        <w:rPr>
          <w:noProof/>
        </w:rPr>
        <w:drawing>
          <wp:inline distT="0" distB="0" distL="0" distR="0" wp14:anchorId="6BAF30D5" wp14:editId="6237BB3F">
            <wp:extent cx="5731510" cy="2941320"/>
            <wp:effectExtent l="0" t="0" r="2540" b="11430"/>
            <wp:docPr id="5" name="Chart 5">
              <a:extLst xmlns:a="http://schemas.openxmlformats.org/drawingml/2006/main">
                <a:ext uri="{FF2B5EF4-FFF2-40B4-BE49-F238E27FC236}">
                  <a16:creationId xmlns:a16="http://schemas.microsoft.com/office/drawing/2014/main" id="{027A4DAD-C2ED-495E-B062-3A7CD62F2B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F04E2C" w14:textId="0EB81FFE" w:rsidR="00EC7693" w:rsidRPr="005977AC" w:rsidRDefault="00EC7693" w:rsidP="005977AC">
      <w:pPr>
        <w:pStyle w:val="ListParagraph"/>
        <w:numPr>
          <w:ilvl w:val="0"/>
          <w:numId w:val="4"/>
        </w:numPr>
        <w:spacing w:after="0"/>
        <w:rPr>
          <w:rFonts w:ascii="Cambria" w:hAnsi="Cambria"/>
          <w:b/>
          <w:bCs/>
          <w:sz w:val="28"/>
          <w:szCs w:val="28"/>
        </w:rPr>
      </w:pPr>
      <w:r>
        <w:rPr>
          <w:rFonts w:ascii="Cambria" w:hAnsi="Cambria"/>
          <w:sz w:val="24"/>
          <w:szCs w:val="24"/>
        </w:rPr>
        <w:t>Owned, leased, and other direct cost have increased in 2021 and 2022 by 8 % and 46 % respectively.</w:t>
      </w:r>
    </w:p>
    <w:p w14:paraId="48B00EFE" w14:textId="77777777" w:rsidR="005977AC" w:rsidRPr="00EC7693" w:rsidRDefault="005977AC" w:rsidP="005977AC">
      <w:pPr>
        <w:pStyle w:val="ListParagraph"/>
        <w:spacing w:after="0"/>
        <w:rPr>
          <w:rFonts w:ascii="Cambria" w:hAnsi="Cambria"/>
          <w:b/>
          <w:bCs/>
          <w:sz w:val="28"/>
          <w:szCs w:val="28"/>
        </w:rPr>
      </w:pPr>
    </w:p>
    <w:p w14:paraId="29F3F05C" w14:textId="253BF733" w:rsidR="00EC7693" w:rsidRPr="005977AC" w:rsidRDefault="00D67866" w:rsidP="005977AC">
      <w:pPr>
        <w:pStyle w:val="ListParagraph"/>
        <w:numPr>
          <w:ilvl w:val="0"/>
          <w:numId w:val="4"/>
        </w:numPr>
        <w:spacing w:after="0"/>
        <w:rPr>
          <w:rFonts w:ascii="Cambria" w:hAnsi="Cambria"/>
          <w:b/>
          <w:bCs/>
          <w:sz w:val="28"/>
          <w:szCs w:val="28"/>
        </w:rPr>
      </w:pPr>
      <w:r>
        <w:rPr>
          <w:rFonts w:ascii="Cambria" w:hAnsi="Cambria"/>
          <w:sz w:val="24"/>
          <w:szCs w:val="24"/>
        </w:rPr>
        <w:t>Depreciation, amortization</w:t>
      </w:r>
      <w:r w:rsidR="00EC7693">
        <w:rPr>
          <w:rFonts w:ascii="Cambria" w:hAnsi="Cambria"/>
          <w:sz w:val="24"/>
          <w:szCs w:val="24"/>
        </w:rPr>
        <w:t xml:space="preserve">, and other cost have </w:t>
      </w:r>
      <w:r>
        <w:rPr>
          <w:rFonts w:ascii="Cambria" w:hAnsi="Cambria"/>
          <w:sz w:val="24"/>
          <w:szCs w:val="24"/>
        </w:rPr>
        <w:t xml:space="preserve">declined </w:t>
      </w:r>
      <w:r w:rsidR="00EC7693">
        <w:rPr>
          <w:rFonts w:ascii="Cambria" w:hAnsi="Cambria"/>
          <w:sz w:val="24"/>
          <w:szCs w:val="24"/>
        </w:rPr>
        <w:t xml:space="preserve">in 2021 and 2022 </w:t>
      </w:r>
      <w:r>
        <w:rPr>
          <w:rFonts w:ascii="Cambria" w:hAnsi="Cambria"/>
          <w:sz w:val="24"/>
          <w:szCs w:val="24"/>
        </w:rPr>
        <w:t>by    36</w:t>
      </w:r>
      <w:r w:rsidR="00EC7693">
        <w:rPr>
          <w:rFonts w:ascii="Cambria" w:hAnsi="Cambria"/>
          <w:sz w:val="24"/>
          <w:szCs w:val="24"/>
        </w:rPr>
        <w:t xml:space="preserve"> % and </w:t>
      </w:r>
      <w:r>
        <w:rPr>
          <w:rFonts w:ascii="Cambria" w:hAnsi="Cambria"/>
          <w:sz w:val="24"/>
          <w:szCs w:val="24"/>
        </w:rPr>
        <w:t>12</w:t>
      </w:r>
      <w:r w:rsidR="00EC7693">
        <w:rPr>
          <w:rFonts w:ascii="Cambria" w:hAnsi="Cambria"/>
          <w:sz w:val="24"/>
          <w:szCs w:val="24"/>
        </w:rPr>
        <w:t xml:space="preserve"> % respectively.</w:t>
      </w:r>
    </w:p>
    <w:p w14:paraId="41EDD3A8" w14:textId="77777777" w:rsidR="005977AC" w:rsidRPr="005977AC" w:rsidRDefault="005977AC" w:rsidP="005977AC">
      <w:pPr>
        <w:pStyle w:val="ListParagraph"/>
        <w:spacing w:after="0"/>
        <w:rPr>
          <w:rFonts w:ascii="Cambria" w:hAnsi="Cambria"/>
          <w:b/>
          <w:bCs/>
          <w:sz w:val="28"/>
          <w:szCs w:val="28"/>
        </w:rPr>
      </w:pPr>
    </w:p>
    <w:p w14:paraId="0E58D55D" w14:textId="25BECAE9" w:rsidR="00EC7693" w:rsidRPr="005977AC" w:rsidRDefault="00D67866" w:rsidP="005977AC">
      <w:pPr>
        <w:pStyle w:val="ListParagraph"/>
        <w:numPr>
          <w:ilvl w:val="0"/>
          <w:numId w:val="4"/>
        </w:numPr>
        <w:spacing w:after="0"/>
        <w:rPr>
          <w:rFonts w:ascii="Cambria" w:hAnsi="Cambria"/>
          <w:b/>
          <w:bCs/>
          <w:sz w:val="28"/>
          <w:szCs w:val="28"/>
        </w:rPr>
      </w:pPr>
      <w:r>
        <w:rPr>
          <w:rFonts w:ascii="Cambria" w:hAnsi="Cambria"/>
          <w:sz w:val="24"/>
          <w:szCs w:val="24"/>
        </w:rPr>
        <w:t xml:space="preserve">General, administrative, and other expenses </w:t>
      </w:r>
      <w:r w:rsidR="00EC7693">
        <w:rPr>
          <w:rFonts w:ascii="Cambria" w:hAnsi="Cambria"/>
          <w:sz w:val="24"/>
          <w:szCs w:val="24"/>
        </w:rPr>
        <w:t xml:space="preserve">have increased in 2021 and 2022 by </w:t>
      </w:r>
      <w:r>
        <w:rPr>
          <w:rFonts w:ascii="Cambria" w:hAnsi="Cambria"/>
          <w:sz w:val="24"/>
          <w:szCs w:val="24"/>
        </w:rPr>
        <w:t xml:space="preserve">8 </w:t>
      </w:r>
      <w:r w:rsidR="00EC7693">
        <w:rPr>
          <w:rFonts w:ascii="Cambria" w:hAnsi="Cambria"/>
          <w:sz w:val="24"/>
          <w:szCs w:val="24"/>
        </w:rPr>
        <w:t xml:space="preserve">% </w:t>
      </w:r>
      <w:r>
        <w:rPr>
          <w:rFonts w:ascii="Cambria" w:hAnsi="Cambria"/>
          <w:sz w:val="24"/>
          <w:szCs w:val="24"/>
        </w:rPr>
        <w:t>and 8</w:t>
      </w:r>
      <w:r w:rsidR="00EC7693">
        <w:rPr>
          <w:rFonts w:ascii="Cambria" w:hAnsi="Cambria"/>
          <w:sz w:val="24"/>
          <w:szCs w:val="24"/>
        </w:rPr>
        <w:t xml:space="preserve"> % respectively.</w:t>
      </w:r>
    </w:p>
    <w:p w14:paraId="42E85E1A" w14:textId="77777777" w:rsidR="005977AC" w:rsidRPr="005977AC" w:rsidRDefault="005977AC" w:rsidP="005977AC">
      <w:pPr>
        <w:pStyle w:val="ListParagraph"/>
        <w:rPr>
          <w:rFonts w:ascii="Cambria" w:hAnsi="Cambria"/>
          <w:b/>
          <w:bCs/>
          <w:sz w:val="28"/>
          <w:szCs w:val="28"/>
        </w:rPr>
      </w:pPr>
    </w:p>
    <w:p w14:paraId="00FDFF65" w14:textId="4F01077A" w:rsidR="00EC7693" w:rsidRDefault="00D67866" w:rsidP="005977AC">
      <w:pPr>
        <w:pStyle w:val="ListParagraph"/>
        <w:numPr>
          <w:ilvl w:val="0"/>
          <w:numId w:val="4"/>
        </w:numPr>
        <w:spacing w:after="0"/>
        <w:rPr>
          <w:rFonts w:ascii="Cambria" w:hAnsi="Cambria"/>
          <w:sz w:val="24"/>
          <w:szCs w:val="24"/>
        </w:rPr>
      </w:pPr>
      <w:r>
        <w:rPr>
          <w:rFonts w:ascii="Cambria" w:hAnsi="Cambria"/>
          <w:sz w:val="24"/>
          <w:szCs w:val="24"/>
        </w:rPr>
        <w:t xml:space="preserve">Restructuring, merger-related charges, and other expenses </w:t>
      </w:r>
      <w:r w:rsidR="00EC7693">
        <w:rPr>
          <w:rFonts w:ascii="Cambria" w:hAnsi="Cambria"/>
          <w:sz w:val="24"/>
          <w:szCs w:val="24"/>
        </w:rPr>
        <w:t xml:space="preserve">have </w:t>
      </w:r>
      <w:r>
        <w:rPr>
          <w:rFonts w:ascii="Cambria" w:hAnsi="Cambria"/>
          <w:sz w:val="24"/>
          <w:szCs w:val="24"/>
        </w:rPr>
        <w:t>decreased by    97 %</w:t>
      </w:r>
      <w:r w:rsidR="00EC7693">
        <w:rPr>
          <w:rFonts w:ascii="Cambria" w:hAnsi="Cambria"/>
          <w:sz w:val="24"/>
          <w:szCs w:val="24"/>
        </w:rPr>
        <w:t xml:space="preserve"> in 2021 and </w:t>
      </w:r>
      <w:r>
        <w:rPr>
          <w:rFonts w:ascii="Cambria" w:hAnsi="Cambria"/>
          <w:sz w:val="24"/>
          <w:szCs w:val="24"/>
        </w:rPr>
        <w:t xml:space="preserve">increased </w:t>
      </w:r>
      <w:r w:rsidR="00EC7693">
        <w:rPr>
          <w:rFonts w:ascii="Cambria" w:hAnsi="Cambria"/>
          <w:sz w:val="24"/>
          <w:szCs w:val="24"/>
        </w:rPr>
        <w:t xml:space="preserve">by </w:t>
      </w:r>
      <w:r>
        <w:rPr>
          <w:rFonts w:ascii="Cambria" w:hAnsi="Cambria"/>
          <w:sz w:val="24"/>
          <w:szCs w:val="24"/>
        </w:rPr>
        <w:t>5</w:t>
      </w:r>
      <w:r w:rsidR="00EC7693">
        <w:rPr>
          <w:rFonts w:ascii="Cambria" w:hAnsi="Cambria"/>
          <w:sz w:val="24"/>
          <w:szCs w:val="24"/>
        </w:rPr>
        <w:t xml:space="preserve">0 % </w:t>
      </w:r>
      <w:r>
        <w:rPr>
          <w:rFonts w:ascii="Cambria" w:hAnsi="Cambria"/>
          <w:sz w:val="24"/>
          <w:szCs w:val="24"/>
        </w:rPr>
        <w:t>in 2022</w:t>
      </w:r>
      <w:r w:rsidR="00EC7693">
        <w:rPr>
          <w:rFonts w:ascii="Cambria" w:hAnsi="Cambria"/>
          <w:sz w:val="24"/>
          <w:szCs w:val="24"/>
        </w:rPr>
        <w:t>.</w:t>
      </w:r>
    </w:p>
    <w:p w14:paraId="3396BA22" w14:textId="506A83FB" w:rsidR="00D11D07" w:rsidRPr="005977AC" w:rsidRDefault="00D67866" w:rsidP="005977AC">
      <w:pPr>
        <w:pStyle w:val="ListParagraph"/>
        <w:numPr>
          <w:ilvl w:val="0"/>
          <w:numId w:val="4"/>
        </w:numPr>
        <w:spacing w:after="0"/>
        <w:rPr>
          <w:rFonts w:ascii="Cambria" w:hAnsi="Cambria"/>
          <w:b/>
          <w:bCs/>
          <w:sz w:val="28"/>
          <w:szCs w:val="28"/>
        </w:rPr>
      </w:pPr>
      <w:r w:rsidRPr="005977AC">
        <w:rPr>
          <w:rFonts w:ascii="Cambria" w:hAnsi="Cambria"/>
          <w:sz w:val="24"/>
          <w:szCs w:val="24"/>
        </w:rPr>
        <w:t>R</w:t>
      </w:r>
      <w:r w:rsidR="00EC7693" w:rsidRPr="005977AC">
        <w:rPr>
          <w:rFonts w:ascii="Cambria" w:hAnsi="Cambria"/>
          <w:sz w:val="24"/>
          <w:szCs w:val="24"/>
        </w:rPr>
        <w:t>eimbursement</w:t>
      </w:r>
      <w:r w:rsidRPr="005977AC">
        <w:rPr>
          <w:rFonts w:ascii="Cambria" w:hAnsi="Cambria"/>
          <w:sz w:val="24"/>
          <w:szCs w:val="24"/>
        </w:rPr>
        <w:t xml:space="preserve"> cost </w:t>
      </w:r>
      <w:r w:rsidR="00EC7693" w:rsidRPr="005977AC">
        <w:rPr>
          <w:rFonts w:ascii="Cambria" w:hAnsi="Cambria"/>
          <w:sz w:val="24"/>
          <w:szCs w:val="24"/>
        </w:rPr>
        <w:t>has also increased in 2021 and 2022 by 2</w:t>
      </w:r>
      <w:r w:rsidRPr="005977AC">
        <w:rPr>
          <w:rFonts w:ascii="Cambria" w:hAnsi="Cambria"/>
          <w:sz w:val="24"/>
          <w:szCs w:val="24"/>
        </w:rPr>
        <w:t>2</w:t>
      </w:r>
      <w:r w:rsidR="00EC7693" w:rsidRPr="005977AC">
        <w:rPr>
          <w:rFonts w:ascii="Cambria" w:hAnsi="Cambria"/>
          <w:sz w:val="24"/>
          <w:szCs w:val="24"/>
        </w:rPr>
        <w:t xml:space="preserve"> % and 4</w:t>
      </w:r>
      <w:r w:rsidRPr="005977AC">
        <w:rPr>
          <w:rFonts w:ascii="Cambria" w:hAnsi="Cambria"/>
          <w:sz w:val="24"/>
          <w:szCs w:val="24"/>
        </w:rPr>
        <w:t>7</w:t>
      </w:r>
      <w:r w:rsidR="00EC7693" w:rsidRPr="005977AC">
        <w:rPr>
          <w:rFonts w:ascii="Cambria" w:hAnsi="Cambria"/>
          <w:sz w:val="24"/>
          <w:szCs w:val="24"/>
        </w:rPr>
        <w:t xml:space="preserve"> % respectively.</w:t>
      </w:r>
    </w:p>
    <w:sectPr w:rsidR="00D11D07" w:rsidRPr="005977AC" w:rsidSect="00D11D0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34C58"/>
    <w:multiLevelType w:val="hybridMultilevel"/>
    <w:tmpl w:val="34D2D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A2553"/>
    <w:multiLevelType w:val="hybridMultilevel"/>
    <w:tmpl w:val="40427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6796"/>
    <w:multiLevelType w:val="hybridMultilevel"/>
    <w:tmpl w:val="77602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6403A"/>
    <w:multiLevelType w:val="hybridMultilevel"/>
    <w:tmpl w:val="E9F85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84"/>
    <w:rsid w:val="000D038A"/>
    <w:rsid w:val="001C2EBE"/>
    <w:rsid w:val="001E661A"/>
    <w:rsid w:val="00233678"/>
    <w:rsid w:val="002506CD"/>
    <w:rsid w:val="00324F52"/>
    <w:rsid w:val="003524C0"/>
    <w:rsid w:val="003C442C"/>
    <w:rsid w:val="00490649"/>
    <w:rsid w:val="004A66C7"/>
    <w:rsid w:val="004E42CF"/>
    <w:rsid w:val="00522F6C"/>
    <w:rsid w:val="005977AC"/>
    <w:rsid w:val="005C551F"/>
    <w:rsid w:val="005E2C39"/>
    <w:rsid w:val="005E5DD4"/>
    <w:rsid w:val="00625562"/>
    <w:rsid w:val="006519F2"/>
    <w:rsid w:val="00666557"/>
    <w:rsid w:val="006A024D"/>
    <w:rsid w:val="006D3F9F"/>
    <w:rsid w:val="00702CD5"/>
    <w:rsid w:val="008508EC"/>
    <w:rsid w:val="00915635"/>
    <w:rsid w:val="00956183"/>
    <w:rsid w:val="009848CD"/>
    <w:rsid w:val="009D4175"/>
    <w:rsid w:val="00A65781"/>
    <w:rsid w:val="00B21C69"/>
    <w:rsid w:val="00BD2DFD"/>
    <w:rsid w:val="00C220A3"/>
    <w:rsid w:val="00C25803"/>
    <w:rsid w:val="00C649E3"/>
    <w:rsid w:val="00CC1984"/>
    <w:rsid w:val="00D048F6"/>
    <w:rsid w:val="00D11D07"/>
    <w:rsid w:val="00D65574"/>
    <w:rsid w:val="00D67866"/>
    <w:rsid w:val="00D94BD4"/>
    <w:rsid w:val="00DB4ADD"/>
    <w:rsid w:val="00DC0992"/>
    <w:rsid w:val="00E2712A"/>
    <w:rsid w:val="00E530FC"/>
    <w:rsid w:val="00EC7693"/>
    <w:rsid w:val="00EF002A"/>
    <w:rsid w:val="00F04B1A"/>
    <w:rsid w:val="00FC610A"/>
    <w:rsid w:val="00FF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3180"/>
  <w15:chartTrackingRefBased/>
  <w15:docId w15:val="{DA149B79-4EAC-40E3-8D83-EBA498CF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b="1">
                <a:latin typeface="Cambria" panose="02040503050406030204" pitchFamily="18" charset="0"/>
                <a:ea typeface="Cambria" panose="02040503050406030204" pitchFamily="18" charset="0"/>
              </a:rPr>
              <a:t>Revenue</a:t>
            </a:r>
            <a:r>
              <a:rPr lang="en-US" b="1" baseline="0">
                <a:latin typeface="Cambria" panose="02040503050406030204" pitchFamily="18" charset="0"/>
                <a:ea typeface="Cambria" panose="02040503050406030204" pitchFamily="18" charset="0"/>
              </a:rPr>
              <a:t> Drivers of Marriot </a:t>
            </a:r>
            <a:endParaRPr lang="en-US" b="1">
              <a:latin typeface="Cambria" panose="02040503050406030204" pitchFamily="18" charset="0"/>
              <a:ea typeface="Cambria" panose="02040503050406030204" pitchFamily="18" charset="0"/>
            </a:endParaRPr>
          </a:p>
        </c:rich>
      </c:tx>
      <c:layout>
        <c:manualLayout>
          <c:xMode val="edge"/>
          <c:yMode val="edge"/>
          <c:x val="0.26068343019622547"/>
          <c:y val="2.4166403659974158E-2"/>
        </c:manualLayout>
      </c:layout>
      <c:overlay val="0"/>
      <c:spPr>
        <a:solidFill>
          <a:srgbClr val="00B0F0"/>
        </a:solid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025371828521432E-2"/>
          <c:y val="0.11152777777777778"/>
          <c:w val="0.88741907261592312"/>
          <c:h val="0.5840704782452355"/>
        </c:manualLayout>
      </c:layout>
      <c:lineChart>
        <c:grouping val="standard"/>
        <c:varyColors val="0"/>
        <c:ser>
          <c:idx val="0"/>
          <c:order val="0"/>
          <c:tx>
            <c:strRef>
              <c:f>'Marriot Inc'!$A$56</c:f>
              <c:strCache>
                <c:ptCount val="1"/>
                <c:pt idx="0">
                  <c:v>Revenue Per Available Room(RevPAR) in USD</c:v>
                </c:pt>
              </c:strCache>
            </c:strRef>
          </c:tx>
          <c:spPr>
            <a:ln w="28575" cap="rnd">
              <a:solidFill>
                <a:schemeClr val="accent1"/>
              </a:solidFill>
              <a:round/>
            </a:ln>
            <a:effectLst/>
          </c:spPr>
          <c:marker>
            <c:symbol val="none"/>
          </c:marker>
          <c:dLbls>
            <c:dLbl>
              <c:idx val="0"/>
              <c:layout>
                <c:manualLayout>
                  <c:x val="-5.2097331583552078E-2"/>
                  <c:y val="-6.24653689122193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B32-45DA-93C8-F44BA55343C8}"/>
                </c:ext>
              </c:extLst>
            </c:dLbl>
            <c:dLbl>
              <c:idx val="1"/>
              <c:layout>
                <c:manualLayout>
                  <c:x val="-5.2097331583552058E-2"/>
                  <c:y val="-8.56135170603675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32-45DA-93C8-F44BA55343C8}"/>
                </c:ext>
              </c:extLst>
            </c:dLbl>
            <c:dLbl>
              <c:idx val="2"/>
              <c:layout>
                <c:manualLayout>
                  <c:x val="-5.8430664916885387E-2"/>
                  <c:y val="-7.17246281714786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B32-45DA-93C8-F44BA55343C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Inc'!$B$55:$D$55</c:f>
              <c:numCache>
                <c:formatCode>General</c:formatCode>
                <c:ptCount val="3"/>
                <c:pt idx="0">
                  <c:v>2020</c:v>
                </c:pt>
                <c:pt idx="1">
                  <c:v>2021</c:v>
                </c:pt>
                <c:pt idx="2">
                  <c:v>2022</c:v>
                </c:pt>
              </c:numCache>
            </c:numRef>
          </c:cat>
          <c:val>
            <c:numRef>
              <c:f>'Marriot Inc'!$B$56:$D$56</c:f>
              <c:numCache>
                <c:formatCode>General</c:formatCode>
                <c:ptCount val="3"/>
                <c:pt idx="0">
                  <c:v>46.28</c:v>
                </c:pt>
                <c:pt idx="1">
                  <c:v>74.66</c:v>
                </c:pt>
                <c:pt idx="2">
                  <c:v>110.64</c:v>
                </c:pt>
              </c:numCache>
            </c:numRef>
          </c:val>
          <c:smooth val="0"/>
          <c:extLst>
            <c:ext xmlns:c16="http://schemas.microsoft.com/office/drawing/2014/chart" uri="{C3380CC4-5D6E-409C-BE32-E72D297353CC}">
              <c16:uniqueId val="{00000003-DB32-45DA-93C8-F44BA55343C8}"/>
            </c:ext>
          </c:extLst>
        </c:ser>
        <c:ser>
          <c:idx val="1"/>
          <c:order val="1"/>
          <c:tx>
            <c:strRef>
              <c:f>'Marriot Inc'!$A$57</c:f>
              <c:strCache>
                <c:ptCount val="1"/>
                <c:pt idx="0">
                  <c:v>Occupancy Rate(%)</c:v>
                </c:pt>
              </c:strCache>
            </c:strRef>
          </c:tx>
          <c:spPr>
            <a:ln w="28575" cap="rnd">
              <a:solidFill>
                <a:schemeClr val="accent2"/>
              </a:solidFill>
              <a:round/>
            </a:ln>
            <a:effectLst/>
          </c:spPr>
          <c:marker>
            <c:symbol val="none"/>
          </c:marker>
          <c:dLbls>
            <c:dLbl>
              <c:idx val="0"/>
              <c:layout>
                <c:manualLayout>
                  <c:x val="7.013779527559055E-3"/>
                  <c:y val="3.9386482939632463E-2"/>
                </c:manualLayout>
              </c:layout>
              <c:tx>
                <c:rich>
                  <a:bodyPr/>
                  <a:lstStyle/>
                  <a:p>
                    <a:fld id="{A9D48201-FD34-49B6-9A88-3CB4318529E8}" type="VALUE">
                      <a:rPr lang="en-US"/>
                      <a:pPr/>
                      <a:t>[VALUE]</a:t>
                    </a:fld>
                    <a:r>
                      <a:rPr lang="en-US"/>
                      <a:t> %</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B32-45DA-93C8-F44BA55343C8}"/>
                </c:ext>
              </c:extLst>
            </c:dLbl>
            <c:dLbl>
              <c:idx val="1"/>
              <c:layout>
                <c:manualLayout>
                  <c:x val="-2.9097331583552159E-2"/>
                  <c:y val="7.1793890347039951E-2"/>
                </c:manualLayout>
              </c:layout>
              <c:tx>
                <c:rich>
                  <a:bodyPr/>
                  <a:lstStyle/>
                  <a:p>
                    <a:fld id="{265E2CB1-1405-4464-A669-4F935E69FA71}" type="VALUE">
                      <a:rPr lang="en-US"/>
                      <a:pPr/>
                      <a:t>[VALUE]</a:t>
                    </a:fld>
                    <a:r>
                      <a:rPr lang="en-US"/>
                      <a:t> %</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B32-45DA-93C8-F44BA55343C8}"/>
                </c:ext>
              </c:extLst>
            </c:dLbl>
            <c:dLbl>
              <c:idx val="2"/>
              <c:layout>
                <c:manualLayout>
                  <c:x val="-1.4055555555555658E-2"/>
                  <c:y val="8.105314960629921E-2"/>
                </c:manualLayout>
              </c:layout>
              <c:tx>
                <c:rich>
                  <a:bodyPr/>
                  <a:lstStyle/>
                  <a:p>
                    <a:fld id="{786BDA9F-BAF8-41F9-A4D1-7D359291FC89}" type="VALUE">
                      <a:rPr lang="en-US"/>
                      <a:pPr/>
                      <a:t>[VALUE]</a:t>
                    </a:fld>
                    <a:r>
                      <a:rPr lang="en-US"/>
                      <a:t> %</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DB32-45DA-93C8-F44BA55343C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Inc'!$B$55:$D$55</c:f>
              <c:numCache>
                <c:formatCode>General</c:formatCode>
                <c:ptCount val="3"/>
                <c:pt idx="0">
                  <c:v>2020</c:v>
                </c:pt>
                <c:pt idx="1">
                  <c:v>2021</c:v>
                </c:pt>
                <c:pt idx="2">
                  <c:v>2022</c:v>
                </c:pt>
              </c:numCache>
            </c:numRef>
          </c:cat>
          <c:val>
            <c:numRef>
              <c:f>'Marriot Inc'!$B$57:$D$57</c:f>
              <c:numCache>
                <c:formatCode>General</c:formatCode>
                <c:ptCount val="3"/>
                <c:pt idx="0">
                  <c:v>35.5</c:v>
                </c:pt>
                <c:pt idx="1">
                  <c:v>51.3</c:v>
                </c:pt>
                <c:pt idx="2">
                  <c:v>64</c:v>
                </c:pt>
              </c:numCache>
            </c:numRef>
          </c:val>
          <c:smooth val="0"/>
          <c:extLst>
            <c:ext xmlns:c16="http://schemas.microsoft.com/office/drawing/2014/chart" uri="{C3380CC4-5D6E-409C-BE32-E72D297353CC}">
              <c16:uniqueId val="{00000007-DB32-45DA-93C8-F44BA55343C8}"/>
            </c:ext>
          </c:extLst>
        </c:ser>
        <c:ser>
          <c:idx val="2"/>
          <c:order val="2"/>
          <c:tx>
            <c:strRef>
              <c:f>'Marriot Inc'!$A$58</c:f>
              <c:strCache>
                <c:ptCount val="1"/>
                <c:pt idx="0">
                  <c:v>Average Daily Rate (ADR) in USD</c:v>
                </c:pt>
              </c:strCache>
            </c:strRef>
          </c:tx>
          <c:spPr>
            <a:ln w="28575" cap="rnd">
              <a:solidFill>
                <a:schemeClr val="accent3"/>
              </a:solidFill>
              <a:round/>
            </a:ln>
            <a:effectLst/>
          </c:spPr>
          <c:marker>
            <c:symbol val="none"/>
          </c:marker>
          <c:dLbls>
            <c:dLbl>
              <c:idx val="0"/>
              <c:layout>
                <c:manualLayout>
                  <c:x val="-5.2097331583552078E-2"/>
                  <c:y val="-8.5613517060367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B32-45DA-93C8-F44BA55343C8}"/>
                </c:ext>
              </c:extLst>
            </c:dLbl>
            <c:dLbl>
              <c:idx val="1"/>
              <c:layout>
                <c:manualLayout>
                  <c:x val="-5.8430664916885387E-2"/>
                  <c:y val="-8.5613517060367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B32-45DA-93C8-F44BA55343C8}"/>
                </c:ext>
              </c:extLst>
            </c:dLbl>
            <c:dLbl>
              <c:idx val="2"/>
              <c:layout>
                <c:manualLayout>
                  <c:x val="-5.8430664916885387E-2"/>
                  <c:y val="-7.17246281714785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B32-45DA-93C8-F44BA55343C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Inc'!$B$55:$D$55</c:f>
              <c:numCache>
                <c:formatCode>General</c:formatCode>
                <c:ptCount val="3"/>
                <c:pt idx="0">
                  <c:v>2020</c:v>
                </c:pt>
                <c:pt idx="1">
                  <c:v>2021</c:v>
                </c:pt>
                <c:pt idx="2">
                  <c:v>2022</c:v>
                </c:pt>
              </c:numCache>
            </c:numRef>
          </c:cat>
          <c:val>
            <c:numRef>
              <c:f>'Marriot Inc'!$B$58:$D$58</c:f>
              <c:numCache>
                <c:formatCode>General</c:formatCode>
                <c:ptCount val="3"/>
                <c:pt idx="0">
                  <c:v>130.4</c:v>
                </c:pt>
                <c:pt idx="1">
                  <c:v>145.56</c:v>
                </c:pt>
                <c:pt idx="2">
                  <c:v>172.85</c:v>
                </c:pt>
              </c:numCache>
            </c:numRef>
          </c:val>
          <c:smooth val="0"/>
          <c:extLst>
            <c:ext xmlns:c16="http://schemas.microsoft.com/office/drawing/2014/chart" uri="{C3380CC4-5D6E-409C-BE32-E72D297353CC}">
              <c16:uniqueId val="{0000000B-DB32-45DA-93C8-F44BA55343C8}"/>
            </c:ext>
          </c:extLst>
        </c:ser>
        <c:dLbls>
          <c:dLblPos val="t"/>
          <c:showLegendKey val="0"/>
          <c:showVal val="1"/>
          <c:showCatName val="0"/>
          <c:showSerName val="0"/>
          <c:showPercent val="0"/>
          <c:showBubbleSize val="0"/>
        </c:dLbls>
        <c:smooth val="0"/>
        <c:axId val="843315871"/>
        <c:axId val="843330847"/>
      </c:lineChart>
      <c:catAx>
        <c:axId val="843315871"/>
        <c:scaling>
          <c:orientation val="minMax"/>
        </c:scaling>
        <c:delete val="0"/>
        <c:axPos val="b"/>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843330847"/>
        <c:crosses val="autoZero"/>
        <c:auto val="0"/>
        <c:lblAlgn val="ctr"/>
        <c:lblOffset val="100"/>
        <c:noMultiLvlLbl val="0"/>
      </c:catAx>
      <c:valAx>
        <c:axId val="843330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843315871"/>
        <c:crosses val="autoZero"/>
        <c:crossBetween val="between"/>
      </c:valAx>
      <c:spPr>
        <a:noFill/>
        <a:ln>
          <a:noFill/>
        </a:ln>
        <a:effectLst/>
      </c:spPr>
    </c:plotArea>
    <c:legend>
      <c:legendPos val="b"/>
      <c:layout>
        <c:manualLayout>
          <c:xMode val="edge"/>
          <c:yMode val="edge"/>
          <c:x val="0.11945716250324939"/>
          <c:y val="0.79049391553328563"/>
          <c:w val="0.62215269217545888"/>
          <c:h val="0.1829163333192976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r>
              <a:rPr lang="en-US" b="1">
                <a:latin typeface="Cambria" panose="02040503050406030204" pitchFamily="18" charset="0"/>
                <a:ea typeface="Cambria" panose="02040503050406030204" pitchFamily="18" charset="0"/>
              </a:rPr>
              <a:t>Statistics of Number</a:t>
            </a:r>
            <a:r>
              <a:rPr lang="en-US" b="1" baseline="0">
                <a:latin typeface="Cambria" panose="02040503050406030204" pitchFamily="18" charset="0"/>
                <a:ea typeface="Cambria" panose="02040503050406030204" pitchFamily="18" charset="0"/>
              </a:rPr>
              <a:t> of Properties in Marriot</a:t>
            </a:r>
            <a:endParaRPr lang="en-US" b="1">
              <a:latin typeface="Cambria" panose="02040503050406030204" pitchFamily="18" charset="0"/>
              <a:ea typeface="Cambria" panose="02040503050406030204" pitchFamily="18" charset="0"/>
            </a:endParaRPr>
          </a:p>
        </c:rich>
      </c:tx>
      <c:overlay val="0"/>
      <c:spPr>
        <a:solidFill>
          <a:srgbClr val="00B0F0"/>
        </a:solid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8.2944068611141911E-2"/>
          <c:y val="0.14338498212157333"/>
          <c:w val="0.89123433514472661"/>
          <c:h val="0.6695932227780228"/>
        </c:manualLayout>
      </c:layout>
      <c:barChart>
        <c:barDir val="col"/>
        <c:grouping val="clustered"/>
        <c:varyColors val="0"/>
        <c:ser>
          <c:idx val="0"/>
          <c:order val="0"/>
          <c:tx>
            <c:strRef>
              <c:f>'Marriot Inc'!$A$66</c:f>
              <c:strCache>
                <c:ptCount val="1"/>
                <c:pt idx="0">
                  <c:v>Managed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Inc'!$B$65:$E$65</c:f>
              <c:numCache>
                <c:formatCode>General</c:formatCode>
                <c:ptCount val="4"/>
                <c:pt idx="0">
                  <c:v>2020</c:v>
                </c:pt>
                <c:pt idx="1">
                  <c:v>2021</c:v>
                </c:pt>
                <c:pt idx="2">
                  <c:v>2022</c:v>
                </c:pt>
              </c:numCache>
            </c:numRef>
          </c:cat>
          <c:val>
            <c:numRef>
              <c:f>'Marriot Inc'!$B$66:$E$66</c:f>
              <c:numCache>
                <c:formatCode>#,##0</c:formatCode>
                <c:ptCount val="4"/>
                <c:pt idx="0">
                  <c:v>2083</c:v>
                </c:pt>
                <c:pt idx="1">
                  <c:v>1943</c:v>
                </c:pt>
                <c:pt idx="2">
                  <c:v>1989</c:v>
                </c:pt>
              </c:numCache>
            </c:numRef>
          </c:val>
          <c:extLst>
            <c:ext xmlns:c16="http://schemas.microsoft.com/office/drawing/2014/chart" uri="{C3380CC4-5D6E-409C-BE32-E72D297353CC}">
              <c16:uniqueId val="{00000000-3474-4271-8ECF-FFD25837A297}"/>
            </c:ext>
          </c:extLst>
        </c:ser>
        <c:ser>
          <c:idx val="1"/>
          <c:order val="1"/>
          <c:tx>
            <c:strRef>
              <c:f>'Marriot Inc'!$A$67</c:f>
              <c:strCache>
                <c:ptCount val="1"/>
                <c:pt idx="0">
                  <c:v>Franchised/Licensed</c:v>
                </c:pt>
              </c:strCache>
            </c:strRef>
          </c:tx>
          <c:spPr>
            <a:solidFill>
              <a:schemeClr val="accent2"/>
            </a:solidFill>
            <a:ln>
              <a:noFill/>
            </a:ln>
            <a:effectLst/>
          </c:spPr>
          <c:invertIfNegative val="0"/>
          <c:dLbls>
            <c:dLbl>
              <c:idx val="0"/>
              <c:layout>
                <c:manualLayout>
                  <c:x val="0"/>
                  <c:y val="-3.972983710766822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74-4271-8ECF-FFD25837A29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Inc'!$B$65:$E$65</c:f>
              <c:numCache>
                <c:formatCode>General</c:formatCode>
                <c:ptCount val="4"/>
                <c:pt idx="0">
                  <c:v>2020</c:v>
                </c:pt>
                <c:pt idx="1">
                  <c:v>2021</c:v>
                </c:pt>
                <c:pt idx="2">
                  <c:v>2022</c:v>
                </c:pt>
              </c:numCache>
            </c:numRef>
          </c:cat>
          <c:val>
            <c:numRef>
              <c:f>'Marriot Inc'!$B$67:$E$67</c:f>
              <c:numCache>
                <c:formatCode>#,##0</c:formatCode>
                <c:ptCount val="4"/>
                <c:pt idx="0">
                  <c:v>5493</c:v>
                </c:pt>
                <c:pt idx="1">
                  <c:v>5880</c:v>
                </c:pt>
                <c:pt idx="2">
                  <c:v>6122</c:v>
                </c:pt>
              </c:numCache>
            </c:numRef>
          </c:val>
          <c:extLst>
            <c:ext xmlns:c16="http://schemas.microsoft.com/office/drawing/2014/chart" uri="{C3380CC4-5D6E-409C-BE32-E72D297353CC}">
              <c16:uniqueId val="{00000002-3474-4271-8ECF-FFD25837A297}"/>
            </c:ext>
          </c:extLst>
        </c:ser>
        <c:ser>
          <c:idx val="2"/>
          <c:order val="2"/>
          <c:tx>
            <c:strRef>
              <c:f>'Marriot Inc'!$A$68</c:f>
              <c:strCache>
                <c:ptCount val="1"/>
                <c:pt idx="0">
                  <c:v>Owned/Leased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lumMod val="50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Inc'!$B$65:$E$65</c:f>
              <c:numCache>
                <c:formatCode>General</c:formatCode>
                <c:ptCount val="4"/>
                <c:pt idx="0">
                  <c:v>2020</c:v>
                </c:pt>
                <c:pt idx="1">
                  <c:v>2021</c:v>
                </c:pt>
                <c:pt idx="2">
                  <c:v>2022</c:v>
                </c:pt>
              </c:numCache>
            </c:numRef>
          </c:cat>
          <c:val>
            <c:numRef>
              <c:f>'Marriot Inc'!$B$68:$E$68</c:f>
              <c:numCache>
                <c:formatCode>General</c:formatCode>
                <c:ptCount val="4"/>
                <c:pt idx="0">
                  <c:v>66</c:v>
                </c:pt>
                <c:pt idx="1">
                  <c:v>64</c:v>
                </c:pt>
                <c:pt idx="2">
                  <c:v>64</c:v>
                </c:pt>
              </c:numCache>
            </c:numRef>
          </c:val>
          <c:extLst>
            <c:ext xmlns:c16="http://schemas.microsoft.com/office/drawing/2014/chart" uri="{C3380CC4-5D6E-409C-BE32-E72D297353CC}">
              <c16:uniqueId val="{00000003-3474-4271-8ECF-FFD25837A297}"/>
            </c:ext>
          </c:extLst>
        </c:ser>
        <c:ser>
          <c:idx val="3"/>
          <c:order val="3"/>
          <c:tx>
            <c:strRef>
              <c:f>'Marriot Inc'!$A$69</c:f>
              <c:strCache>
                <c:ptCount val="1"/>
                <c:pt idx="0">
                  <c:v>Residential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C000"/>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Inc'!$B$65:$E$65</c:f>
              <c:numCache>
                <c:formatCode>General</c:formatCode>
                <c:ptCount val="4"/>
                <c:pt idx="0">
                  <c:v>2020</c:v>
                </c:pt>
                <c:pt idx="1">
                  <c:v>2021</c:v>
                </c:pt>
                <c:pt idx="2">
                  <c:v>2022</c:v>
                </c:pt>
              </c:numCache>
            </c:numRef>
          </c:cat>
          <c:val>
            <c:numRef>
              <c:f>'Marriot Inc'!$B$69:$E$69</c:f>
              <c:numCache>
                <c:formatCode>General</c:formatCode>
                <c:ptCount val="4"/>
                <c:pt idx="0" formatCode="#,##0">
                  <c:v>0</c:v>
                </c:pt>
                <c:pt idx="1">
                  <c:v>102</c:v>
                </c:pt>
                <c:pt idx="2">
                  <c:v>113</c:v>
                </c:pt>
              </c:numCache>
            </c:numRef>
          </c:val>
          <c:extLst>
            <c:ext xmlns:c16="http://schemas.microsoft.com/office/drawing/2014/chart" uri="{C3380CC4-5D6E-409C-BE32-E72D297353CC}">
              <c16:uniqueId val="{00000004-3474-4271-8ECF-FFD25837A297}"/>
            </c:ext>
          </c:extLst>
        </c:ser>
        <c:dLbls>
          <c:showLegendKey val="0"/>
          <c:showVal val="0"/>
          <c:showCatName val="0"/>
          <c:showSerName val="0"/>
          <c:showPercent val="0"/>
          <c:showBubbleSize val="0"/>
        </c:dLbls>
        <c:gapWidth val="219"/>
        <c:overlap val="-27"/>
        <c:axId val="994044975"/>
        <c:axId val="994052047"/>
      </c:barChart>
      <c:catAx>
        <c:axId val="994044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994052047"/>
        <c:crosses val="autoZero"/>
        <c:auto val="1"/>
        <c:lblAlgn val="ctr"/>
        <c:lblOffset val="100"/>
        <c:noMultiLvlLbl val="0"/>
      </c:catAx>
      <c:valAx>
        <c:axId val="9940520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994044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r>
              <a:rPr lang="en-US" b="1">
                <a:latin typeface="Cambria" panose="02040503050406030204" pitchFamily="18" charset="0"/>
                <a:ea typeface="Cambria" panose="02040503050406030204" pitchFamily="18" charset="0"/>
              </a:rPr>
              <a:t>Statistics of No.of Rooms</a:t>
            </a:r>
            <a:r>
              <a:rPr lang="en-US" b="1" baseline="0">
                <a:latin typeface="Cambria" panose="02040503050406030204" pitchFamily="18" charset="0"/>
                <a:ea typeface="Cambria" panose="02040503050406030204" pitchFamily="18" charset="0"/>
              </a:rPr>
              <a:t> in Marriot</a:t>
            </a:r>
            <a:endParaRPr lang="en-US" b="1">
              <a:latin typeface="Cambria" panose="02040503050406030204" pitchFamily="18" charset="0"/>
              <a:ea typeface="Cambria" panose="02040503050406030204" pitchFamily="18" charset="0"/>
            </a:endParaRPr>
          </a:p>
        </c:rich>
      </c:tx>
      <c:overlay val="0"/>
      <c:spPr>
        <a:solidFill>
          <a:srgbClr val="00B0F0"/>
        </a:solid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0.13603942047864398"/>
          <c:y val="0.11130766562608396"/>
          <c:w val="0.81582259998957085"/>
          <c:h val="0.6980425573754373"/>
        </c:manualLayout>
      </c:layout>
      <c:barChart>
        <c:barDir val="col"/>
        <c:grouping val="clustered"/>
        <c:varyColors val="0"/>
        <c:ser>
          <c:idx val="0"/>
          <c:order val="0"/>
          <c:tx>
            <c:strRef>
              <c:f>'Marriot Inc'!$A$74</c:f>
              <c:strCache>
                <c:ptCount val="1"/>
                <c:pt idx="0">
                  <c:v>Managed</c:v>
                </c:pt>
              </c:strCache>
            </c:strRef>
          </c:tx>
          <c:spPr>
            <a:solidFill>
              <a:schemeClr val="accent1"/>
            </a:solidFill>
            <a:ln>
              <a:noFill/>
            </a:ln>
            <a:effectLst/>
          </c:spPr>
          <c:invertIfNegative val="0"/>
          <c:dLbls>
            <c:dLbl>
              <c:idx val="0"/>
              <c:tx>
                <c:rich>
                  <a:bodyPr/>
                  <a:lstStyle/>
                  <a:p>
                    <a:r>
                      <a:rPr lang="en-US" baseline="0"/>
                      <a:t> </a:t>
                    </a:r>
                    <a:fld id="{B4857EF7-D3D2-41FE-88FD-87F172B72BFF}"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65E-43BE-95E2-911AFFBC6FDE}"/>
                </c:ext>
              </c:extLst>
            </c:dLbl>
            <c:dLbl>
              <c:idx val="1"/>
              <c:tx>
                <c:rich>
                  <a:bodyPr/>
                  <a:lstStyle/>
                  <a:p>
                    <a:r>
                      <a:rPr lang="en-US" baseline="0"/>
                      <a:t> </a:t>
                    </a:r>
                    <a:fld id="{5F4AFBD6-FB38-4B66-9016-D405B5EA7B56}"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65E-43BE-95E2-911AFFBC6FDE}"/>
                </c:ext>
              </c:extLst>
            </c:dLbl>
            <c:dLbl>
              <c:idx val="2"/>
              <c:tx>
                <c:rich>
                  <a:bodyPr/>
                  <a:lstStyle/>
                  <a:p>
                    <a:fld id="{504B859F-A972-4A3E-A141-52950FBF0C64}" type="VALUE">
                      <a:rPr lang="en-US" baseline="0"/>
                      <a:pPr/>
                      <a:t>[VALUE]</a:t>
                    </a:fld>
                    <a:endParaRPr 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65E-43BE-95E2-911AFFBC6FD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rgbClr val="0070C0"/>
                    </a:solidFill>
                    <a:latin typeface="Cambria" panose="02040503050406030204" pitchFamily="18" charset="0"/>
                    <a:ea typeface="Cambria" panose="02040503050406030204" pitchFamily="18" charset="0"/>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'Marriot Inc'!$B$73:$E$73</c:f>
              <c:numCache>
                <c:formatCode>General</c:formatCode>
                <c:ptCount val="4"/>
                <c:pt idx="0">
                  <c:v>2020</c:v>
                </c:pt>
                <c:pt idx="1">
                  <c:v>2021</c:v>
                </c:pt>
                <c:pt idx="2">
                  <c:v>2022</c:v>
                </c:pt>
              </c:numCache>
            </c:numRef>
          </c:cat>
          <c:val>
            <c:numRef>
              <c:f>'Marriot Inc'!$B$74:$E$74</c:f>
              <c:numCache>
                <c:formatCode>#,##0</c:formatCode>
                <c:ptCount val="4"/>
                <c:pt idx="0">
                  <c:v>569232</c:v>
                </c:pt>
                <c:pt idx="1">
                  <c:v>553172</c:v>
                </c:pt>
                <c:pt idx="2">
                  <c:v>560551</c:v>
                </c:pt>
              </c:numCache>
            </c:numRef>
          </c:val>
          <c:extLst>
            <c:ext xmlns:c16="http://schemas.microsoft.com/office/drawing/2014/chart" uri="{C3380CC4-5D6E-409C-BE32-E72D297353CC}">
              <c16:uniqueId val="{00000003-365E-43BE-95E2-911AFFBC6FDE}"/>
            </c:ext>
          </c:extLst>
        </c:ser>
        <c:ser>
          <c:idx val="1"/>
          <c:order val="1"/>
          <c:tx>
            <c:strRef>
              <c:f>'Marriot Inc'!$A$75</c:f>
              <c:strCache>
                <c:ptCount val="1"/>
                <c:pt idx="0">
                  <c:v>Franchised/Licensed</c:v>
                </c:pt>
              </c:strCache>
            </c:strRef>
          </c:tx>
          <c:spPr>
            <a:solidFill>
              <a:schemeClr val="accent2"/>
            </a:solidFill>
            <a:ln>
              <a:noFill/>
            </a:ln>
            <a:effectLst/>
          </c:spPr>
          <c:invertIfNegative val="0"/>
          <c:dLbls>
            <c:dLbl>
              <c:idx val="0"/>
              <c:tx>
                <c:rich>
                  <a:bodyPr/>
                  <a:lstStyle/>
                  <a:p>
                    <a:r>
                      <a:rPr lang="en-US" baseline="0"/>
                      <a:t> </a:t>
                    </a:r>
                    <a:fld id="{AE7F8ED4-9CC5-485B-8BCC-BF6D5C515F41}"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65E-43BE-95E2-911AFFBC6FDE}"/>
                </c:ext>
              </c:extLst>
            </c:dLbl>
            <c:dLbl>
              <c:idx val="1"/>
              <c:tx>
                <c:rich>
                  <a:bodyPr/>
                  <a:lstStyle/>
                  <a:p>
                    <a:r>
                      <a:rPr lang="en-US" baseline="0"/>
                      <a:t> </a:t>
                    </a:r>
                    <a:fld id="{18A8ADD1-09EB-4284-86EA-AA2BFBDBA8AE}"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65E-43BE-95E2-911AFFBC6FDE}"/>
                </c:ext>
              </c:extLst>
            </c:dLbl>
            <c:dLbl>
              <c:idx val="2"/>
              <c:tx>
                <c:rich>
                  <a:bodyPr/>
                  <a:lstStyle/>
                  <a:p>
                    <a:r>
                      <a:rPr lang="en-US" baseline="0"/>
                      <a:t> </a:t>
                    </a:r>
                    <a:fld id="{0F39EE73-B49C-4718-A286-69CB32A48349}"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365E-43BE-95E2-911AFFBC6FD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accent2">
                        <a:lumMod val="75000"/>
                      </a:schemeClr>
                    </a:solidFill>
                    <a:latin typeface="Cambria" panose="02040503050406030204" pitchFamily="18" charset="0"/>
                    <a:ea typeface="Cambria" panose="02040503050406030204" pitchFamily="18" charset="0"/>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'Marriot Inc'!$B$73:$E$73</c:f>
              <c:numCache>
                <c:formatCode>General</c:formatCode>
                <c:ptCount val="4"/>
                <c:pt idx="0">
                  <c:v>2020</c:v>
                </c:pt>
                <c:pt idx="1">
                  <c:v>2021</c:v>
                </c:pt>
                <c:pt idx="2">
                  <c:v>2022</c:v>
                </c:pt>
              </c:numCache>
            </c:numRef>
          </c:cat>
          <c:val>
            <c:numRef>
              <c:f>'Marriot Inc'!$B$75:$E$75</c:f>
              <c:numCache>
                <c:formatCode>#,##0</c:formatCode>
                <c:ptCount val="4"/>
                <c:pt idx="0">
                  <c:v>837912</c:v>
                </c:pt>
                <c:pt idx="1">
                  <c:v>900437</c:v>
                </c:pt>
                <c:pt idx="2">
                  <c:v>937683</c:v>
                </c:pt>
              </c:numCache>
            </c:numRef>
          </c:val>
          <c:extLst>
            <c:ext xmlns:c16="http://schemas.microsoft.com/office/drawing/2014/chart" uri="{C3380CC4-5D6E-409C-BE32-E72D297353CC}">
              <c16:uniqueId val="{00000007-365E-43BE-95E2-911AFFBC6FDE}"/>
            </c:ext>
          </c:extLst>
        </c:ser>
        <c:ser>
          <c:idx val="2"/>
          <c:order val="2"/>
          <c:tx>
            <c:strRef>
              <c:f>'Marriot Inc'!$A$76</c:f>
              <c:strCache>
                <c:ptCount val="1"/>
                <c:pt idx="0">
                  <c:v>Owned/Leased</c:v>
                </c:pt>
              </c:strCache>
            </c:strRef>
          </c:tx>
          <c:spPr>
            <a:solidFill>
              <a:schemeClr val="accent3"/>
            </a:solidFill>
            <a:ln>
              <a:noFill/>
            </a:ln>
            <a:effectLst/>
          </c:spPr>
          <c:invertIfNegative val="0"/>
          <c:dLbls>
            <c:dLbl>
              <c:idx val="0"/>
              <c:layout>
                <c:manualLayout>
                  <c:x val="2.5011368804001819E-2"/>
                  <c:y val="-5.8966354491848894E-2"/>
                </c:manualLayout>
              </c:layout>
              <c:tx>
                <c:rich>
                  <a:bodyPr/>
                  <a:lstStyle/>
                  <a:p>
                    <a:r>
                      <a:rPr lang="en-US" baseline="0"/>
                      <a:t> </a:t>
                    </a:r>
                    <a:fld id="{7AD01C14-8DC4-438E-A0D1-6C165979225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65E-43BE-95E2-911AFFBC6FDE}"/>
                </c:ext>
              </c:extLst>
            </c:dLbl>
            <c:dLbl>
              <c:idx val="1"/>
              <c:layout>
                <c:manualLayout>
                  <c:x val="1.3642564802182811E-2"/>
                  <c:y val="-7.9778009018383625E-2"/>
                </c:manualLayout>
              </c:layout>
              <c:tx>
                <c:rich>
                  <a:bodyPr/>
                  <a:lstStyle/>
                  <a:p>
                    <a:fld id="{82C38BDF-DBFF-4E84-A4A2-45DB3AAA5FA5}" type="VALUE">
                      <a:rPr lang="en-US" baseline="0"/>
                      <a:pPr/>
                      <a:t>[VALUE]</a:t>
                    </a:fld>
                    <a:endParaRPr 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65E-43BE-95E2-911AFFBC6FDE}"/>
                </c:ext>
              </c:extLst>
            </c:dLbl>
            <c:dLbl>
              <c:idx val="2"/>
              <c:layout>
                <c:manualLayout>
                  <c:x val="9.0950432014552073E-3"/>
                  <c:y val="-7.6309399930627825E-2"/>
                </c:manualLayout>
              </c:layout>
              <c:tx>
                <c:rich>
                  <a:bodyPr/>
                  <a:lstStyle/>
                  <a:p>
                    <a:fld id="{3E67C394-BF72-41A3-9662-EBD79938688E}" type="VALUE">
                      <a:rPr lang="en-US" baseline="0"/>
                      <a:pPr/>
                      <a:t>[VALUE]</a:t>
                    </a:fld>
                    <a:endParaRPr 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365E-43BE-95E2-911AFFBC6FD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bg2">
                        <a:lumMod val="50000"/>
                      </a:schemeClr>
                    </a:solidFill>
                    <a:latin typeface="Cambria" panose="02040503050406030204" pitchFamily="18" charset="0"/>
                    <a:ea typeface="Cambria" panose="02040503050406030204" pitchFamily="18" charset="0"/>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'Marriot Inc'!$B$73:$E$73</c:f>
              <c:numCache>
                <c:formatCode>General</c:formatCode>
                <c:ptCount val="4"/>
                <c:pt idx="0">
                  <c:v>2020</c:v>
                </c:pt>
                <c:pt idx="1">
                  <c:v>2021</c:v>
                </c:pt>
                <c:pt idx="2">
                  <c:v>2022</c:v>
                </c:pt>
              </c:numCache>
            </c:numRef>
          </c:cat>
          <c:val>
            <c:numRef>
              <c:f>'Marriot Inc'!$B$76:$E$76</c:f>
              <c:numCache>
                <c:formatCode>#,##0</c:formatCode>
                <c:ptCount val="4"/>
                <c:pt idx="0">
                  <c:v>15900</c:v>
                </c:pt>
                <c:pt idx="1">
                  <c:v>15692</c:v>
                </c:pt>
                <c:pt idx="2">
                  <c:v>15692</c:v>
                </c:pt>
              </c:numCache>
            </c:numRef>
          </c:val>
          <c:extLst>
            <c:ext xmlns:c16="http://schemas.microsoft.com/office/drawing/2014/chart" uri="{C3380CC4-5D6E-409C-BE32-E72D297353CC}">
              <c16:uniqueId val="{0000000B-365E-43BE-95E2-911AFFBC6FDE}"/>
            </c:ext>
          </c:extLst>
        </c:ser>
        <c:ser>
          <c:idx val="3"/>
          <c:order val="3"/>
          <c:tx>
            <c:strRef>
              <c:f>'Marriot Inc'!$A$77</c:f>
              <c:strCache>
                <c:ptCount val="1"/>
                <c:pt idx="0">
                  <c:v>Residential</c:v>
                </c:pt>
              </c:strCache>
            </c:strRef>
          </c:tx>
          <c:spPr>
            <a:solidFill>
              <a:schemeClr val="accent4"/>
            </a:solidFill>
            <a:ln>
              <a:noFill/>
            </a:ln>
            <a:effectLst/>
          </c:spPr>
          <c:invertIfNegative val="0"/>
          <c:dLbls>
            <c:dLbl>
              <c:idx val="0"/>
              <c:layout>
                <c:manualLayout>
                  <c:x val="3.0905077262693117E-2"/>
                  <c:y val="-6.9372181755117468E-3"/>
                </c:manualLayout>
              </c:layout>
              <c:tx>
                <c:rich>
                  <a:bodyPr/>
                  <a:lstStyle/>
                  <a:p>
                    <a:r>
                      <a:rPr lang="en-US" baseline="0"/>
                      <a:t> </a:t>
                    </a:r>
                    <a:fld id="{688EF471-EA9A-4923-83C7-0FCD3EAC35A9}"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365E-43BE-95E2-911AFFBC6FDE}"/>
                </c:ext>
              </c:extLst>
            </c:dLbl>
            <c:dLbl>
              <c:idx val="1"/>
              <c:layout>
                <c:manualLayout>
                  <c:x val="2.2075055187637888E-2"/>
                  <c:y val="-2.081165452653486E-2"/>
                </c:manualLayout>
              </c:layout>
              <c:tx>
                <c:rich>
                  <a:bodyPr/>
                  <a:lstStyle/>
                  <a:p>
                    <a:r>
                      <a:rPr lang="en-US" baseline="0"/>
                      <a:t> </a:t>
                    </a:r>
                    <a:fld id="{B265E127-F518-44AE-AE8D-D805C1B49685}"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365E-43BE-95E2-911AFFBC6FDE}"/>
                </c:ext>
              </c:extLst>
            </c:dLbl>
            <c:dLbl>
              <c:idx val="2"/>
              <c:layout>
                <c:manualLayout>
                  <c:x val="2.6490066225165563E-2"/>
                  <c:y val="-2.428026361429067E-2"/>
                </c:manualLayout>
              </c:layout>
              <c:tx>
                <c:rich>
                  <a:bodyPr/>
                  <a:lstStyle/>
                  <a:p>
                    <a:r>
                      <a:rPr lang="en-US" baseline="0"/>
                      <a:t> </a:t>
                    </a:r>
                    <a:fld id="{46C2E11B-AFA4-405E-B632-C9DB12E3E371}"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365E-43BE-95E2-911AFFBC6FD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rgbClr val="FFC000"/>
                    </a:solidFill>
                    <a:latin typeface="Cambria" panose="02040503050406030204" pitchFamily="18" charset="0"/>
                    <a:ea typeface="Cambria" panose="02040503050406030204" pitchFamily="18" charset="0"/>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'Marriot Inc'!$B$73:$E$73</c:f>
              <c:numCache>
                <c:formatCode>General</c:formatCode>
                <c:ptCount val="4"/>
                <c:pt idx="0">
                  <c:v>2020</c:v>
                </c:pt>
                <c:pt idx="1">
                  <c:v>2021</c:v>
                </c:pt>
                <c:pt idx="2">
                  <c:v>2022</c:v>
                </c:pt>
              </c:numCache>
            </c:numRef>
          </c:cat>
          <c:val>
            <c:numRef>
              <c:f>'Marriot Inc'!$B$77:$E$77</c:f>
              <c:numCache>
                <c:formatCode>#,##0</c:formatCode>
                <c:ptCount val="4"/>
                <c:pt idx="0">
                  <c:v>0</c:v>
                </c:pt>
                <c:pt idx="1">
                  <c:v>9878</c:v>
                </c:pt>
                <c:pt idx="2">
                  <c:v>11481</c:v>
                </c:pt>
              </c:numCache>
            </c:numRef>
          </c:val>
          <c:extLst>
            <c:ext xmlns:c16="http://schemas.microsoft.com/office/drawing/2014/chart" uri="{C3380CC4-5D6E-409C-BE32-E72D297353CC}">
              <c16:uniqueId val="{0000000F-365E-43BE-95E2-911AFFBC6FDE}"/>
            </c:ext>
          </c:extLst>
        </c:ser>
        <c:dLbls>
          <c:showLegendKey val="0"/>
          <c:showVal val="0"/>
          <c:showCatName val="0"/>
          <c:showSerName val="0"/>
          <c:showPercent val="0"/>
          <c:showBubbleSize val="0"/>
        </c:dLbls>
        <c:gapWidth val="219"/>
        <c:overlap val="-27"/>
        <c:axId val="994050799"/>
        <c:axId val="994051631"/>
      </c:barChart>
      <c:catAx>
        <c:axId val="994050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994051631"/>
        <c:crosses val="autoZero"/>
        <c:auto val="1"/>
        <c:lblAlgn val="ctr"/>
        <c:lblOffset val="100"/>
        <c:noMultiLvlLbl val="0"/>
      </c:catAx>
      <c:valAx>
        <c:axId val="9940516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994050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r>
              <a:rPr lang="en-US" b="1">
                <a:latin typeface="Cambria" panose="02040503050406030204" pitchFamily="18" charset="0"/>
                <a:ea typeface="Cambria" panose="02040503050406030204" pitchFamily="18" charset="0"/>
              </a:rPr>
              <a:t>Revenue Break-up of Marriot(</a:t>
            </a:r>
            <a:r>
              <a:rPr lang="en-US" sz="1000" b="1">
                <a:latin typeface="Cambria" panose="02040503050406030204" pitchFamily="18" charset="0"/>
                <a:ea typeface="Cambria" panose="02040503050406030204" pitchFamily="18" charset="0"/>
              </a:rPr>
              <a:t>USD in Millions</a:t>
            </a:r>
            <a:r>
              <a:rPr lang="en-US" b="1">
                <a:latin typeface="Cambria" panose="02040503050406030204" pitchFamily="18" charset="0"/>
                <a:ea typeface="Cambria" panose="02040503050406030204" pitchFamily="18" charset="0"/>
              </a:rPr>
              <a:t>)</a:t>
            </a:r>
          </a:p>
        </c:rich>
      </c:tx>
      <c:overlay val="0"/>
      <c:spPr>
        <a:solidFill>
          <a:srgbClr val="00B0F0"/>
        </a:solid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8.8911047691091011E-2"/>
          <c:y val="0.15076645112847487"/>
          <c:w val="0.88197687079508069"/>
          <c:h val="0.52526637390253317"/>
        </c:manualLayout>
      </c:layout>
      <c:barChart>
        <c:barDir val="col"/>
        <c:grouping val="clustered"/>
        <c:varyColors val="0"/>
        <c:ser>
          <c:idx val="0"/>
          <c:order val="0"/>
          <c:tx>
            <c:strRef>
              <c:f>'Marriot Inc'!$A$82</c:f>
              <c:strCache>
                <c:ptCount val="1"/>
                <c:pt idx="0">
                  <c:v>Base Management Fees</c:v>
                </c:pt>
              </c:strCache>
            </c:strRef>
          </c:tx>
          <c:spPr>
            <a:solidFill>
              <a:schemeClr val="accent1"/>
            </a:solidFill>
            <a:ln>
              <a:noFill/>
            </a:ln>
            <a:effectLst/>
          </c:spPr>
          <c:invertIfNegative val="0"/>
          <c:dLbls>
            <c:dLbl>
              <c:idx val="0"/>
              <c:layout>
                <c:manualLayout>
                  <c:x val="-1.1111111111111112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83-4571-8D8D-B21AE3A12400}"/>
                </c:ext>
              </c:extLst>
            </c:dLbl>
            <c:dLbl>
              <c:idx val="1"/>
              <c:layout>
                <c:manualLayout>
                  <c:x val="-4.7222222222222221E-2"/>
                  <c:y val="-4.6296296296296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83-4571-8D8D-B21AE3A12400}"/>
                </c:ext>
              </c:extLst>
            </c:dLbl>
            <c:dLbl>
              <c:idx val="2"/>
              <c:layout>
                <c:manualLayout>
                  <c:x val="-7.2222222222222215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83-4571-8D8D-B21AE3A1240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Inc'!$B$81:$E$81</c:f>
              <c:numCache>
                <c:formatCode>General</c:formatCode>
                <c:ptCount val="4"/>
                <c:pt idx="0">
                  <c:v>2020</c:v>
                </c:pt>
                <c:pt idx="1">
                  <c:v>2021</c:v>
                </c:pt>
                <c:pt idx="2">
                  <c:v>2022</c:v>
                </c:pt>
              </c:numCache>
            </c:numRef>
          </c:cat>
          <c:val>
            <c:numRef>
              <c:f>'Marriot Inc'!$B$82:$E$82</c:f>
              <c:numCache>
                <c:formatCode>General</c:formatCode>
                <c:ptCount val="4"/>
                <c:pt idx="0">
                  <c:v>443</c:v>
                </c:pt>
                <c:pt idx="1">
                  <c:v>669</c:v>
                </c:pt>
                <c:pt idx="2" formatCode="#,##0">
                  <c:v>1044</c:v>
                </c:pt>
              </c:numCache>
            </c:numRef>
          </c:val>
          <c:extLst>
            <c:ext xmlns:c16="http://schemas.microsoft.com/office/drawing/2014/chart" uri="{C3380CC4-5D6E-409C-BE32-E72D297353CC}">
              <c16:uniqueId val="{00000003-7583-4571-8D8D-B21AE3A12400}"/>
            </c:ext>
          </c:extLst>
        </c:ser>
        <c:ser>
          <c:idx val="1"/>
          <c:order val="1"/>
          <c:tx>
            <c:strRef>
              <c:f>'Marriot Inc'!$A$83</c:f>
              <c:strCache>
                <c:ptCount val="1"/>
                <c:pt idx="0">
                  <c:v>Franchise Fees</c:v>
                </c:pt>
              </c:strCache>
            </c:strRef>
          </c:tx>
          <c:spPr>
            <a:solidFill>
              <a:schemeClr val="accent2"/>
            </a:solidFill>
            <a:ln>
              <a:noFill/>
            </a:ln>
            <a:effectLst/>
          </c:spPr>
          <c:invertIfNegative val="0"/>
          <c:dLbls>
            <c:dLbl>
              <c:idx val="0"/>
              <c:layout>
                <c:manualLayout>
                  <c:x val="-1.6666666666666666E-2"/>
                  <c:y val="-0.189814814814814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83-4571-8D8D-B21AE3A12400}"/>
                </c:ext>
              </c:extLst>
            </c:dLbl>
            <c:dLbl>
              <c:idx val="1"/>
              <c:layout>
                <c:manualLayout>
                  <c:x val="-7.3556525958272681E-2"/>
                  <c:y val="-0.15591765540348465"/>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6.5053467661520481E-2"/>
                      <c:h val="3.9870449947699754E-2"/>
                    </c:manualLayout>
                  </c15:layout>
                </c:ext>
                <c:ext xmlns:c16="http://schemas.microsoft.com/office/drawing/2014/chart" uri="{C3380CC4-5D6E-409C-BE32-E72D297353CC}">
                  <c16:uniqueId val="{00000005-7583-4571-8D8D-B21AE3A12400}"/>
                </c:ext>
              </c:extLst>
            </c:dLbl>
            <c:dLbl>
              <c:idx val="2"/>
              <c:layout>
                <c:manualLayout>
                  <c:x val="-8.3333333333333329E-2"/>
                  <c:y val="-0.1527777777777777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83-4571-8D8D-B21AE3A1240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Inc'!$B$81:$E$81</c:f>
              <c:numCache>
                <c:formatCode>General</c:formatCode>
                <c:ptCount val="4"/>
                <c:pt idx="0">
                  <c:v>2020</c:v>
                </c:pt>
                <c:pt idx="1">
                  <c:v>2021</c:v>
                </c:pt>
                <c:pt idx="2">
                  <c:v>2022</c:v>
                </c:pt>
              </c:numCache>
            </c:numRef>
          </c:cat>
          <c:val>
            <c:numRef>
              <c:f>'Marriot Inc'!$B$83:$E$83</c:f>
              <c:numCache>
                <c:formatCode>#,##0</c:formatCode>
                <c:ptCount val="4"/>
                <c:pt idx="0">
                  <c:v>1153</c:v>
                </c:pt>
                <c:pt idx="1">
                  <c:v>1790</c:v>
                </c:pt>
                <c:pt idx="2">
                  <c:v>2505</c:v>
                </c:pt>
              </c:numCache>
            </c:numRef>
          </c:val>
          <c:extLst>
            <c:ext xmlns:c16="http://schemas.microsoft.com/office/drawing/2014/chart" uri="{C3380CC4-5D6E-409C-BE32-E72D297353CC}">
              <c16:uniqueId val="{00000007-7583-4571-8D8D-B21AE3A12400}"/>
            </c:ext>
          </c:extLst>
        </c:ser>
        <c:ser>
          <c:idx val="2"/>
          <c:order val="2"/>
          <c:tx>
            <c:strRef>
              <c:f>'Marriot Inc'!$A$84</c:f>
              <c:strCache>
                <c:ptCount val="1"/>
                <c:pt idx="0">
                  <c:v>Incentive Management Fees</c:v>
                </c:pt>
              </c:strCache>
            </c:strRef>
          </c:tx>
          <c:spPr>
            <a:solidFill>
              <a:schemeClr val="accent3"/>
            </a:solidFill>
            <a:ln>
              <a:noFill/>
            </a:ln>
            <a:effectLst/>
          </c:spPr>
          <c:invertIfNegative val="0"/>
          <c:dLbls>
            <c:dLbl>
              <c:idx val="0"/>
              <c:layout>
                <c:manualLayout>
                  <c:x val="-1.6982047549733162E-2"/>
                  <c:y val="-0.144742443593018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583-4571-8D8D-B21AE3A12400}"/>
                </c:ext>
              </c:extLst>
            </c:dLbl>
            <c:dLbl>
              <c:idx val="1"/>
              <c:layout>
                <c:manualLayout>
                  <c:x val="-1.6982047549733228E-2"/>
                  <c:y val="-0.114942528735632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583-4571-8D8D-B21AE3A12400}"/>
                </c:ext>
              </c:extLst>
            </c:dLbl>
            <c:dLbl>
              <c:idx val="2"/>
              <c:layout>
                <c:manualLayout>
                  <c:x val="-3.1538088306647435E-2"/>
                  <c:y val="-0.1958280119199659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583-4571-8D8D-B21AE3A1240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Inc'!$B$81:$E$81</c:f>
              <c:numCache>
                <c:formatCode>General</c:formatCode>
                <c:ptCount val="4"/>
                <c:pt idx="0">
                  <c:v>2020</c:v>
                </c:pt>
                <c:pt idx="1">
                  <c:v>2021</c:v>
                </c:pt>
                <c:pt idx="2">
                  <c:v>2022</c:v>
                </c:pt>
              </c:numCache>
            </c:numRef>
          </c:cat>
          <c:val>
            <c:numRef>
              <c:f>'Marriot Inc'!$B$84:$E$84</c:f>
              <c:numCache>
                <c:formatCode>General</c:formatCode>
                <c:ptCount val="4"/>
                <c:pt idx="0">
                  <c:v>87</c:v>
                </c:pt>
                <c:pt idx="1">
                  <c:v>235</c:v>
                </c:pt>
                <c:pt idx="2">
                  <c:v>529</c:v>
                </c:pt>
              </c:numCache>
            </c:numRef>
          </c:val>
          <c:extLst>
            <c:ext xmlns:c16="http://schemas.microsoft.com/office/drawing/2014/chart" uri="{C3380CC4-5D6E-409C-BE32-E72D297353CC}">
              <c16:uniqueId val="{0000000B-7583-4571-8D8D-B21AE3A12400}"/>
            </c:ext>
          </c:extLst>
        </c:ser>
        <c:ser>
          <c:idx val="3"/>
          <c:order val="3"/>
          <c:tx>
            <c:strRef>
              <c:f>'Marriot Inc'!$A$85</c:f>
              <c:strCache>
                <c:ptCount val="1"/>
                <c:pt idx="0">
                  <c:v>Owned,Leased,and Other Revenue</c:v>
                </c:pt>
              </c:strCache>
            </c:strRef>
          </c:tx>
          <c:spPr>
            <a:solidFill>
              <a:schemeClr val="accent4"/>
            </a:solidFill>
            <a:ln>
              <a:noFill/>
            </a:ln>
            <a:effectLst/>
          </c:spPr>
          <c:invertIfNegative val="0"/>
          <c:dLbls>
            <c:dLbl>
              <c:idx val="0"/>
              <c:layout>
                <c:manualLayout>
                  <c:x val="-3.3964095099466275E-2"/>
                  <c:y val="-0.3363133248190719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583-4571-8D8D-B21AE3A12400}"/>
                </c:ext>
              </c:extLst>
            </c:dLbl>
            <c:dLbl>
              <c:idx val="1"/>
              <c:layout>
                <c:manualLayout>
                  <c:x val="-7.2780203784570591E-2"/>
                  <c:y val="-0.2657012510660142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583-4571-8D8D-B21AE3A12400}"/>
                </c:ext>
              </c:extLst>
            </c:dLbl>
            <c:dLbl>
              <c:idx val="2"/>
              <c:layout>
                <c:manualLayout>
                  <c:x val="-3.8816108685104316E-2"/>
                  <c:y val="-0.2979991485738612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583-4571-8D8D-B21AE3A1240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Inc'!$B$81:$E$81</c:f>
              <c:numCache>
                <c:formatCode>General</c:formatCode>
                <c:ptCount val="4"/>
                <c:pt idx="0">
                  <c:v>2020</c:v>
                </c:pt>
                <c:pt idx="1">
                  <c:v>2021</c:v>
                </c:pt>
                <c:pt idx="2">
                  <c:v>2022</c:v>
                </c:pt>
              </c:numCache>
            </c:numRef>
          </c:cat>
          <c:val>
            <c:numRef>
              <c:f>'Marriot Inc'!$B$85:$E$85</c:f>
              <c:numCache>
                <c:formatCode>General</c:formatCode>
                <c:ptCount val="4"/>
                <c:pt idx="0">
                  <c:v>568</c:v>
                </c:pt>
                <c:pt idx="1">
                  <c:v>796</c:v>
                </c:pt>
                <c:pt idx="2" formatCode="#,##0">
                  <c:v>1367</c:v>
                </c:pt>
              </c:numCache>
            </c:numRef>
          </c:val>
          <c:extLst>
            <c:ext xmlns:c16="http://schemas.microsoft.com/office/drawing/2014/chart" uri="{C3380CC4-5D6E-409C-BE32-E72D297353CC}">
              <c16:uniqueId val="{0000000F-7583-4571-8D8D-B21AE3A12400}"/>
            </c:ext>
          </c:extLst>
        </c:ser>
        <c:ser>
          <c:idx val="4"/>
          <c:order val="4"/>
          <c:tx>
            <c:strRef>
              <c:f>'Marriot Inc'!$A$86</c:f>
              <c:strCache>
                <c:ptCount val="1"/>
                <c:pt idx="0">
                  <c:v>Cost Reimbursement Revenue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Inc'!$B$81:$E$81</c:f>
              <c:numCache>
                <c:formatCode>General</c:formatCode>
                <c:ptCount val="4"/>
                <c:pt idx="0">
                  <c:v>2020</c:v>
                </c:pt>
                <c:pt idx="1">
                  <c:v>2021</c:v>
                </c:pt>
                <c:pt idx="2">
                  <c:v>2022</c:v>
                </c:pt>
              </c:numCache>
            </c:numRef>
          </c:cat>
          <c:val>
            <c:numRef>
              <c:f>'Marriot Inc'!$B$86:$E$86</c:f>
              <c:numCache>
                <c:formatCode>#,##0</c:formatCode>
                <c:ptCount val="4"/>
                <c:pt idx="0">
                  <c:v>8452</c:v>
                </c:pt>
                <c:pt idx="1">
                  <c:v>10442</c:v>
                </c:pt>
                <c:pt idx="2">
                  <c:v>15417</c:v>
                </c:pt>
              </c:numCache>
            </c:numRef>
          </c:val>
          <c:extLst>
            <c:ext xmlns:c16="http://schemas.microsoft.com/office/drawing/2014/chart" uri="{C3380CC4-5D6E-409C-BE32-E72D297353CC}">
              <c16:uniqueId val="{00000010-7583-4571-8D8D-B21AE3A12400}"/>
            </c:ext>
          </c:extLst>
        </c:ser>
        <c:ser>
          <c:idx val="5"/>
          <c:order val="5"/>
          <c:tx>
            <c:strRef>
              <c:f>'Marriot Inc'!$A$87</c:f>
              <c:strCache>
                <c:ptCount val="1"/>
              </c:strCache>
            </c:strRef>
          </c:tx>
          <c:spPr>
            <a:solidFill>
              <a:schemeClr val="accent6"/>
            </a:solidFill>
            <a:ln>
              <a:noFill/>
            </a:ln>
            <a:effectLst/>
          </c:spPr>
          <c:invertIfNegative val="0"/>
          <c:cat>
            <c:numRef>
              <c:f>'Marriot Inc'!$B$81:$E$81</c:f>
              <c:numCache>
                <c:formatCode>General</c:formatCode>
                <c:ptCount val="4"/>
                <c:pt idx="0">
                  <c:v>2020</c:v>
                </c:pt>
                <c:pt idx="1">
                  <c:v>2021</c:v>
                </c:pt>
                <c:pt idx="2">
                  <c:v>2022</c:v>
                </c:pt>
              </c:numCache>
            </c:numRef>
          </c:cat>
          <c:val>
            <c:numRef>
              <c:f>'Marriot Inc'!$B$87:$F$87</c:f>
              <c:numCache>
                <c:formatCode>General</c:formatCode>
                <c:ptCount val="5"/>
              </c:numCache>
            </c:numRef>
          </c:val>
          <c:extLst>
            <c:ext xmlns:c16="http://schemas.microsoft.com/office/drawing/2014/chart" uri="{C3380CC4-5D6E-409C-BE32-E72D297353CC}">
              <c16:uniqueId val="{00000011-7583-4571-8D8D-B21AE3A12400}"/>
            </c:ext>
          </c:extLst>
        </c:ser>
        <c:dLbls>
          <c:showLegendKey val="0"/>
          <c:showVal val="0"/>
          <c:showCatName val="0"/>
          <c:showSerName val="0"/>
          <c:showPercent val="0"/>
          <c:showBubbleSize val="0"/>
        </c:dLbls>
        <c:gapWidth val="219"/>
        <c:overlap val="-27"/>
        <c:axId val="1054390895"/>
        <c:axId val="1054391311"/>
      </c:barChart>
      <c:catAx>
        <c:axId val="1054390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1054391311"/>
        <c:crosses val="autoZero"/>
        <c:auto val="1"/>
        <c:lblAlgn val="ctr"/>
        <c:lblOffset val="100"/>
        <c:noMultiLvlLbl val="0"/>
      </c:catAx>
      <c:valAx>
        <c:axId val="1054391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1054390895"/>
        <c:crosses val="autoZero"/>
        <c:crossBetween val="between"/>
      </c:val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r>
              <a:rPr lang="en-US" b="1">
                <a:latin typeface="Cambria" panose="02040503050406030204" pitchFamily="18" charset="0"/>
                <a:ea typeface="Cambria" panose="02040503050406030204" pitchFamily="18" charset="0"/>
              </a:rPr>
              <a:t>Cost</a:t>
            </a:r>
            <a:r>
              <a:rPr lang="en-US" b="1" baseline="0">
                <a:latin typeface="Cambria" panose="02040503050406030204" pitchFamily="18" charset="0"/>
                <a:ea typeface="Cambria" panose="02040503050406030204" pitchFamily="18" charset="0"/>
              </a:rPr>
              <a:t> Break-up of Marriot(</a:t>
            </a:r>
            <a:r>
              <a:rPr lang="en-US" sz="1000" b="1" baseline="0">
                <a:latin typeface="Cambria" panose="02040503050406030204" pitchFamily="18" charset="0"/>
                <a:ea typeface="Cambria" panose="02040503050406030204" pitchFamily="18" charset="0"/>
              </a:rPr>
              <a:t>USD in Millions</a:t>
            </a:r>
            <a:r>
              <a:rPr lang="en-US" b="1" baseline="0">
                <a:latin typeface="Cambria" panose="02040503050406030204" pitchFamily="18" charset="0"/>
                <a:ea typeface="Cambria" panose="02040503050406030204" pitchFamily="18" charset="0"/>
              </a:rPr>
              <a:t>)</a:t>
            </a:r>
            <a:endParaRPr lang="en-US" b="1">
              <a:latin typeface="Cambria" panose="02040503050406030204" pitchFamily="18" charset="0"/>
              <a:ea typeface="Cambria" panose="02040503050406030204" pitchFamily="18" charset="0"/>
            </a:endParaRPr>
          </a:p>
        </c:rich>
      </c:tx>
      <c:overlay val="0"/>
      <c:spPr>
        <a:solidFill>
          <a:srgbClr val="00B0F0"/>
        </a:solid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0.11226996191949995"/>
          <c:y val="0.13679059246180839"/>
          <c:w val="0.85958289588801395"/>
          <c:h val="0.45908044127855185"/>
        </c:manualLayout>
      </c:layout>
      <c:barChart>
        <c:barDir val="col"/>
        <c:grouping val="clustered"/>
        <c:varyColors val="0"/>
        <c:ser>
          <c:idx val="0"/>
          <c:order val="0"/>
          <c:tx>
            <c:strRef>
              <c:f>'Marriot Inc'!$A$91</c:f>
              <c:strCache>
                <c:ptCount val="1"/>
                <c:pt idx="0">
                  <c:v>Owned,Leased,and Other-Direct Cost</c:v>
                </c:pt>
              </c:strCache>
            </c:strRef>
          </c:tx>
          <c:spPr>
            <a:solidFill>
              <a:schemeClr val="accent1"/>
            </a:solidFill>
            <a:ln>
              <a:noFill/>
            </a:ln>
            <a:effectLst/>
          </c:spPr>
          <c:invertIfNegative val="0"/>
          <c:dLbls>
            <c:dLbl>
              <c:idx val="0"/>
              <c:layout>
                <c:manualLayout>
                  <c:x val="-1.2042389210019268E-2"/>
                  <c:y val="-7.0846617074034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8A-4C02-BD24-274E58217711}"/>
                </c:ext>
              </c:extLst>
            </c:dLbl>
            <c:dLbl>
              <c:idx val="1"/>
              <c:layout>
                <c:manualLayout>
                  <c:x val="-4.8169556840077073E-2"/>
                  <c:y val="-4.95926319518243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8A-4C02-BD24-274E58217711}"/>
                </c:ext>
              </c:extLst>
            </c:dLbl>
            <c:dLbl>
              <c:idx val="2"/>
              <c:layout>
                <c:manualLayout>
                  <c:x val="-6.0211946050096339E-2"/>
                  <c:y val="-2.47963159759122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58A-4C02-BD24-274E5821771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Inc'!$B$90:$E$90</c:f>
              <c:numCache>
                <c:formatCode>General</c:formatCode>
                <c:ptCount val="4"/>
                <c:pt idx="0">
                  <c:v>2020</c:v>
                </c:pt>
                <c:pt idx="1">
                  <c:v>2021</c:v>
                </c:pt>
                <c:pt idx="2">
                  <c:v>2022</c:v>
                </c:pt>
              </c:numCache>
            </c:numRef>
          </c:cat>
          <c:val>
            <c:numRef>
              <c:f>'Marriot Inc'!$B$91:$E$91</c:f>
              <c:numCache>
                <c:formatCode>General</c:formatCode>
                <c:ptCount val="4"/>
                <c:pt idx="0">
                  <c:v>677</c:v>
                </c:pt>
                <c:pt idx="1">
                  <c:v>734</c:v>
                </c:pt>
                <c:pt idx="2" formatCode="#,##0">
                  <c:v>1074</c:v>
                </c:pt>
              </c:numCache>
            </c:numRef>
          </c:val>
          <c:extLst>
            <c:ext xmlns:c16="http://schemas.microsoft.com/office/drawing/2014/chart" uri="{C3380CC4-5D6E-409C-BE32-E72D297353CC}">
              <c16:uniqueId val="{00000003-458A-4C02-BD24-274E58217711}"/>
            </c:ext>
          </c:extLst>
        </c:ser>
        <c:ser>
          <c:idx val="1"/>
          <c:order val="1"/>
          <c:tx>
            <c:strRef>
              <c:f>'Marriot Inc'!$A$92</c:f>
              <c:strCache>
                <c:ptCount val="1"/>
                <c:pt idx="0">
                  <c:v>Depreciation,Amortization,and Other</c:v>
                </c:pt>
              </c:strCache>
            </c:strRef>
          </c:tx>
          <c:spPr>
            <a:solidFill>
              <a:schemeClr val="accent2"/>
            </a:solidFill>
            <a:ln>
              <a:noFill/>
            </a:ln>
            <a:effectLst/>
          </c:spPr>
          <c:invertIfNegative val="0"/>
          <c:dLbls>
            <c:dLbl>
              <c:idx val="0"/>
              <c:layout>
                <c:manualLayout>
                  <c:x val="0"/>
                  <c:y val="-2.47963159759121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58A-4C02-BD24-274E58217711}"/>
                </c:ext>
              </c:extLst>
            </c:dLbl>
            <c:dLbl>
              <c:idx val="1"/>
              <c:layout>
                <c:manualLayout>
                  <c:x val="0"/>
                  <c:y val="-2.47963159759121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8A-4C02-BD24-274E58217711}"/>
                </c:ext>
              </c:extLst>
            </c:dLbl>
            <c:dLbl>
              <c:idx val="2"/>
              <c:layout>
                <c:manualLayout>
                  <c:x val="-7.2254335260115606E-3"/>
                  <c:y val="-3.18809776833156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8A-4C02-BD24-274E5821771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Inc'!$B$90:$E$90</c:f>
              <c:numCache>
                <c:formatCode>General</c:formatCode>
                <c:ptCount val="4"/>
                <c:pt idx="0">
                  <c:v>2020</c:v>
                </c:pt>
                <c:pt idx="1">
                  <c:v>2021</c:v>
                </c:pt>
                <c:pt idx="2">
                  <c:v>2022</c:v>
                </c:pt>
              </c:numCache>
            </c:numRef>
          </c:cat>
          <c:val>
            <c:numRef>
              <c:f>'Marriot Inc'!$B$92:$E$92</c:f>
              <c:numCache>
                <c:formatCode>General</c:formatCode>
                <c:ptCount val="4"/>
                <c:pt idx="0">
                  <c:v>346</c:v>
                </c:pt>
                <c:pt idx="1">
                  <c:v>220</c:v>
                </c:pt>
                <c:pt idx="2">
                  <c:v>193</c:v>
                </c:pt>
              </c:numCache>
            </c:numRef>
          </c:val>
          <c:extLst>
            <c:ext xmlns:c16="http://schemas.microsoft.com/office/drawing/2014/chart" uri="{C3380CC4-5D6E-409C-BE32-E72D297353CC}">
              <c16:uniqueId val="{00000007-458A-4C02-BD24-274E58217711}"/>
            </c:ext>
          </c:extLst>
        </c:ser>
        <c:ser>
          <c:idx val="2"/>
          <c:order val="2"/>
          <c:tx>
            <c:strRef>
              <c:f>'Marriot Inc'!$A$93</c:f>
              <c:strCache>
                <c:ptCount val="1"/>
                <c:pt idx="0">
                  <c:v>General,Administrative,and Other</c:v>
                </c:pt>
              </c:strCache>
            </c:strRef>
          </c:tx>
          <c:spPr>
            <a:solidFill>
              <a:schemeClr val="accent3"/>
            </a:solidFill>
            <a:ln>
              <a:noFill/>
            </a:ln>
            <a:effectLst/>
          </c:spPr>
          <c:invertIfNegative val="0"/>
          <c:dLbls>
            <c:dLbl>
              <c:idx val="0"/>
              <c:layout>
                <c:manualLayout>
                  <c:x val="-2.7777777777777779E-3"/>
                  <c:y val="-7.08466170740347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58A-4C02-BD24-274E58217711}"/>
                </c:ext>
              </c:extLst>
            </c:dLbl>
            <c:dLbl>
              <c:idx val="1"/>
              <c:layout>
                <c:manualLayout>
                  <c:x val="-2.7777777777777779E-3"/>
                  <c:y val="-6.021962451292951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58A-4C02-BD24-274E58217711}"/>
                </c:ext>
              </c:extLst>
            </c:dLbl>
            <c:dLbl>
              <c:idx val="2"/>
              <c:layout>
                <c:manualLayout>
                  <c:x val="-5.5555555555555558E-3"/>
                  <c:y val="-5.66772936592278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58A-4C02-BD24-274E5821771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Inc'!$B$90:$E$90</c:f>
              <c:numCache>
                <c:formatCode>General</c:formatCode>
                <c:ptCount val="4"/>
                <c:pt idx="0">
                  <c:v>2020</c:v>
                </c:pt>
                <c:pt idx="1">
                  <c:v>2021</c:v>
                </c:pt>
                <c:pt idx="2">
                  <c:v>2022</c:v>
                </c:pt>
              </c:numCache>
            </c:numRef>
          </c:cat>
          <c:val>
            <c:numRef>
              <c:f>'Marriot Inc'!$B$93:$E$93</c:f>
              <c:numCache>
                <c:formatCode>General</c:formatCode>
                <c:ptCount val="4"/>
                <c:pt idx="0">
                  <c:v>762</c:v>
                </c:pt>
                <c:pt idx="1">
                  <c:v>823</c:v>
                </c:pt>
                <c:pt idx="2">
                  <c:v>891</c:v>
                </c:pt>
              </c:numCache>
            </c:numRef>
          </c:val>
          <c:extLst>
            <c:ext xmlns:c16="http://schemas.microsoft.com/office/drawing/2014/chart" uri="{C3380CC4-5D6E-409C-BE32-E72D297353CC}">
              <c16:uniqueId val="{0000000B-458A-4C02-BD24-274E58217711}"/>
            </c:ext>
          </c:extLst>
        </c:ser>
        <c:ser>
          <c:idx val="3"/>
          <c:order val="3"/>
          <c:tx>
            <c:strRef>
              <c:f>'Marriot Inc'!$A$94</c:f>
              <c:strCache>
                <c:ptCount val="1"/>
                <c:pt idx="0">
                  <c:v>Restructuring, Merger-related Charges, and Other</c:v>
                </c:pt>
              </c:strCache>
            </c:strRef>
          </c:tx>
          <c:spPr>
            <a:solidFill>
              <a:schemeClr val="accent4"/>
            </a:solidFill>
            <a:ln>
              <a:noFill/>
            </a:ln>
            <a:effectLst/>
          </c:spPr>
          <c:invertIfNegative val="0"/>
          <c:dLbls>
            <c:dLbl>
              <c:idx val="0"/>
              <c:layout>
                <c:manualLayout>
                  <c:x val="-2.7777777777777779E-3"/>
                  <c:y val="-3.54233085370174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58A-4C02-BD24-274E58217711}"/>
                </c:ext>
              </c:extLst>
            </c:dLbl>
            <c:dLbl>
              <c:idx val="1"/>
              <c:layout>
                <c:manualLayout>
                  <c:x val="0"/>
                  <c:y val="-3.89656393907191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58A-4C02-BD24-274E58217711}"/>
                </c:ext>
              </c:extLst>
            </c:dLbl>
            <c:dLbl>
              <c:idx val="2"/>
              <c:layout>
                <c:manualLayout>
                  <c:x val="0"/>
                  <c:y val="-5.66772936592277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58A-4C02-BD24-274E5821771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'Marriot Inc'!$B$90:$E$90</c:f>
              <c:numCache>
                <c:formatCode>General</c:formatCode>
                <c:ptCount val="4"/>
                <c:pt idx="0">
                  <c:v>2020</c:v>
                </c:pt>
                <c:pt idx="1">
                  <c:v>2021</c:v>
                </c:pt>
                <c:pt idx="2">
                  <c:v>2022</c:v>
                </c:pt>
              </c:numCache>
            </c:numRef>
          </c:cat>
          <c:val>
            <c:numRef>
              <c:f>'Marriot Inc'!$B$94:$E$94</c:f>
              <c:numCache>
                <c:formatCode>General</c:formatCode>
                <c:ptCount val="4"/>
                <c:pt idx="0">
                  <c:v>267</c:v>
                </c:pt>
                <c:pt idx="1">
                  <c:v>8</c:v>
                </c:pt>
                <c:pt idx="2">
                  <c:v>12</c:v>
                </c:pt>
              </c:numCache>
            </c:numRef>
          </c:val>
          <c:extLst>
            <c:ext xmlns:c16="http://schemas.microsoft.com/office/drawing/2014/chart" uri="{C3380CC4-5D6E-409C-BE32-E72D297353CC}">
              <c16:uniqueId val="{0000000F-458A-4C02-BD24-274E58217711}"/>
            </c:ext>
          </c:extLst>
        </c:ser>
        <c:ser>
          <c:idx val="4"/>
          <c:order val="4"/>
          <c:tx>
            <c:strRef>
              <c:f>'Marriot Inc'!$A$95</c:f>
              <c:strCache>
                <c:ptCount val="1"/>
                <c:pt idx="0">
                  <c:v>Reimbursed Expenses</c:v>
                </c:pt>
              </c:strCache>
            </c:strRef>
          </c:tx>
          <c:spPr>
            <a:solidFill>
              <a:schemeClr val="accent5"/>
            </a:solidFill>
            <a:ln>
              <a:noFill/>
            </a:ln>
            <a:effectLst/>
          </c:spPr>
          <c:invertIfNegative val="0"/>
          <c:dLbls>
            <c:dLbl>
              <c:idx val="0"/>
              <c:tx>
                <c:rich>
                  <a:bodyPr/>
                  <a:lstStyle/>
                  <a:p>
                    <a:r>
                      <a:rPr lang="en-US" baseline="0"/>
                      <a:t> </a:t>
                    </a:r>
                    <a:fld id="{8808A0B0-F8F8-4702-B167-0EC68A72E28B}"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458A-4C02-BD24-274E58217711}"/>
                </c:ext>
              </c:extLst>
            </c:dLbl>
            <c:dLbl>
              <c:idx val="1"/>
              <c:tx>
                <c:rich>
                  <a:bodyPr/>
                  <a:lstStyle/>
                  <a:p>
                    <a:r>
                      <a:rPr lang="en-US" baseline="0"/>
                      <a:t> </a:t>
                    </a:r>
                    <a:fld id="{3E843462-9763-4F03-850A-E845FCA45A51}"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458A-4C02-BD24-274E58217711}"/>
                </c:ext>
              </c:extLst>
            </c:dLbl>
            <c:dLbl>
              <c:idx val="2"/>
              <c:tx>
                <c:rich>
                  <a:bodyPr/>
                  <a:lstStyle/>
                  <a:p>
                    <a:r>
                      <a:rPr lang="en-US" baseline="0"/>
                      <a:t> </a:t>
                    </a:r>
                    <a:fld id="{A1581E22-4A3A-4BEB-9384-273C4930FB4C}"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458A-4C02-BD24-274E5821771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Cambria" panose="02040503050406030204" pitchFamily="18" charset="0"/>
                    <a:ea typeface="Cambria" panose="02040503050406030204" pitchFamily="18" charset="0"/>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'Marriot Inc'!$B$90:$E$90</c:f>
              <c:numCache>
                <c:formatCode>General</c:formatCode>
                <c:ptCount val="4"/>
                <c:pt idx="0">
                  <c:v>2020</c:v>
                </c:pt>
                <c:pt idx="1">
                  <c:v>2021</c:v>
                </c:pt>
                <c:pt idx="2">
                  <c:v>2022</c:v>
                </c:pt>
              </c:numCache>
            </c:numRef>
          </c:cat>
          <c:val>
            <c:numRef>
              <c:f>'Marriot Inc'!$B$95:$E$95</c:f>
              <c:numCache>
                <c:formatCode>#,##0</c:formatCode>
                <c:ptCount val="4"/>
                <c:pt idx="0">
                  <c:v>8435</c:v>
                </c:pt>
                <c:pt idx="1">
                  <c:v>10322</c:v>
                </c:pt>
                <c:pt idx="2">
                  <c:v>15141</c:v>
                </c:pt>
              </c:numCache>
            </c:numRef>
          </c:val>
          <c:extLst>
            <c:ext xmlns:c16="http://schemas.microsoft.com/office/drawing/2014/chart" uri="{C3380CC4-5D6E-409C-BE32-E72D297353CC}">
              <c16:uniqueId val="{00000013-458A-4C02-BD24-274E58217711}"/>
            </c:ext>
          </c:extLst>
        </c:ser>
        <c:dLbls>
          <c:showLegendKey val="0"/>
          <c:showVal val="0"/>
          <c:showCatName val="0"/>
          <c:showSerName val="0"/>
          <c:showPercent val="0"/>
          <c:showBubbleSize val="0"/>
        </c:dLbls>
        <c:gapWidth val="219"/>
        <c:overlap val="-27"/>
        <c:axId val="1062523567"/>
        <c:axId val="1062530223"/>
      </c:barChart>
      <c:catAx>
        <c:axId val="1062523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1062530223"/>
        <c:crosses val="autoZero"/>
        <c:auto val="1"/>
        <c:lblAlgn val="ctr"/>
        <c:lblOffset val="100"/>
        <c:noMultiLvlLbl val="0"/>
      </c:catAx>
      <c:valAx>
        <c:axId val="1062530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1062523567"/>
        <c:crosses val="autoZero"/>
        <c:crossBetween val="between"/>
      </c:valAx>
      <c:spPr>
        <a:noFill/>
        <a:ln>
          <a:noFill/>
        </a:ln>
        <a:effectLst/>
      </c:spPr>
    </c:plotArea>
    <c:legend>
      <c:legendPos val="b"/>
      <c:layout>
        <c:manualLayout>
          <c:xMode val="edge"/>
          <c:yMode val="edge"/>
          <c:x val="0.26188107496977236"/>
          <c:y val="0.68345497202000693"/>
          <c:w val="0.52055426929378124"/>
          <c:h val="0.2935565542514733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dc:creator>
  <cp:keywords/>
  <dc:description/>
  <cp:lastModifiedBy>Harsha</cp:lastModifiedBy>
  <cp:revision>4</cp:revision>
  <dcterms:created xsi:type="dcterms:W3CDTF">2024-02-11T00:07:00Z</dcterms:created>
  <dcterms:modified xsi:type="dcterms:W3CDTF">2024-02-11T00:07:00Z</dcterms:modified>
</cp:coreProperties>
</file>