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2864" w14:textId="315DF820" w:rsidR="00E530FC" w:rsidRDefault="007A0927" w:rsidP="00D94BD4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Johnson &amp; Johnson</w:t>
      </w:r>
    </w:p>
    <w:p w14:paraId="00547C53" w14:textId="18982DC0" w:rsidR="007A0927" w:rsidRPr="005C6FAC" w:rsidRDefault="007A0927" w:rsidP="00673EC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C6FAC">
        <w:rPr>
          <w:rFonts w:ascii="Cambria" w:hAnsi="Cambria" w:cs="AkzidenzGroteskBE-Regular"/>
          <w:sz w:val="24"/>
          <w:szCs w:val="24"/>
        </w:rPr>
        <w:t xml:space="preserve">Johnson &amp; Johnson </w:t>
      </w:r>
      <w:r w:rsidR="00673EC8" w:rsidRPr="005C6FAC">
        <w:rPr>
          <w:rFonts w:ascii="Cambria" w:hAnsi="Cambria" w:cs="AkzidenzGroteskBE-Regular"/>
          <w:sz w:val="24"/>
          <w:szCs w:val="24"/>
        </w:rPr>
        <w:t>is a holding company with more than 15</w:t>
      </w:r>
      <w:r w:rsidR="006E2585" w:rsidRPr="005C6FAC">
        <w:rPr>
          <w:rFonts w:ascii="Cambria" w:hAnsi="Cambria" w:cs="AkzidenzGroteskBE-Regular"/>
          <w:sz w:val="24"/>
          <w:szCs w:val="24"/>
        </w:rPr>
        <w:t>2</w:t>
      </w:r>
      <w:r w:rsidR="00673EC8" w:rsidRPr="005C6FAC">
        <w:rPr>
          <w:rFonts w:ascii="Cambria" w:hAnsi="Cambria" w:cs="AkzidenzGroteskBE-Regular"/>
          <w:sz w:val="24"/>
          <w:szCs w:val="24"/>
        </w:rPr>
        <w:t xml:space="preserve">,000 employees based and incorporated in USA, which </w:t>
      </w:r>
      <w:r w:rsidRPr="005C6FAC">
        <w:rPr>
          <w:rFonts w:ascii="Cambria" w:hAnsi="Cambria" w:cs="AkzidenzGroteskBE-Regular"/>
          <w:sz w:val="24"/>
          <w:szCs w:val="24"/>
        </w:rPr>
        <w:t xml:space="preserve">is </w:t>
      </w:r>
      <w:r w:rsidRPr="005C6FAC">
        <w:rPr>
          <w:rFonts w:ascii="Cambria" w:hAnsi="Cambria" w:cs="AkzidenzGroteskBE-Regular"/>
          <w:sz w:val="24"/>
          <w:szCs w:val="24"/>
        </w:rPr>
        <w:t>engaged in the</w:t>
      </w:r>
      <w:r w:rsidRPr="005C6FAC">
        <w:rPr>
          <w:rFonts w:ascii="Cambria" w:hAnsi="Cambria" w:cs="AkzidenzGroteskBE-Regular"/>
          <w:sz w:val="24"/>
          <w:szCs w:val="24"/>
        </w:rPr>
        <w:t xml:space="preserve"> </w:t>
      </w:r>
      <w:r w:rsidRPr="005C6FAC">
        <w:rPr>
          <w:rFonts w:ascii="Cambria" w:hAnsi="Cambria" w:cs="AkzidenzGroteskBE-Regular"/>
          <w:color w:val="000000" w:themeColor="text1"/>
          <w:sz w:val="24"/>
          <w:szCs w:val="24"/>
        </w:rPr>
        <w:t xml:space="preserve">research and development, manufacture and sale of a broad range of products </w:t>
      </w:r>
      <w:r w:rsidR="00673EC8" w:rsidRPr="005C6FAC">
        <w:rPr>
          <w:rFonts w:ascii="Cambria" w:hAnsi="Cambria" w:cs="AkzidenzGroteskBE-Regular"/>
          <w:color w:val="000000" w:themeColor="text1"/>
          <w:sz w:val="24"/>
          <w:szCs w:val="24"/>
        </w:rPr>
        <w:t xml:space="preserve">in worldwide </w:t>
      </w:r>
      <w:r w:rsidRPr="005C6FAC">
        <w:rPr>
          <w:rFonts w:ascii="Cambria" w:hAnsi="Cambria" w:cs="AkzidenzGroteskBE-Regular"/>
          <w:color w:val="000000" w:themeColor="text1"/>
          <w:sz w:val="24"/>
          <w:szCs w:val="24"/>
        </w:rPr>
        <w:t>in the healthcare</w:t>
      </w:r>
      <w:r w:rsidR="00673EC8" w:rsidRPr="005C6FAC">
        <w:rPr>
          <w:rFonts w:ascii="Cambria" w:hAnsi="Cambria" w:cs="AkzidenzGroteskBE-Regular"/>
          <w:color w:val="000000" w:themeColor="text1"/>
          <w:sz w:val="24"/>
          <w:szCs w:val="24"/>
        </w:rPr>
        <w:t xml:space="preserve"> industry</w:t>
      </w:r>
      <w:r w:rsidRPr="005C6FAC">
        <w:rPr>
          <w:rFonts w:ascii="Cambria" w:hAnsi="Cambria" w:cs="AkzidenzGroteskBE-Regular"/>
          <w:color w:val="000000" w:themeColor="text1"/>
          <w:sz w:val="24"/>
          <w:szCs w:val="24"/>
        </w:rPr>
        <w:t>.</w:t>
      </w:r>
      <w:r w:rsidR="00673EC8" w:rsidRPr="005C6FAC">
        <w:rPr>
          <w:rFonts w:ascii="Cambria" w:hAnsi="Cambria" w:cs="AkzidenzGroteskBE-Regular"/>
          <w:color w:val="000000" w:themeColor="text1"/>
          <w:sz w:val="24"/>
          <w:szCs w:val="24"/>
        </w:rPr>
        <w:t xml:space="preserve"> </w:t>
      </w:r>
      <w:r w:rsidR="00673EC8" w:rsidRPr="005C6FAC">
        <w:rPr>
          <w:rFonts w:ascii="Cambria" w:hAnsi="Cambria"/>
          <w:color w:val="000000" w:themeColor="text1"/>
          <w:sz w:val="24"/>
          <w:szCs w:val="24"/>
        </w:rPr>
        <w:t>The Company’s</w:t>
      </w:r>
      <w:r w:rsidR="00673EC8" w:rsidRPr="005C6FAC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673EC8" w:rsidRPr="005C6FAC">
        <w:rPr>
          <w:rFonts w:ascii="Cambria" w:hAnsi="Cambria"/>
          <w:color w:val="000000" w:themeColor="text1"/>
          <w:sz w:val="24"/>
          <w:szCs w:val="24"/>
        </w:rPr>
        <w:t>primary focus is products related to human health and well-being</w:t>
      </w:r>
      <w:r w:rsidR="00673EC8" w:rsidRPr="005C6FAC">
        <w:rPr>
          <w:rFonts w:ascii="Cambria" w:hAnsi="Cambria"/>
          <w:color w:val="000000" w:themeColor="text1"/>
          <w:sz w:val="24"/>
          <w:szCs w:val="24"/>
        </w:rPr>
        <w:t xml:space="preserve"> in three</w:t>
      </w:r>
      <w:r w:rsidR="00673EC8" w:rsidRPr="005C6FAC">
        <w:rPr>
          <w:rFonts w:ascii="Cambria" w:hAnsi="Cambria"/>
          <w:color w:val="000000" w:themeColor="text1"/>
          <w:sz w:val="24"/>
          <w:szCs w:val="24"/>
        </w:rPr>
        <w:t xml:space="preserve"> business segments: Consumer Health, Pharmaceutical and MedTech (Medical</w:t>
      </w:r>
      <w:r w:rsidR="00673EC8" w:rsidRPr="005C6FAC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673EC8" w:rsidRPr="005C6FAC">
        <w:rPr>
          <w:rFonts w:ascii="Cambria" w:hAnsi="Cambria"/>
          <w:color w:val="000000" w:themeColor="text1"/>
          <w:sz w:val="24"/>
          <w:szCs w:val="24"/>
        </w:rPr>
        <w:t>Devices).</w:t>
      </w:r>
    </w:p>
    <w:p w14:paraId="5A52CB98" w14:textId="35596813" w:rsidR="00673EC8" w:rsidRPr="005C6FAC" w:rsidRDefault="00673EC8" w:rsidP="00673EC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0E099A3" w14:textId="77777777" w:rsidR="000B7482" w:rsidRPr="005C6FAC" w:rsidRDefault="000B7482" w:rsidP="000B7482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C6FAC">
        <w:rPr>
          <w:rFonts w:ascii="Cambria" w:hAnsi="Cambria"/>
          <w:color w:val="000000" w:themeColor="text1"/>
          <w:sz w:val="24"/>
          <w:szCs w:val="24"/>
        </w:rPr>
        <w:t xml:space="preserve">Johnson &amp; Johnson's </w:t>
      </w:r>
      <w:bookmarkStart w:id="0" w:name="_Hlk158499857"/>
      <w:r w:rsidRPr="005C6FAC">
        <w:rPr>
          <w:rFonts w:ascii="Cambria" w:hAnsi="Cambria"/>
          <w:color w:val="000000" w:themeColor="text1"/>
          <w:sz w:val="24"/>
          <w:szCs w:val="24"/>
        </w:rPr>
        <w:t>Pharmaceuticals segment has made 55 % in total revenues in each financial year from 2020 to 2022, while Medical Devices segment has increased by         17.9 % in 2021 and further increased by 1.4 % in 2022 to its revenue growth over the years. Also, Consumer Health segment has increased by 4 % in 2021 with respect to 2020 and declined by 0.5% in 2022 based in 2021.</w:t>
      </w:r>
    </w:p>
    <w:bookmarkEnd w:id="0"/>
    <w:p w14:paraId="4372AF66" w14:textId="77777777" w:rsidR="000B7482" w:rsidRPr="005C6FAC" w:rsidRDefault="000B7482" w:rsidP="000B7482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C6FAC">
        <w:rPr>
          <w:rFonts w:ascii="Cambria" w:hAnsi="Cambria"/>
          <w:color w:val="000000" w:themeColor="text1"/>
          <w:sz w:val="24"/>
          <w:szCs w:val="24"/>
        </w:rPr>
        <w:t>Pharmaceutical segment is expected to be the single-biggest revenue driver with $55 B in revenues with 65% of total revenues over FY2023.</w:t>
      </w:r>
    </w:p>
    <w:p w14:paraId="21BFA3D7" w14:textId="77777777" w:rsidR="000B7482" w:rsidRPr="005C6FAC" w:rsidRDefault="000B7482" w:rsidP="000B7482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C6FAC">
        <w:rPr>
          <w:rFonts w:ascii="Cambria" w:hAnsi="Cambria"/>
          <w:color w:val="000000" w:themeColor="text1"/>
          <w:sz w:val="24"/>
          <w:szCs w:val="24"/>
        </w:rPr>
        <w:t>Medical Devices segment is expected to be the fastest-growing segment in coming years based on the information over 2020 to 2022.</w:t>
      </w:r>
    </w:p>
    <w:p w14:paraId="7A1EDA8A" w14:textId="215F62A5" w:rsidR="00F535A3" w:rsidRPr="005C6FAC" w:rsidRDefault="00F535A3" w:rsidP="00F535A3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C6FAC">
        <w:rPr>
          <w:rFonts w:ascii="Cambria" w:hAnsi="Cambria"/>
          <w:color w:val="000000" w:themeColor="text1"/>
          <w:sz w:val="24"/>
          <w:szCs w:val="24"/>
        </w:rPr>
        <w:t>Upfront</w:t>
      </w:r>
      <w:r w:rsidRPr="005C6FAC">
        <w:rPr>
          <w:rFonts w:ascii="Cambria" w:hAnsi="Cambria"/>
          <w:color w:val="000000" w:themeColor="text1"/>
          <w:sz w:val="24"/>
          <w:szCs w:val="24"/>
        </w:rPr>
        <w:t>,</w:t>
      </w:r>
      <w:r w:rsidRPr="005C6FAC">
        <w:rPr>
          <w:rFonts w:ascii="Cambria" w:hAnsi="Cambria"/>
          <w:color w:val="000000" w:themeColor="text1"/>
          <w:sz w:val="24"/>
          <w:szCs w:val="24"/>
        </w:rPr>
        <w:t xml:space="preserve"> milestone and royalty or profit share payments made to third parties in connection with research and development</w:t>
      </w:r>
      <w:r w:rsidRPr="005C6FAC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5C6FAC">
        <w:rPr>
          <w:rFonts w:ascii="Cambria" w:hAnsi="Cambria"/>
          <w:color w:val="000000" w:themeColor="text1"/>
          <w:sz w:val="24"/>
          <w:szCs w:val="24"/>
        </w:rPr>
        <w:t xml:space="preserve">collaborations are expensed as incurred up to the point of regulatory </w:t>
      </w:r>
      <w:r w:rsidR="00995C58" w:rsidRPr="005C6FAC">
        <w:rPr>
          <w:rFonts w:ascii="Cambria" w:hAnsi="Cambria"/>
          <w:color w:val="000000" w:themeColor="text1"/>
          <w:sz w:val="24"/>
          <w:szCs w:val="24"/>
        </w:rPr>
        <w:t>approval. Payments</w:t>
      </w:r>
      <w:r w:rsidRPr="005C6FAC">
        <w:rPr>
          <w:rFonts w:ascii="Cambria" w:hAnsi="Cambria"/>
          <w:color w:val="000000" w:themeColor="text1"/>
          <w:sz w:val="24"/>
          <w:szCs w:val="24"/>
        </w:rPr>
        <w:t xml:space="preserve"> made to third parties subsequent</w:t>
      </w:r>
      <w:r w:rsidRPr="005C6FAC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5C6FAC">
        <w:rPr>
          <w:rFonts w:ascii="Cambria" w:hAnsi="Cambria"/>
          <w:color w:val="000000" w:themeColor="text1"/>
          <w:sz w:val="24"/>
          <w:szCs w:val="24"/>
        </w:rPr>
        <w:t>to regulatory approval are capitalized and amortized over the remaining useful life of the related product.</w:t>
      </w:r>
    </w:p>
    <w:p w14:paraId="23B5C694" w14:textId="3BFA5CAB" w:rsidR="00F535A3" w:rsidRDefault="00F535A3" w:rsidP="00F535A3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5C6FAC">
        <w:rPr>
          <w:rFonts w:ascii="Cambria" w:hAnsi="Cambria"/>
          <w:color w:val="000000" w:themeColor="text1"/>
          <w:sz w:val="24"/>
          <w:szCs w:val="24"/>
        </w:rPr>
        <w:t>Costs associated with advertising are expensed in the year incurred and are included in selling, marketing and</w:t>
      </w:r>
      <w:r w:rsidRPr="005C6FAC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5C6FAC">
        <w:rPr>
          <w:rFonts w:ascii="Cambria" w:hAnsi="Cambria"/>
          <w:color w:val="000000" w:themeColor="text1"/>
          <w:sz w:val="24"/>
          <w:szCs w:val="24"/>
        </w:rPr>
        <w:t>administrative expenses. Advertising expenses worldwide</w:t>
      </w:r>
      <w:r w:rsidRPr="005C6FAC">
        <w:rPr>
          <w:rFonts w:ascii="Cambria" w:hAnsi="Cambria"/>
          <w:color w:val="000000" w:themeColor="text1"/>
          <w:sz w:val="24"/>
          <w:szCs w:val="24"/>
        </w:rPr>
        <w:t xml:space="preserve"> have been shown </w:t>
      </w:r>
      <w:r w:rsidRPr="005C6FAC">
        <w:rPr>
          <w:rFonts w:ascii="Cambria" w:hAnsi="Cambria"/>
          <w:color w:val="000000" w:themeColor="text1"/>
          <w:sz w:val="24"/>
          <w:szCs w:val="24"/>
        </w:rPr>
        <w:t>were $2.1 billion, $2.7 billion and $2.1 billion in fiscal years 2022, 2021 and 2020, respectively.</w:t>
      </w:r>
    </w:p>
    <w:p w14:paraId="3AFC7A6B" w14:textId="3F57443E" w:rsidR="00F752C1" w:rsidRPr="005D212F" w:rsidRDefault="005D212F" w:rsidP="004E42CF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bookmarkStart w:id="1" w:name="_Hlk158310285"/>
      <w:r w:rsidRPr="005D212F">
        <w:rPr>
          <w:rFonts w:ascii="Cambria" w:hAnsi="Cambria" w:cs="AkzidenzGroteskBE-Regular"/>
          <w:color w:val="000000" w:themeColor="text1"/>
          <w:sz w:val="24"/>
          <w:szCs w:val="24"/>
        </w:rPr>
        <w:t>Cost of products sold increased as a percent to sales driven by</w:t>
      </w:r>
      <w:r w:rsidRPr="005D212F">
        <w:rPr>
          <w:rFonts w:ascii="Cambria" w:hAnsi="Cambria" w:cs="AkzidenzGroteskBE-Regular"/>
          <w:color w:val="000000" w:themeColor="text1"/>
          <w:sz w:val="24"/>
          <w:szCs w:val="24"/>
        </w:rPr>
        <w:t xml:space="preserve"> </w:t>
      </w:r>
      <w:r w:rsidRPr="005D212F">
        <w:rPr>
          <w:rFonts w:ascii="Cambria" w:hAnsi="Cambria" w:cs="AkzidenzGroteskBE-Regular"/>
          <w:color w:val="000000" w:themeColor="text1"/>
          <w:sz w:val="24"/>
          <w:szCs w:val="24"/>
        </w:rPr>
        <w:t>Commodity inflation in the MedTech and Consumer Health segments</w:t>
      </w:r>
      <w:r w:rsidRPr="005D212F">
        <w:rPr>
          <w:rFonts w:ascii="Cambria" w:hAnsi="Cambria" w:cs="AkzidenzGroteskBE-Regular"/>
          <w:color w:val="000000" w:themeColor="text1"/>
          <w:sz w:val="24"/>
          <w:szCs w:val="24"/>
        </w:rPr>
        <w:t>.</w:t>
      </w:r>
    </w:p>
    <w:p w14:paraId="63F788A8" w14:textId="77777777" w:rsidR="000B7482" w:rsidRDefault="00931362" w:rsidP="00F16CC5">
      <w:pPr>
        <w:autoSpaceDE w:val="0"/>
        <w:autoSpaceDN w:val="0"/>
        <w:adjustRightInd w:val="0"/>
        <w:spacing w:after="120" w:line="240" w:lineRule="auto"/>
        <w:jc w:val="both"/>
      </w:pPr>
      <w:r w:rsidRPr="00931362">
        <w:rPr>
          <w:rFonts w:ascii="Cambria" w:hAnsi="Cambria"/>
          <w:color w:val="000000" w:themeColor="text1"/>
          <w:sz w:val="24"/>
          <w:szCs w:val="24"/>
        </w:rPr>
        <w:t>Merck &amp; Co Inc.</w:t>
      </w:r>
      <w:r>
        <w:rPr>
          <w:rFonts w:ascii="Cambria" w:hAnsi="Cambria"/>
          <w:color w:val="000000" w:themeColor="text1"/>
          <w:sz w:val="24"/>
          <w:szCs w:val="24"/>
        </w:rPr>
        <w:t xml:space="preserve"> as a major competitor, </w:t>
      </w:r>
      <w:r w:rsidRPr="00931362">
        <w:rPr>
          <w:rFonts w:ascii="Cambria" w:hAnsi="Cambria"/>
          <w:color w:val="000000" w:themeColor="text1"/>
          <w:sz w:val="24"/>
          <w:szCs w:val="24"/>
        </w:rPr>
        <w:t>a global healthcare company</w:t>
      </w:r>
      <w:r w:rsidR="00F459AE">
        <w:rPr>
          <w:rFonts w:ascii="Cambria" w:hAnsi="Cambria"/>
          <w:color w:val="000000" w:themeColor="text1"/>
          <w:sz w:val="24"/>
          <w:szCs w:val="24"/>
        </w:rPr>
        <w:t>,</w:t>
      </w:r>
      <w:r w:rsidRPr="00931362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F459AE">
        <w:rPr>
          <w:rFonts w:ascii="Cambria" w:hAnsi="Cambria"/>
          <w:color w:val="000000" w:themeColor="text1"/>
          <w:sz w:val="24"/>
          <w:szCs w:val="24"/>
        </w:rPr>
        <w:t xml:space="preserve">is </w:t>
      </w:r>
      <w:r w:rsidRPr="00931362">
        <w:rPr>
          <w:rFonts w:ascii="Cambria" w:hAnsi="Cambria"/>
          <w:color w:val="000000" w:themeColor="text1"/>
          <w:sz w:val="24"/>
          <w:szCs w:val="24"/>
        </w:rPr>
        <w:t>operat</w:t>
      </w:r>
      <w:r w:rsidR="00F459AE">
        <w:rPr>
          <w:rFonts w:ascii="Cambria" w:hAnsi="Cambria"/>
          <w:color w:val="000000" w:themeColor="text1"/>
          <w:sz w:val="24"/>
          <w:szCs w:val="24"/>
        </w:rPr>
        <w:t xml:space="preserve">ed </w:t>
      </w:r>
      <w:r w:rsidR="00F16CC5">
        <w:rPr>
          <w:rFonts w:ascii="Cambria" w:hAnsi="Cambria"/>
          <w:color w:val="000000" w:themeColor="text1"/>
          <w:sz w:val="24"/>
          <w:szCs w:val="24"/>
        </w:rPr>
        <w:t xml:space="preserve">and </w:t>
      </w:r>
      <w:r w:rsidR="00F16CC5" w:rsidRPr="00931362">
        <w:rPr>
          <w:rFonts w:ascii="Cambria" w:hAnsi="Cambria"/>
          <w:color w:val="000000" w:themeColor="text1"/>
          <w:sz w:val="24"/>
          <w:szCs w:val="24"/>
        </w:rPr>
        <w:t>managed</w:t>
      </w:r>
      <w:r w:rsidRPr="00931362">
        <w:rPr>
          <w:rFonts w:ascii="Cambria" w:hAnsi="Cambria"/>
          <w:color w:val="000000" w:themeColor="text1"/>
          <w:sz w:val="24"/>
          <w:szCs w:val="24"/>
        </w:rPr>
        <w:t xml:space="preserve"> on a product basis </w:t>
      </w:r>
      <w:r w:rsidR="00F459AE">
        <w:rPr>
          <w:rFonts w:ascii="Cambria" w:hAnsi="Cambria"/>
          <w:color w:val="000000" w:themeColor="text1"/>
          <w:sz w:val="24"/>
          <w:szCs w:val="24"/>
        </w:rPr>
        <w:t>with</w:t>
      </w:r>
      <w:r w:rsidRPr="00931362">
        <w:rPr>
          <w:rFonts w:ascii="Cambria" w:hAnsi="Cambria"/>
          <w:color w:val="000000" w:themeColor="text1"/>
          <w:sz w:val="24"/>
          <w:szCs w:val="24"/>
        </w:rPr>
        <w:t xml:space="preserve"> two operating segments</w:t>
      </w:r>
      <w:r w:rsidR="00F459AE">
        <w:rPr>
          <w:rFonts w:ascii="Cambria" w:hAnsi="Cambria"/>
          <w:color w:val="000000" w:themeColor="text1"/>
          <w:sz w:val="24"/>
          <w:szCs w:val="24"/>
        </w:rPr>
        <w:t xml:space="preserve"> under </w:t>
      </w:r>
      <w:r w:rsidRPr="00931362">
        <w:rPr>
          <w:rFonts w:ascii="Cambria" w:hAnsi="Cambria"/>
          <w:color w:val="000000" w:themeColor="text1"/>
          <w:sz w:val="24"/>
          <w:szCs w:val="24"/>
        </w:rPr>
        <w:t>Pharmaceutical and Animal Health</w:t>
      </w:r>
      <w:r w:rsidR="00F459AE">
        <w:rPr>
          <w:rFonts w:ascii="Cambria" w:hAnsi="Cambria"/>
          <w:color w:val="000000" w:themeColor="text1"/>
          <w:sz w:val="24"/>
          <w:szCs w:val="24"/>
        </w:rPr>
        <w:t xml:space="preserve">. </w:t>
      </w:r>
      <w:r w:rsidR="00F459AE" w:rsidRPr="00F459AE">
        <w:rPr>
          <w:rFonts w:ascii="Cambria" w:hAnsi="Cambria"/>
          <w:color w:val="000000" w:themeColor="text1"/>
          <w:sz w:val="24"/>
          <w:szCs w:val="24"/>
        </w:rPr>
        <w:t>Worldwide sales were $59.3 billion in 2022, an increase of 22% compared with 202</w:t>
      </w:r>
      <w:r w:rsidR="00F16CC5">
        <w:rPr>
          <w:rFonts w:ascii="Cambria" w:hAnsi="Cambria"/>
          <w:color w:val="000000" w:themeColor="text1"/>
          <w:sz w:val="24"/>
          <w:szCs w:val="24"/>
        </w:rPr>
        <w:t>1.</w:t>
      </w:r>
      <w:r w:rsidR="00F16CC5" w:rsidRPr="00F16CC5">
        <w:t xml:space="preserve"> </w:t>
      </w:r>
      <w:r w:rsidR="00F16CC5" w:rsidRPr="00F16CC5">
        <w:rPr>
          <w:rFonts w:ascii="Cambria" w:hAnsi="Cambria"/>
          <w:color w:val="000000" w:themeColor="text1"/>
          <w:sz w:val="24"/>
          <w:szCs w:val="24"/>
        </w:rPr>
        <w:t>Cost of sales was $17.4 billion in 2022 and $13.6 billion in 2021.</w:t>
      </w:r>
      <w:r w:rsidR="00F16CC5" w:rsidRPr="00F16CC5">
        <w:t xml:space="preserve"> </w:t>
      </w:r>
    </w:p>
    <w:p w14:paraId="779EACFF" w14:textId="6B37FF38" w:rsidR="00F752C1" w:rsidRDefault="000B7482" w:rsidP="00F16CC5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bookmarkStart w:id="2" w:name="_Hlk158498183"/>
      <w:r>
        <w:rPr>
          <w:rFonts w:ascii="Cambria" w:hAnsi="Cambria"/>
          <w:color w:val="000000" w:themeColor="text1"/>
          <w:sz w:val="24"/>
          <w:szCs w:val="24"/>
        </w:rPr>
        <w:t xml:space="preserve">Merck’s </w:t>
      </w:r>
      <w:r w:rsidR="00F16CC5" w:rsidRPr="00F16CC5">
        <w:rPr>
          <w:rFonts w:ascii="Cambria" w:hAnsi="Cambria"/>
          <w:color w:val="000000" w:themeColor="text1"/>
          <w:sz w:val="24"/>
          <w:szCs w:val="24"/>
        </w:rPr>
        <w:t>Selling, general and administrative (SG&amp;A) expenses were $10.0 billion in 2022, an increase of 4% compared with 2021.</w:t>
      </w:r>
      <w:r w:rsidR="00F16CC5" w:rsidRPr="00F16CC5">
        <w:t xml:space="preserve"> </w:t>
      </w:r>
      <w:r w:rsidR="00F16CC5" w:rsidRPr="00F16CC5">
        <w:rPr>
          <w:rFonts w:ascii="Cambria" w:hAnsi="Cambria"/>
          <w:color w:val="000000" w:themeColor="text1"/>
          <w:sz w:val="24"/>
          <w:szCs w:val="24"/>
        </w:rPr>
        <w:t>Research and development (R&amp;D) expenses were $13.5 billion in 2022, an increase of 11% compared with 2021</w:t>
      </w:r>
      <w:r w:rsidR="00F16CC5">
        <w:rPr>
          <w:rFonts w:ascii="Cambria" w:hAnsi="Cambria"/>
          <w:color w:val="000000" w:themeColor="text1"/>
          <w:sz w:val="24"/>
          <w:szCs w:val="24"/>
        </w:rPr>
        <w:t>.</w:t>
      </w:r>
      <w:r w:rsidR="00F16CC5" w:rsidRPr="00F16CC5">
        <w:t xml:space="preserve"> </w:t>
      </w:r>
      <w:bookmarkEnd w:id="2"/>
      <w:r w:rsidR="00F16CC5" w:rsidRPr="00F16CC5">
        <w:rPr>
          <w:rFonts w:ascii="Cambria" w:hAnsi="Cambria"/>
          <w:color w:val="000000" w:themeColor="text1"/>
          <w:sz w:val="24"/>
          <w:szCs w:val="24"/>
        </w:rPr>
        <w:t>Restructuring costs, primarily representing separation and other related costs associated with these restructuring activities, were $337 million in 2022 and $661</w:t>
      </w:r>
      <w:r w:rsidR="00AC4AC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F16CC5" w:rsidRPr="00F16CC5">
        <w:rPr>
          <w:rFonts w:ascii="Cambria" w:hAnsi="Cambria"/>
          <w:color w:val="000000" w:themeColor="text1"/>
          <w:sz w:val="24"/>
          <w:szCs w:val="24"/>
        </w:rPr>
        <w:t>million in 2021.</w:t>
      </w:r>
    </w:p>
    <w:p w14:paraId="049C012D" w14:textId="6E511B69" w:rsidR="00F16CC5" w:rsidRDefault="00A56F94" w:rsidP="00A56F94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A56F94">
        <w:rPr>
          <w:rFonts w:ascii="Cambria" w:hAnsi="Cambria"/>
          <w:color w:val="000000" w:themeColor="text1"/>
          <w:sz w:val="24"/>
          <w:szCs w:val="24"/>
        </w:rPr>
        <w:t>AbbVie</w:t>
      </w:r>
      <w:r w:rsidR="0054357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A56F94">
        <w:rPr>
          <w:rFonts w:ascii="Cambria" w:hAnsi="Cambria"/>
          <w:color w:val="000000" w:themeColor="text1"/>
          <w:sz w:val="24"/>
          <w:szCs w:val="24"/>
        </w:rPr>
        <w:t>operates as a single global business segment dedicated to the research and development,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A56F94">
        <w:rPr>
          <w:rFonts w:ascii="Cambria" w:hAnsi="Cambria"/>
          <w:color w:val="000000" w:themeColor="text1"/>
          <w:sz w:val="24"/>
          <w:szCs w:val="24"/>
        </w:rPr>
        <w:t>manufacturing, commercialization and sale of innovative medicines and therapies</w:t>
      </w:r>
      <w:r>
        <w:rPr>
          <w:rFonts w:ascii="Cambria" w:hAnsi="Cambria"/>
          <w:color w:val="000000" w:themeColor="text1"/>
          <w:sz w:val="24"/>
          <w:szCs w:val="24"/>
        </w:rPr>
        <w:t>.</w:t>
      </w:r>
    </w:p>
    <w:p w14:paraId="2DF25770" w14:textId="14A73198" w:rsidR="00AC4AC9" w:rsidRDefault="00543579" w:rsidP="00AC4AC9">
      <w:p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AbbVie’s revenue has increased by 22.7 % in 2021 from 2020 and slight increase in 2022 by 3.3 %.</w:t>
      </w:r>
      <w:r w:rsidRPr="00543579">
        <w:rPr>
          <w:rFonts w:ascii="Cambria" w:hAnsi="Cambria"/>
          <w:color w:val="000000" w:themeColor="text1"/>
          <w:sz w:val="24"/>
          <w:szCs w:val="24"/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</w:rPr>
        <w:t xml:space="preserve">The total operating cost and expenses were increased by 11.1 % in 2021 compared with 2020, while it was increased further by 4.3 % in 2022 having </w:t>
      </w:r>
      <w:proofErr w:type="gramStart"/>
      <w:r>
        <w:rPr>
          <w:rFonts w:ascii="Cambria" w:hAnsi="Cambria"/>
          <w:color w:val="000000" w:themeColor="text1"/>
          <w:sz w:val="24"/>
          <w:szCs w:val="24"/>
        </w:rPr>
        <w:t>a</w:t>
      </w:r>
      <w:proofErr w:type="gramEnd"/>
      <w:r>
        <w:rPr>
          <w:rFonts w:ascii="Cambria" w:hAnsi="Cambria"/>
          <w:color w:val="000000" w:themeColor="text1"/>
          <w:sz w:val="24"/>
          <w:szCs w:val="24"/>
        </w:rPr>
        <w:t xml:space="preserve"> upward trend in revenue growth.</w:t>
      </w:r>
    </w:p>
    <w:bookmarkEnd w:id="1"/>
    <w:p w14:paraId="26A29EB0" w14:textId="2E1C2CEB" w:rsidR="00CC1984" w:rsidRDefault="00072FAD">
      <w:pPr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9F3F829" wp14:editId="5FDA8337">
            <wp:extent cx="5600700" cy="2979420"/>
            <wp:effectExtent l="0" t="0" r="0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07FF6A1-58D3-4107-BBC8-5EE328E91A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704ADE9" w14:textId="3EEF3D3C" w:rsidR="00072FAD" w:rsidRDefault="00072FAD" w:rsidP="00072FA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72FAD">
        <w:rPr>
          <w:rFonts w:ascii="Cambria" w:hAnsi="Cambria"/>
          <w:sz w:val="24"/>
          <w:szCs w:val="24"/>
        </w:rPr>
        <w:t>Consumer Health segment sales in 2022 were $15.0 billion, a decrease of 0.5% from 2021.</w:t>
      </w:r>
    </w:p>
    <w:p w14:paraId="7B0CEBF4" w14:textId="77777777" w:rsidR="006B1797" w:rsidRPr="00072FAD" w:rsidRDefault="006B1797" w:rsidP="006B1797">
      <w:pPr>
        <w:pStyle w:val="ListParagraph"/>
        <w:rPr>
          <w:rFonts w:ascii="Cambria" w:hAnsi="Cambria"/>
          <w:sz w:val="24"/>
          <w:szCs w:val="24"/>
        </w:rPr>
      </w:pPr>
    </w:p>
    <w:p w14:paraId="703ABE93" w14:textId="39C4E295" w:rsidR="00072FAD" w:rsidRDefault="00072FAD" w:rsidP="00072FA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72FAD">
        <w:rPr>
          <w:rFonts w:ascii="Cambria" w:hAnsi="Cambria"/>
          <w:sz w:val="24"/>
          <w:szCs w:val="24"/>
        </w:rPr>
        <w:t>Pharmaceutical segment sales in 2022 were $52.6 billion, an increase of 1.7% from 2021.</w:t>
      </w:r>
    </w:p>
    <w:p w14:paraId="0205DE91" w14:textId="77777777" w:rsidR="006B1797" w:rsidRPr="006B1797" w:rsidRDefault="006B1797" w:rsidP="006B1797">
      <w:pPr>
        <w:pStyle w:val="ListParagraph"/>
        <w:rPr>
          <w:rFonts w:ascii="Cambria" w:hAnsi="Cambria"/>
          <w:sz w:val="24"/>
          <w:szCs w:val="24"/>
        </w:rPr>
      </w:pPr>
    </w:p>
    <w:p w14:paraId="10557172" w14:textId="63843C25" w:rsidR="00072FAD" w:rsidRDefault="00072FAD" w:rsidP="00072FAD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072FAD">
        <w:rPr>
          <w:rFonts w:ascii="Cambria" w:hAnsi="Cambria"/>
          <w:sz w:val="24"/>
          <w:szCs w:val="24"/>
        </w:rPr>
        <w:t>MedTech segment sales in 2022 were $27.4 billion, an increase of 1.4% from 2021.</w:t>
      </w:r>
    </w:p>
    <w:p w14:paraId="224D4766" w14:textId="2017387D" w:rsidR="00D11D07" w:rsidRDefault="00072FAD">
      <w:pPr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5DEE1C9" wp14:editId="16CD5073">
            <wp:extent cx="5615940" cy="2827020"/>
            <wp:effectExtent l="0" t="0" r="3810" b="1143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9F11C420-EC19-48ED-B2B3-3431C8AE7A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59669CB" w14:textId="29C48126" w:rsidR="00D11D07" w:rsidRPr="006B1797" w:rsidRDefault="00072FAD" w:rsidP="00FF1723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bookmarkStart w:id="3" w:name="_Hlk158405853"/>
      <w:r>
        <w:rPr>
          <w:rFonts w:ascii="Cambria" w:hAnsi="Cambria"/>
          <w:sz w:val="24"/>
          <w:szCs w:val="24"/>
        </w:rPr>
        <w:t>Revenue in U.S region has increased by 9.3 % in 2021 and grown by 3 % in 2022 from 2021.</w:t>
      </w:r>
    </w:p>
    <w:p w14:paraId="729B62DF" w14:textId="77777777" w:rsidR="006B1797" w:rsidRPr="000044F5" w:rsidRDefault="006B1797" w:rsidP="006B1797">
      <w:pPr>
        <w:pStyle w:val="ListParagraph"/>
        <w:rPr>
          <w:rFonts w:ascii="Cambria" w:hAnsi="Cambria"/>
          <w:b/>
          <w:bCs/>
          <w:sz w:val="24"/>
          <w:szCs w:val="24"/>
        </w:rPr>
      </w:pPr>
    </w:p>
    <w:bookmarkEnd w:id="3"/>
    <w:p w14:paraId="5B148383" w14:textId="77777777" w:rsidR="00072FAD" w:rsidRPr="00072FAD" w:rsidRDefault="00072FAD" w:rsidP="00FF1723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Revenue in International has gradually increased by 18.2 % in 2021 from 2020 and slightly declined by 0.5 % in 2022 from 2021.</w:t>
      </w:r>
    </w:p>
    <w:p w14:paraId="6645A0F0" w14:textId="5F85AC1E" w:rsidR="00D11D07" w:rsidRDefault="00F876C6" w:rsidP="003C442C">
      <w:pPr>
        <w:pStyle w:val="ListParagraph"/>
        <w:ind w:left="0"/>
        <w:rPr>
          <w:noProof/>
        </w:rPr>
      </w:pPr>
      <w:r w:rsidRPr="00F876C6">
        <w:rPr>
          <w:noProof/>
        </w:rPr>
        <w:lastRenderedPageBreak/>
        <w:t xml:space="preserve"> </w:t>
      </w:r>
      <w:r w:rsidRPr="00F876C6">
        <w:rPr>
          <w:noProof/>
        </w:rPr>
        <w:drawing>
          <wp:inline distT="0" distB="0" distL="0" distR="0" wp14:anchorId="737DA584" wp14:editId="5E2C2B4A">
            <wp:extent cx="5731510" cy="295656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8ECDE" w14:textId="77777777" w:rsidR="006B1797" w:rsidRDefault="006B1797" w:rsidP="003C442C">
      <w:pPr>
        <w:pStyle w:val="ListParagraph"/>
        <w:ind w:left="0"/>
        <w:rPr>
          <w:noProof/>
        </w:rPr>
      </w:pPr>
    </w:p>
    <w:p w14:paraId="15B764A2" w14:textId="15394BDD" w:rsidR="000044F5" w:rsidRDefault="00F876C6" w:rsidP="00F876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F876C6">
        <w:rPr>
          <w:rFonts w:ascii="Cambria" w:hAnsi="Cambria"/>
          <w:color w:val="000000" w:themeColor="text1"/>
          <w:sz w:val="24"/>
          <w:szCs w:val="24"/>
        </w:rPr>
        <w:t>Pharmaceutical segment has made 55 % in total revenues in each financial year from 2020 to 2022</w:t>
      </w:r>
      <w:r w:rsidR="000044F5">
        <w:rPr>
          <w:rFonts w:ascii="Cambria" w:hAnsi="Cambria"/>
          <w:color w:val="000000" w:themeColor="text1"/>
          <w:sz w:val="24"/>
          <w:szCs w:val="24"/>
        </w:rPr>
        <w:t>.</w:t>
      </w:r>
    </w:p>
    <w:p w14:paraId="52200F1D" w14:textId="77777777" w:rsidR="000044F5" w:rsidRDefault="000044F5" w:rsidP="000044F5">
      <w:pPr>
        <w:pStyle w:val="ListParagraph"/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3D19362" w14:textId="38121FBE" w:rsidR="000044F5" w:rsidRDefault="00F876C6" w:rsidP="000044F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F876C6">
        <w:rPr>
          <w:rFonts w:ascii="Cambria" w:hAnsi="Cambria"/>
          <w:color w:val="000000" w:themeColor="text1"/>
          <w:sz w:val="24"/>
          <w:szCs w:val="24"/>
        </w:rPr>
        <w:t>Medical Devices segment has increased by</w:t>
      </w:r>
      <w:r w:rsidR="000044F5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F876C6">
        <w:rPr>
          <w:rFonts w:ascii="Cambria" w:hAnsi="Cambria"/>
          <w:color w:val="000000" w:themeColor="text1"/>
          <w:sz w:val="24"/>
          <w:szCs w:val="24"/>
        </w:rPr>
        <w:t>17.9 % in 2021 and further increased by 1.4 % in 2022 to its revenue growth over the years.</w:t>
      </w:r>
    </w:p>
    <w:p w14:paraId="1F835E9D" w14:textId="77777777" w:rsidR="000044F5" w:rsidRPr="000044F5" w:rsidRDefault="000044F5" w:rsidP="000044F5">
      <w:pPr>
        <w:pStyle w:val="ListParagraph"/>
        <w:rPr>
          <w:rFonts w:ascii="Cambria" w:hAnsi="Cambria"/>
          <w:color w:val="000000" w:themeColor="text1"/>
          <w:sz w:val="24"/>
          <w:szCs w:val="24"/>
        </w:rPr>
      </w:pPr>
    </w:p>
    <w:p w14:paraId="50D6EA5C" w14:textId="54F0EC95" w:rsidR="00F876C6" w:rsidRDefault="00F876C6" w:rsidP="00F876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F876C6">
        <w:rPr>
          <w:rFonts w:ascii="Cambria" w:hAnsi="Cambria"/>
          <w:color w:val="000000" w:themeColor="text1"/>
          <w:sz w:val="24"/>
          <w:szCs w:val="24"/>
        </w:rPr>
        <w:t>Consumer Health segment has increased by 4 % in 2021 with respect to 2020 and declined by 0.5% in 2022 based in 2021.</w:t>
      </w:r>
    </w:p>
    <w:p w14:paraId="5379DBDA" w14:textId="77777777" w:rsidR="006B1797" w:rsidRPr="006B1797" w:rsidRDefault="006B1797" w:rsidP="006B1797">
      <w:pPr>
        <w:pStyle w:val="ListParagraph"/>
        <w:rPr>
          <w:rFonts w:ascii="Cambria" w:hAnsi="Cambria"/>
          <w:color w:val="000000" w:themeColor="text1"/>
          <w:sz w:val="24"/>
          <w:szCs w:val="24"/>
        </w:rPr>
      </w:pPr>
    </w:p>
    <w:p w14:paraId="0C0A7DFB" w14:textId="6106B93A" w:rsidR="00D11D07" w:rsidRDefault="000044F5">
      <w:pPr>
        <w:rPr>
          <w:rFonts w:ascii="Cambria" w:hAnsi="Cambria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9FCE021" wp14:editId="71E024C3">
            <wp:extent cx="5661660" cy="3718560"/>
            <wp:effectExtent l="0" t="0" r="15240" b="1524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E3F40A5F-7926-4B73-89CD-C148C990C7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F048EAF" w14:textId="11BFCE5C" w:rsidR="00702CD5" w:rsidRPr="006B1797" w:rsidRDefault="000B5E45" w:rsidP="00702CD5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sz w:val="28"/>
          <w:szCs w:val="28"/>
        </w:rPr>
      </w:pPr>
      <w:bookmarkStart w:id="4" w:name="_Hlk158407336"/>
      <w:r>
        <w:rPr>
          <w:rFonts w:ascii="Cambria" w:hAnsi="Cambria"/>
          <w:sz w:val="24"/>
          <w:szCs w:val="24"/>
        </w:rPr>
        <w:lastRenderedPageBreak/>
        <w:t>Cost of products has been increased by 5% in 2021 and 4.1% in 2022 with respect to 2020 and 2021 respectively.</w:t>
      </w:r>
    </w:p>
    <w:p w14:paraId="065C597F" w14:textId="77777777" w:rsidR="006B1797" w:rsidRPr="00EC7693" w:rsidRDefault="006B1797" w:rsidP="006B1797">
      <w:pPr>
        <w:pStyle w:val="ListParagraph"/>
        <w:rPr>
          <w:rFonts w:ascii="Cambria" w:hAnsi="Cambria"/>
          <w:b/>
          <w:bCs/>
          <w:sz w:val="28"/>
          <w:szCs w:val="28"/>
        </w:rPr>
      </w:pPr>
    </w:p>
    <w:p w14:paraId="7C909138" w14:textId="548C1BEF" w:rsidR="000B5E45" w:rsidRPr="006B1797" w:rsidRDefault="000B5E45" w:rsidP="000B5E45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4"/>
          <w:szCs w:val="24"/>
        </w:rPr>
        <w:t xml:space="preserve">Research and development cost has </w:t>
      </w:r>
      <w:r>
        <w:rPr>
          <w:rFonts w:ascii="Cambria" w:hAnsi="Cambria"/>
          <w:sz w:val="24"/>
          <w:szCs w:val="24"/>
        </w:rPr>
        <w:t xml:space="preserve">been increased by </w:t>
      </w:r>
      <w:r>
        <w:rPr>
          <w:rFonts w:ascii="Cambria" w:hAnsi="Cambria"/>
          <w:sz w:val="24"/>
          <w:szCs w:val="24"/>
        </w:rPr>
        <w:t>21</w:t>
      </w:r>
      <w:r>
        <w:rPr>
          <w:rFonts w:ascii="Cambria" w:hAnsi="Cambria"/>
          <w:sz w:val="24"/>
          <w:szCs w:val="24"/>
        </w:rPr>
        <w:t xml:space="preserve">% in 2021 and </w:t>
      </w:r>
      <w:r>
        <w:rPr>
          <w:rFonts w:ascii="Cambria" w:hAnsi="Cambria"/>
          <w:sz w:val="24"/>
          <w:szCs w:val="24"/>
        </w:rPr>
        <w:t>declined by 0.8%</w:t>
      </w:r>
      <w:r>
        <w:rPr>
          <w:rFonts w:ascii="Cambria" w:hAnsi="Cambria"/>
          <w:sz w:val="24"/>
          <w:szCs w:val="24"/>
        </w:rPr>
        <w:t xml:space="preserve"> in 2022 with respect to 2020 and 2021 respectively.</w:t>
      </w:r>
    </w:p>
    <w:p w14:paraId="2F309BB4" w14:textId="77777777" w:rsidR="006B1797" w:rsidRPr="006B1797" w:rsidRDefault="006B1797" w:rsidP="006B1797">
      <w:pPr>
        <w:pStyle w:val="ListParagraph"/>
        <w:rPr>
          <w:rFonts w:ascii="Cambria" w:hAnsi="Cambria"/>
          <w:b/>
          <w:bCs/>
          <w:sz w:val="28"/>
          <w:szCs w:val="28"/>
        </w:rPr>
      </w:pPr>
    </w:p>
    <w:p w14:paraId="1A838E63" w14:textId="0D54F15E" w:rsidR="006B1797" w:rsidRPr="006B1797" w:rsidRDefault="006B1797" w:rsidP="006B1797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4"/>
          <w:szCs w:val="24"/>
        </w:rPr>
        <w:t>In-Progress r</w:t>
      </w:r>
      <w:r>
        <w:rPr>
          <w:rFonts w:ascii="Cambria" w:hAnsi="Cambria"/>
          <w:sz w:val="24"/>
          <w:szCs w:val="24"/>
        </w:rPr>
        <w:t xml:space="preserve">esearch and development cost has been increased by </w:t>
      </w:r>
      <w:r>
        <w:rPr>
          <w:rFonts w:ascii="Cambria" w:hAnsi="Cambria"/>
          <w:sz w:val="24"/>
          <w:szCs w:val="24"/>
        </w:rPr>
        <w:t>397.2</w:t>
      </w:r>
      <w:r>
        <w:rPr>
          <w:rFonts w:ascii="Cambria" w:hAnsi="Cambria"/>
          <w:sz w:val="24"/>
          <w:szCs w:val="24"/>
        </w:rPr>
        <w:t xml:space="preserve">% in 2021 and declined by </w:t>
      </w:r>
      <w:r>
        <w:rPr>
          <w:rFonts w:ascii="Cambria" w:hAnsi="Cambria"/>
          <w:sz w:val="24"/>
          <w:szCs w:val="24"/>
        </w:rPr>
        <w:t>13</w:t>
      </w:r>
      <w:r>
        <w:rPr>
          <w:rFonts w:ascii="Cambria" w:hAnsi="Cambria"/>
          <w:sz w:val="24"/>
          <w:szCs w:val="24"/>
        </w:rPr>
        <w:t>% in 2022 with respect to 2020 and 2021 respectively.</w:t>
      </w:r>
    </w:p>
    <w:p w14:paraId="6DE060ED" w14:textId="77777777" w:rsidR="006B1797" w:rsidRPr="006B1797" w:rsidRDefault="006B1797" w:rsidP="006B1797">
      <w:pPr>
        <w:pStyle w:val="ListParagraph"/>
        <w:rPr>
          <w:rFonts w:ascii="Cambria" w:hAnsi="Cambria"/>
          <w:b/>
          <w:bCs/>
          <w:sz w:val="28"/>
          <w:szCs w:val="28"/>
        </w:rPr>
      </w:pPr>
    </w:p>
    <w:p w14:paraId="420F75DF" w14:textId="5CF061EB" w:rsidR="006B1797" w:rsidRPr="006B1797" w:rsidRDefault="006B1797" w:rsidP="006B1797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4"/>
          <w:szCs w:val="24"/>
        </w:rPr>
        <w:t xml:space="preserve">Advertising </w:t>
      </w:r>
      <w:r>
        <w:rPr>
          <w:rFonts w:ascii="Cambria" w:hAnsi="Cambria"/>
          <w:sz w:val="24"/>
          <w:szCs w:val="24"/>
        </w:rPr>
        <w:t>cost has been increased by 2</w:t>
      </w:r>
      <w:r>
        <w:rPr>
          <w:rFonts w:ascii="Cambria" w:hAnsi="Cambria"/>
          <w:sz w:val="24"/>
          <w:szCs w:val="24"/>
        </w:rPr>
        <w:t>8.6</w:t>
      </w:r>
      <w:r>
        <w:rPr>
          <w:rFonts w:ascii="Cambria" w:hAnsi="Cambria"/>
          <w:sz w:val="24"/>
          <w:szCs w:val="24"/>
        </w:rPr>
        <w:t>% in 2021 and declined by</w:t>
      </w:r>
      <w:r>
        <w:rPr>
          <w:rFonts w:ascii="Cambria" w:hAnsi="Cambria"/>
          <w:sz w:val="24"/>
          <w:szCs w:val="24"/>
        </w:rPr>
        <w:t xml:space="preserve"> 22.2</w:t>
      </w:r>
      <w:r>
        <w:rPr>
          <w:rFonts w:ascii="Cambria" w:hAnsi="Cambria"/>
          <w:sz w:val="24"/>
          <w:szCs w:val="24"/>
        </w:rPr>
        <w:t>% in 2022 with respect to 2020 and 2021 respectively.</w:t>
      </w:r>
    </w:p>
    <w:p w14:paraId="70080127" w14:textId="77777777" w:rsidR="006B1797" w:rsidRPr="006B1797" w:rsidRDefault="006B1797" w:rsidP="006B1797">
      <w:pPr>
        <w:pStyle w:val="ListParagraph"/>
        <w:rPr>
          <w:rFonts w:ascii="Cambria" w:hAnsi="Cambria"/>
          <w:b/>
          <w:bCs/>
          <w:sz w:val="28"/>
          <w:szCs w:val="28"/>
        </w:rPr>
      </w:pPr>
    </w:p>
    <w:p w14:paraId="3396BA22" w14:textId="6E7FBF7A" w:rsidR="00D11D07" w:rsidRPr="006B1797" w:rsidRDefault="006B1797" w:rsidP="0005166D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sz w:val="28"/>
          <w:szCs w:val="28"/>
        </w:rPr>
      </w:pPr>
      <w:r w:rsidRPr="006B1797">
        <w:rPr>
          <w:rFonts w:ascii="Cambria" w:hAnsi="Cambria"/>
          <w:sz w:val="24"/>
          <w:szCs w:val="24"/>
        </w:rPr>
        <w:t>Selling, marketing and administrative cost have</w:t>
      </w:r>
      <w:r w:rsidRPr="006B1797">
        <w:rPr>
          <w:rFonts w:ascii="Cambria" w:hAnsi="Cambria"/>
          <w:sz w:val="24"/>
          <w:szCs w:val="24"/>
        </w:rPr>
        <w:t xml:space="preserve"> been increased by </w:t>
      </w:r>
      <w:r w:rsidRPr="006B1797">
        <w:rPr>
          <w:rFonts w:ascii="Cambria" w:hAnsi="Cambria"/>
          <w:sz w:val="24"/>
          <w:szCs w:val="24"/>
        </w:rPr>
        <w:t>11.7</w:t>
      </w:r>
      <w:r w:rsidRPr="006B1797">
        <w:rPr>
          <w:rFonts w:ascii="Cambria" w:hAnsi="Cambria"/>
          <w:sz w:val="24"/>
          <w:szCs w:val="24"/>
        </w:rPr>
        <w:t xml:space="preserve">% in 2021 and </w:t>
      </w:r>
      <w:r w:rsidRPr="006B1797">
        <w:rPr>
          <w:rFonts w:ascii="Cambria" w:hAnsi="Cambria"/>
          <w:sz w:val="24"/>
          <w:szCs w:val="24"/>
        </w:rPr>
        <w:t>0.4</w:t>
      </w:r>
      <w:r w:rsidRPr="006B1797">
        <w:rPr>
          <w:rFonts w:ascii="Cambria" w:hAnsi="Cambria"/>
          <w:sz w:val="24"/>
          <w:szCs w:val="24"/>
        </w:rPr>
        <w:t>% in 2022 with respect to 2020 and 2021 respectively.</w:t>
      </w:r>
      <w:bookmarkEnd w:id="4"/>
    </w:p>
    <w:sectPr w:rsidR="00D11D07" w:rsidRPr="006B1797" w:rsidSect="00D11D0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zidenzGroteskB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34C58"/>
    <w:multiLevelType w:val="hybridMultilevel"/>
    <w:tmpl w:val="34D2D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A2553"/>
    <w:multiLevelType w:val="hybridMultilevel"/>
    <w:tmpl w:val="40427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796"/>
    <w:multiLevelType w:val="hybridMultilevel"/>
    <w:tmpl w:val="77602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6403A"/>
    <w:multiLevelType w:val="hybridMultilevel"/>
    <w:tmpl w:val="E9F85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84"/>
    <w:rsid w:val="00000919"/>
    <w:rsid w:val="000044F5"/>
    <w:rsid w:val="00072FAD"/>
    <w:rsid w:val="000B5E45"/>
    <w:rsid w:val="000B7482"/>
    <w:rsid w:val="000D038A"/>
    <w:rsid w:val="001C2EBE"/>
    <w:rsid w:val="001E4D1A"/>
    <w:rsid w:val="001E661A"/>
    <w:rsid w:val="00233678"/>
    <w:rsid w:val="002506CD"/>
    <w:rsid w:val="00253B6C"/>
    <w:rsid w:val="00324F52"/>
    <w:rsid w:val="003524C0"/>
    <w:rsid w:val="003C442C"/>
    <w:rsid w:val="00490649"/>
    <w:rsid w:val="004A66C7"/>
    <w:rsid w:val="004E42CF"/>
    <w:rsid w:val="00522F6C"/>
    <w:rsid w:val="00543579"/>
    <w:rsid w:val="005C551F"/>
    <w:rsid w:val="005C6FAC"/>
    <w:rsid w:val="005D212F"/>
    <w:rsid w:val="005E2C39"/>
    <w:rsid w:val="005E5DD4"/>
    <w:rsid w:val="00625562"/>
    <w:rsid w:val="006519F2"/>
    <w:rsid w:val="00666557"/>
    <w:rsid w:val="00673EC8"/>
    <w:rsid w:val="006A024D"/>
    <w:rsid w:val="006B1797"/>
    <w:rsid w:val="006D3F9F"/>
    <w:rsid w:val="006E2585"/>
    <w:rsid w:val="00702CD5"/>
    <w:rsid w:val="007404AD"/>
    <w:rsid w:val="00780E63"/>
    <w:rsid w:val="007A0927"/>
    <w:rsid w:val="008508EC"/>
    <w:rsid w:val="00915635"/>
    <w:rsid w:val="00931362"/>
    <w:rsid w:val="009848CD"/>
    <w:rsid w:val="00995C58"/>
    <w:rsid w:val="009D4175"/>
    <w:rsid w:val="00A56F94"/>
    <w:rsid w:val="00A65781"/>
    <w:rsid w:val="00AC4AC9"/>
    <w:rsid w:val="00B21C69"/>
    <w:rsid w:val="00BD2DFD"/>
    <w:rsid w:val="00BF09E8"/>
    <w:rsid w:val="00C220A3"/>
    <w:rsid w:val="00C25803"/>
    <w:rsid w:val="00C277B0"/>
    <w:rsid w:val="00C649E3"/>
    <w:rsid w:val="00CB4AD8"/>
    <w:rsid w:val="00CC1984"/>
    <w:rsid w:val="00CC5484"/>
    <w:rsid w:val="00D048F6"/>
    <w:rsid w:val="00D11D07"/>
    <w:rsid w:val="00D65574"/>
    <w:rsid w:val="00D67866"/>
    <w:rsid w:val="00D94BD4"/>
    <w:rsid w:val="00DB0AB2"/>
    <w:rsid w:val="00DC0992"/>
    <w:rsid w:val="00E11456"/>
    <w:rsid w:val="00E2712A"/>
    <w:rsid w:val="00E530FC"/>
    <w:rsid w:val="00EB3694"/>
    <w:rsid w:val="00EC7693"/>
    <w:rsid w:val="00EF002A"/>
    <w:rsid w:val="00F04B1A"/>
    <w:rsid w:val="00F16CC5"/>
    <w:rsid w:val="00F459AE"/>
    <w:rsid w:val="00F535A3"/>
    <w:rsid w:val="00F752C1"/>
    <w:rsid w:val="00F876C6"/>
    <w:rsid w:val="00FC610A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3180"/>
  <w15:chartTrackingRefBased/>
  <w15:docId w15:val="{DA149B79-4EAC-40E3-8D83-EBA498CF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8F6"/>
    <w:pPr>
      <w:ind w:left="720"/>
      <w:contextualSpacing/>
    </w:pPr>
  </w:style>
  <w:style w:type="table" w:styleId="TableGrid">
    <w:name w:val="Table Grid"/>
    <w:basedOn w:val="TableNormal"/>
    <w:uiPriority w:val="39"/>
    <w:rsid w:val="0007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r>
              <a:rPr lang="en-US" b="1">
                <a:latin typeface="Cambria" panose="02040503050406030204" pitchFamily="18" charset="0"/>
                <a:ea typeface="Cambria" panose="02040503050406030204" pitchFamily="18" charset="0"/>
              </a:rPr>
              <a:t>Revenue Drivers of Johnson</a:t>
            </a:r>
            <a:r>
              <a:rPr lang="en-US" b="1" baseline="0">
                <a:latin typeface="Cambria" panose="02040503050406030204" pitchFamily="18" charset="0"/>
                <a:ea typeface="Cambria" panose="02040503050406030204" pitchFamily="18" charset="0"/>
              </a:rPr>
              <a:t> &amp; Johnson(</a:t>
            </a:r>
            <a:r>
              <a:rPr lang="en-US" sz="900" b="1" baseline="0">
                <a:latin typeface="Cambria" panose="02040503050406030204" pitchFamily="18" charset="0"/>
                <a:ea typeface="Cambria" panose="02040503050406030204" pitchFamily="18" charset="0"/>
              </a:rPr>
              <a:t>$ millions</a:t>
            </a:r>
            <a:r>
              <a:rPr lang="en-US" b="1" baseline="0">
                <a:latin typeface="Cambria" panose="02040503050406030204" pitchFamily="18" charset="0"/>
                <a:ea typeface="Cambria" panose="02040503050406030204" pitchFamily="18" charset="0"/>
              </a:rPr>
              <a:t>) </a:t>
            </a:r>
            <a:endParaRPr lang="en-US" b="1">
              <a:latin typeface="Cambria" panose="02040503050406030204" pitchFamily="18" charset="0"/>
              <a:ea typeface="Cambria" panose="02040503050406030204" pitchFamily="18" charset="0"/>
            </a:endParaRPr>
          </a:p>
        </c:rich>
      </c:tx>
      <c:overlay val="0"/>
      <c:spPr>
        <a:solidFill>
          <a:srgbClr val="00B0F0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3866659524702273E-2"/>
          <c:y val="0.14347927253774129"/>
          <c:w val="0.88119002981770134"/>
          <c:h val="0.53760013154384068"/>
        </c:manualLayout>
      </c:layout>
      <c:lineChart>
        <c:grouping val="standard"/>
        <c:varyColors val="0"/>
        <c:ser>
          <c:idx val="0"/>
          <c:order val="0"/>
          <c:tx>
            <c:strRef>
              <c:f>'Johnson &amp; Johnson'!$D$40</c:f>
              <c:strCache>
                <c:ptCount val="1"/>
                <c:pt idx="0">
                  <c:v>Consumer Health Segment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3.3333333333333284E-2"/>
                  <c:y val="-4.2354934349851756E-2"/>
                </c:manualLayout>
              </c:layout>
              <c:tx>
                <c:rich>
                  <a:bodyPr/>
                  <a:lstStyle/>
                  <a:p>
                    <a:fld id="{B3E768C8-4270-4793-BDE6-69F8D1433179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C19-4FAA-A537-4A6687A0CDD9}"/>
                </c:ext>
              </c:extLst>
            </c:dLbl>
            <c:dLbl>
              <c:idx val="1"/>
              <c:layout>
                <c:manualLayout>
                  <c:x val="1.3888888888888788E-2"/>
                  <c:y val="-4.6590427784836935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7A4EA68-A2E3-4AC3-9F52-031E1EEA2D3D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C19-4FAA-A537-4A6687A0CDD9}"/>
                </c:ext>
              </c:extLst>
            </c:dLbl>
            <c:dLbl>
              <c:idx val="2"/>
              <c:layout>
                <c:manualLayout>
                  <c:x val="-8.3333333333334356E-3"/>
                  <c:y val="-5.5061414654807288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27F8DCF9-4572-4BD4-834E-D18B44D125B6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C19-4FAA-A537-4A6687A0CDD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'Johnson &amp; Johnson'!$E$39:$G$39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'Johnson &amp; Johnson'!$E$40:$G$40</c:f>
              <c:numCache>
                <c:formatCode>#,##0</c:formatCode>
                <c:ptCount val="3"/>
                <c:pt idx="0">
                  <c:v>14450</c:v>
                </c:pt>
                <c:pt idx="1">
                  <c:v>15035</c:v>
                </c:pt>
                <c:pt idx="2">
                  <c:v>14953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C19-4FAA-A537-4A6687A0CDD9}"/>
            </c:ext>
          </c:extLst>
        </c:ser>
        <c:ser>
          <c:idx val="1"/>
          <c:order val="1"/>
          <c:tx>
            <c:strRef>
              <c:f>'Johnson &amp; Johnson'!$D$41</c:f>
              <c:strCache>
                <c:ptCount val="1"/>
                <c:pt idx="0">
                  <c:v>Pharmaceutical Segment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8.3333333333333332E-3"/>
                  <c:y val="-0.10165184243964424"/>
                </c:manualLayout>
              </c:layout>
              <c:tx>
                <c:rich>
                  <a:bodyPr/>
                  <a:lstStyle/>
                  <a:p>
                    <a:fld id="{6B15D039-9CA8-44AC-943C-431CE55958D9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C19-4FAA-A537-4A6687A0CDD9}"/>
                </c:ext>
              </c:extLst>
            </c:dLbl>
            <c:dLbl>
              <c:idx val="1"/>
              <c:layout>
                <c:manualLayout>
                  <c:x val="-1.0185067526415994E-16"/>
                  <c:y val="-6.7767894959762792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A2AD4EC-EC2A-4411-87A7-5F2E361316BA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C19-4FAA-A537-4A6687A0CDD9}"/>
                </c:ext>
              </c:extLst>
            </c:dLbl>
            <c:dLbl>
              <c:idx val="2"/>
              <c:layout>
                <c:manualLayout>
                  <c:x val="2.7777777777775741E-3"/>
                  <c:y val="-7.6238881829733179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A838302-31BD-4BB0-96F5-97E3B9CB46DA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C19-4FAA-A537-4A6687A0CDD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'Johnson &amp; Johnson'!$E$39:$G$39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'Johnson &amp; Johnson'!$E$41:$G$41</c:f>
              <c:numCache>
                <c:formatCode>#,##0</c:formatCode>
                <c:ptCount val="3"/>
                <c:pt idx="0">
                  <c:v>45175</c:v>
                </c:pt>
                <c:pt idx="1">
                  <c:v>51680</c:v>
                </c:pt>
                <c:pt idx="2">
                  <c:v>52563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C19-4FAA-A537-4A6687A0CDD9}"/>
            </c:ext>
          </c:extLst>
        </c:ser>
        <c:ser>
          <c:idx val="2"/>
          <c:order val="2"/>
          <c:tx>
            <c:strRef>
              <c:f>'Johnson &amp; Johnson'!$D$42</c:f>
              <c:strCache>
                <c:ptCount val="1"/>
                <c:pt idx="0">
                  <c:v>Medical Devices(MedTech) Segment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0"/>
                  <c:y val="-8.8945362134688691E-2"/>
                </c:manualLayout>
              </c:layout>
              <c:tx>
                <c:rich>
                  <a:bodyPr/>
                  <a:lstStyle/>
                  <a:p>
                    <a:fld id="{E486569E-59A1-423C-9932-0F2A3408586F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1C19-4FAA-A537-4A6687A0CDD9}"/>
                </c:ext>
              </c:extLst>
            </c:dLbl>
            <c:dLbl>
              <c:idx val="1"/>
              <c:layout>
                <c:manualLayout>
                  <c:x val="-2.7777777777777779E-3"/>
                  <c:y val="-9.3180855569673871E-2"/>
                </c:manualLayout>
              </c:layout>
              <c:tx>
                <c:rich>
                  <a:bodyPr/>
                  <a:lstStyle/>
                  <a:p>
                    <a:fld id="{5C345523-6B9F-4D42-A966-A195457C6776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C19-4FAA-A537-4A6687A0CDD9}"/>
                </c:ext>
              </c:extLst>
            </c:dLbl>
            <c:dLbl>
              <c:idx val="2"/>
              <c:layout>
                <c:manualLayout>
                  <c:x val="-5.5555555555555558E-3"/>
                  <c:y val="-9.3180855569673829E-2"/>
                </c:manualLayout>
              </c:layout>
              <c:tx>
                <c:rich>
                  <a:bodyPr/>
                  <a:lstStyle/>
                  <a:p>
                    <a:fld id="{9898A8FB-FFF1-43B5-AE36-5C883B77BAE4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1C19-4FAA-A537-4A6687A0CDD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'Johnson &amp; Johnson'!$E$39:$G$39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'Johnson &amp; Johnson'!$E$42:$G$42</c:f>
              <c:numCache>
                <c:formatCode>#,##0</c:formatCode>
                <c:ptCount val="3"/>
                <c:pt idx="0">
                  <c:v>22959</c:v>
                </c:pt>
                <c:pt idx="1">
                  <c:v>27060</c:v>
                </c:pt>
                <c:pt idx="2">
                  <c:v>27427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C19-4FAA-A537-4A6687A0CD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40286783"/>
        <c:axId val="1140287199"/>
      </c:lineChart>
      <c:catAx>
        <c:axId val="11402867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en-US"/>
          </a:p>
        </c:txPr>
        <c:crossAx val="1140287199"/>
        <c:crosses val="autoZero"/>
        <c:auto val="1"/>
        <c:lblAlgn val="ctr"/>
        <c:lblOffset val="100"/>
        <c:noMultiLvlLbl val="0"/>
      </c:catAx>
      <c:valAx>
        <c:axId val="11402871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en-US"/>
          </a:p>
        </c:txPr>
        <c:crossAx val="11402867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767421929401681"/>
          <c:y val="0.77647971308550967"/>
          <c:w val="0.78465156141196635"/>
          <c:h val="0.210327742720103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latin typeface="Cambria" panose="02040503050406030204" pitchFamily="18" charset="0"/>
                <a:ea typeface="Cambria" panose="02040503050406030204" pitchFamily="18" charset="0"/>
              </a:rPr>
              <a:t>Worldwide Revenue Break-up(</a:t>
            </a:r>
            <a:r>
              <a:rPr lang="en-US" sz="1000" b="1">
                <a:latin typeface="Cambria" panose="02040503050406030204" pitchFamily="18" charset="0"/>
                <a:ea typeface="Cambria" panose="02040503050406030204" pitchFamily="18" charset="0"/>
              </a:rPr>
              <a:t>Geographical</a:t>
            </a:r>
            <a:r>
              <a:rPr lang="en-US" sz="1000" b="1" baseline="0">
                <a:latin typeface="Cambria" panose="02040503050406030204" pitchFamily="18" charset="0"/>
                <a:ea typeface="Cambria" panose="02040503050406030204" pitchFamily="18" charset="0"/>
              </a:rPr>
              <a:t> Area in $ millions</a:t>
            </a:r>
            <a:r>
              <a:rPr lang="en-US" b="1" baseline="0">
                <a:latin typeface="Cambria" panose="02040503050406030204" pitchFamily="18" charset="0"/>
                <a:ea typeface="Cambria" panose="02040503050406030204" pitchFamily="18" charset="0"/>
              </a:rPr>
              <a:t>)</a:t>
            </a:r>
            <a:endParaRPr lang="en-US" b="1">
              <a:latin typeface="Cambria" panose="02040503050406030204" pitchFamily="18" charset="0"/>
              <a:ea typeface="Cambria" panose="02040503050406030204" pitchFamily="18" charset="0"/>
            </a:endParaRPr>
          </a:p>
        </c:rich>
      </c:tx>
      <c:overlay val="0"/>
      <c:spPr>
        <a:solidFill>
          <a:srgbClr val="00B0F0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'Johnson &amp; Johnson'!$D$48</c:f>
              <c:strCache>
                <c:ptCount val="1"/>
                <c:pt idx="0">
                  <c:v>U.S.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-4.62962962962962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8D-4F46-9445-88A3DA3585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'Johnson &amp; Johnson'!$E$47:$G$47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'Johnson &amp; Johnson'!$E$48:$G$48</c:f>
              <c:numCache>
                <c:formatCode>#,##0</c:formatCode>
                <c:ptCount val="3"/>
                <c:pt idx="0">
                  <c:v>43133</c:v>
                </c:pt>
                <c:pt idx="1">
                  <c:v>47156</c:v>
                </c:pt>
                <c:pt idx="2">
                  <c:v>48580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8D-4F46-9445-88A3DA3585D1}"/>
            </c:ext>
          </c:extLst>
        </c:ser>
        <c:ser>
          <c:idx val="1"/>
          <c:order val="1"/>
          <c:tx>
            <c:strRef>
              <c:f>'Johnson &amp; Johnson'!$D$49</c:f>
              <c:strCache>
                <c:ptCount val="1"/>
                <c:pt idx="0">
                  <c:v>International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1321961620469083E-2"/>
                  <c:y val="-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78D-4F46-9445-88A3DA3585D1}"/>
                </c:ext>
              </c:extLst>
            </c:dLbl>
            <c:dLbl>
              <c:idx val="1"/>
              <c:layout>
                <c:manualLayout>
                  <c:x val="2.6877423904101475E-2"/>
                  <c:y val="-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8D-4F46-9445-88A3DA3585D1}"/>
                </c:ext>
              </c:extLst>
            </c:dLbl>
            <c:dLbl>
              <c:idx val="2"/>
              <c:layout>
                <c:manualLayout>
                  <c:x val="2.8879505733425112E-2"/>
                  <c:y val="-9.259259259259258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8D-4F46-9445-88A3DA3585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'Johnson &amp; Johnson'!$E$47:$G$47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'Johnson &amp; Johnson'!$E$49:$G$49</c:f>
              <c:numCache>
                <c:formatCode>#,##0</c:formatCode>
                <c:ptCount val="3"/>
                <c:pt idx="0">
                  <c:v>39451</c:v>
                </c:pt>
                <c:pt idx="1">
                  <c:v>46619</c:v>
                </c:pt>
                <c:pt idx="2">
                  <c:v>46363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78D-4F46-9445-88A3DA358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53857951"/>
        <c:axId val="1053858367"/>
      </c:barChart>
      <c:catAx>
        <c:axId val="1053857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en-US"/>
          </a:p>
        </c:txPr>
        <c:crossAx val="1053858367"/>
        <c:crosses val="autoZero"/>
        <c:auto val="1"/>
        <c:lblAlgn val="ctr"/>
        <c:lblOffset val="100"/>
        <c:noMultiLvlLbl val="0"/>
      </c:catAx>
      <c:valAx>
        <c:axId val="10538583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38579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r>
              <a:rPr lang="en-US" b="1">
                <a:latin typeface="Cambria" panose="02040503050406030204" pitchFamily="18" charset="0"/>
                <a:ea typeface="Cambria" panose="02040503050406030204" pitchFamily="18" charset="0"/>
              </a:rPr>
              <a:t>Cost Drivers -Break-up</a:t>
            </a:r>
            <a:r>
              <a:rPr lang="en-US" sz="1000" b="1">
                <a:latin typeface="Cambria" panose="02040503050406030204" pitchFamily="18" charset="0"/>
                <a:ea typeface="Cambria" panose="02040503050406030204" pitchFamily="18" charset="0"/>
              </a:rPr>
              <a:t>($ millions</a:t>
            </a:r>
            <a:r>
              <a:rPr lang="en-US" b="1">
                <a:latin typeface="Cambria" panose="02040503050406030204" pitchFamily="18" charset="0"/>
                <a:ea typeface="Cambria" panose="02040503050406030204" pitchFamily="18" charset="0"/>
              </a:rPr>
              <a:t>)</a:t>
            </a:r>
          </a:p>
        </c:rich>
      </c:tx>
      <c:overlay val="0"/>
      <c:spPr>
        <a:solidFill>
          <a:srgbClr val="00B0F0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2855982167774118E-2"/>
          <c:y val="0.15364995514801155"/>
          <c:w val="0.8824692757954381"/>
          <c:h val="0.444344662613375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'Johnson &amp; Johnson'!$D$67</c:f>
              <c:strCache>
                <c:ptCount val="1"/>
                <c:pt idx="0">
                  <c:v>Cost of Products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FDF308B-5E55-4F52-8A29-8E6440AAE764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3B9-4E26-A35E-A187F9BC3CA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8FAB2F1-3822-4D3B-AD57-79B74C8EB204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3B9-4E26-A35E-A187F9BC3CA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6A57BC1-1B64-4571-A993-DF9313F1576A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3B9-4E26-A35E-A187F9BC3CA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'Johnson &amp; Johnson'!$E$66:$G$66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'Johnson &amp; Johnson'!$E$67:$G$67</c:f>
              <c:numCache>
                <c:formatCode>#,##0</c:formatCode>
                <c:ptCount val="3"/>
                <c:pt idx="0">
                  <c:v>28427</c:v>
                </c:pt>
                <c:pt idx="1">
                  <c:v>29855</c:v>
                </c:pt>
                <c:pt idx="2">
                  <c:v>31089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B9-4E26-A35E-A187F9BC3CAC}"/>
            </c:ext>
          </c:extLst>
        </c:ser>
        <c:ser>
          <c:idx val="1"/>
          <c:order val="1"/>
          <c:tx>
            <c:strRef>
              <c:f>'Johnson &amp; Johnson'!$D$68</c:f>
              <c:strCache>
                <c:ptCount val="1"/>
                <c:pt idx="0">
                  <c:v>Research and Development Expenses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3163211057947659E-3"/>
                  <c:y val="-2.7777777777777776E-2"/>
                </c:manualLayout>
              </c:layout>
              <c:tx>
                <c:rich>
                  <a:bodyPr/>
                  <a:lstStyle/>
                  <a:p>
                    <a:fld id="{959D660B-0E37-404C-9B8F-F1D374E72135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3B9-4E26-A35E-A187F9BC3CAC}"/>
                </c:ext>
              </c:extLst>
            </c:dLbl>
            <c:dLbl>
              <c:idx val="1"/>
              <c:layout>
                <c:manualLayout>
                  <c:x val="0"/>
                  <c:y val="-1.8518518518518517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5185CBD-587B-4A8E-9D78-4269D435A294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3B9-4E26-A35E-A187F9BC3CAC}"/>
                </c:ext>
              </c:extLst>
            </c:dLbl>
            <c:dLbl>
              <c:idx val="2"/>
              <c:layout>
                <c:manualLayout>
                  <c:x val="0"/>
                  <c:y val="-2.7777777777777821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BAF831A-5274-4E34-87A7-EEC214719485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3B9-4E26-A35E-A187F9BC3CA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'Johnson &amp; Johnson'!$E$66:$G$66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'Johnson &amp; Johnson'!$E$68:$G$68</c:f>
              <c:numCache>
                <c:formatCode>#,##0</c:formatCode>
                <c:ptCount val="3"/>
                <c:pt idx="0">
                  <c:v>12159</c:v>
                </c:pt>
                <c:pt idx="1">
                  <c:v>14714</c:v>
                </c:pt>
                <c:pt idx="2">
                  <c:v>14603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B9-4E26-A35E-A187F9BC3CAC}"/>
            </c:ext>
          </c:extLst>
        </c:ser>
        <c:ser>
          <c:idx val="2"/>
          <c:order val="2"/>
          <c:tx>
            <c:strRef>
              <c:f>'Johnson &amp; Johnson'!$D$69</c:f>
              <c:strCache>
                <c:ptCount val="1"/>
                <c:pt idx="0">
                  <c:v>In-Process Research and Development (IPR&amp;D)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2.7777777777777776E-2"/>
                </c:manualLayout>
              </c:layout>
              <c:tx>
                <c:rich>
                  <a:bodyPr/>
                  <a:lstStyle/>
                  <a:p>
                    <a:fld id="{0C2E77AE-107D-421C-A180-C052527FC4C7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3B9-4E26-A35E-A187F9BC3CAC}"/>
                </c:ext>
              </c:extLst>
            </c:dLbl>
            <c:dLbl>
              <c:idx val="1"/>
              <c:layout>
                <c:manualLayout>
                  <c:x val="0"/>
                  <c:y val="-3.240740740740736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BDC696A-112E-406C-920C-BA7BB979C6B8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3B9-4E26-A35E-A187F9BC3CA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8DC1DEC-281B-40DA-B5FB-54EBEAF87E0C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63B9-4E26-A35E-A187F9BC3CA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'Johnson &amp; Johnson'!$E$66:$G$66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'Johnson &amp; Johnson'!$E$69:$G$69</c:f>
              <c:numCache>
                <c:formatCode>General</c:formatCode>
                <c:ptCount val="3"/>
                <c:pt idx="0">
                  <c:v>181</c:v>
                </c:pt>
                <c:pt idx="1">
                  <c:v>900</c:v>
                </c:pt>
                <c:pt idx="2">
                  <c:v>783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3B9-4E26-A35E-A187F9BC3CAC}"/>
            </c:ext>
          </c:extLst>
        </c:ser>
        <c:ser>
          <c:idx val="3"/>
          <c:order val="3"/>
          <c:tx>
            <c:strRef>
              <c:f>'Johnson &amp; Johnson'!$D$70</c:f>
              <c:strCache>
                <c:ptCount val="1"/>
                <c:pt idx="0">
                  <c:v>Advertising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6581605528973949E-2"/>
                  <c:y val="-0.22222222222222227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A01C8C7E-98D8-4C92-93C6-796FD32EA495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63B9-4E26-A35E-A187F9BC3CAC}"/>
                </c:ext>
              </c:extLst>
            </c:dLbl>
            <c:dLbl>
              <c:idx val="1"/>
              <c:layout>
                <c:manualLayout>
                  <c:x val="-1.8607123870281767E-2"/>
                  <c:y val="-0.22685185185185186"/>
                </c:manualLayout>
              </c:layout>
              <c:tx>
                <c:rich>
                  <a:bodyPr/>
                  <a:lstStyle/>
                  <a:p>
                    <a:fld id="{68B41E6F-F2C6-4F7D-8896-EF0223EE3DE4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63B9-4E26-A35E-A187F9BC3CAC}"/>
                </c:ext>
              </c:extLst>
            </c:dLbl>
            <c:dLbl>
              <c:idx val="2"/>
              <c:layout>
                <c:manualLayout>
                  <c:x val="-3.1897926634768738E-2"/>
                  <c:y val="-0.25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114B21F-19B1-42C5-B261-664849115E9E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E-63B9-4E26-A35E-A187F9BC3CA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'Johnson &amp; Johnson'!$E$66:$G$66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'Johnson &amp; Johnson'!$E$70:$G$70</c:f>
              <c:numCache>
                <c:formatCode>#,##0</c:formatCode>
                <c:ptCount val="3"/>
                <c:pt idx="0">
                  <c:v>2100</c:v>
                </c:pt>
                <c:pt idx="1">
                  <c:v>2700</c:v>
                </c:pt>
                <c:pt idx="2">
                  <c:v>2100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3B9-4E26-A35E-A187F9BC3CAC}"/>
            </c:ext>
          </c:extLst>
        </c:ser>
        <c:ser>
          <c:idx val="4"/>
          <c:order val="4"/>
          <c:tx>
            <c:strRef>
              <c:f>'Johnson &amp; Johnson'!$D$71</c:f>
              <c:strCache>
                <c:ptCount val="1"/>
                <c:pt idx="0">
                  <c:v>Selling, Marketing and Administrative Expenses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C537A73-3C7F-4C2D-9907-0340F2FB17DD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0-63B9-4E26-A35E-A187F9BC3CA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06E99DB-0697-4DF1-873B-52D9602D1FB8}" type="VALUE">
                      <a:rPr lang="en-US" baseline="0"/>
                      <a:pPr/>
                      <a:t>[VALUE]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63B9-4E26-A35E-A187F9BC3CA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9D83400-1193-44E6-BA39-3AD07AF6FFF2}" type="VALUE">
                      <a:rPr lang="en-US" baseline="0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2-63B9-4E26-A35E-A187F9BC3CA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'Johnson &amp; Johnson'!$E$66:$G$66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'Johnson &amp; Johnson'!$E$71:$G$71</c:f>
              <c:numCache>
                <c:formatCode>#,##0</c:formatCode>
                <c:ptCount val="3"/>
                <c:pt idx="0">
                  <c:v>22084</c:v>
                </c:pt>
                <c:pt idx="1">
                  <c:v>24659</c:v>
                </c:pt>
                <c:pt idx="2">
                  <c:v>24765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3B9-4E26-A35E-A187F9BC3C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9854720"/>
        <c:axId val="1839847648"/>
      </c:barChart>
      <c:catAx>
        <c:axId val="183985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en-US"/>
          </a:p>
        </c:txPr>
        <c:crossAx val="1839847648"/>
        <c:crosses val="autoZero"/>
        <c:auto val="1"/>
        <c:lblAlgn val="ctr"/>
        <c:lblOffset val="100"/>
        <c:noMultiLvlLbl val="0"/>
      </c:catAx>
      <c:valAx>
        <c:axId val="183984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en-US"/>
          </a:p>
        </c:txPr>
        <c:crossAx val="183985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762352384283055"/>
          <c:y val="0.67922299806863762"/>
          <c:w val="0.59185927802093374"/>
          <c:h val="0.320777012248468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</dc:creator>
  <cp:keywords/>
  <dc:description/>
  <cp:lastModifiedBy>Harsha</cp:lastModifiedBy>
  <cp:revision>2</cp:revision>
  <dcterms:created xsi:type="dcterms:W3CDTF">2024-02-10T23:53:00Z</dcterms:created>
  <dcterms:modified xsi:type="dcterms:W3CDTF">2024-02-10T23:53:00Z</dcterms:modified>
</cp:coreProperties>
</file>