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0E8E" w14:textId="0175DF0D" w:rsidR="00D16EB2" w:rsidRDefault="00C229DA">
      <w:pPr>
        <w:rPr>
          <w:b/>
          <w:bCs/>
          <w:sz w:val="28"/>
          <w:szCs w:val="28"/>
        </w:rPr>
      </w:pPr>
      <w:r w:rsidRPr="005D68BE">
        <w:rPr>
          <w:b/>
          <w:bCs/>
          <w:sz w:val="28"/>
          <w:szCs w:val="28"/>
        </w:rPr>
        <w:t>Task 3- Peer Identification</w:t>
      </w:r>
    </w:p>
    <w:p w14:paraId="53BB59C2" w14:textId="77777777" w:rsidR="00AA7A21" w:rsidRDefault="00AA7A21">
      <w:pPr>
        <w:rPr>
          <w:b/>
          <w:bCs/>
          <w:sz w:val="28"/>
          <w:szCs w:val="28"/>
        </w:rPr>
      </w:pPr>
    </w:p>
    <w:p w14:paraId="2A68783C" w14:textId="7909A9FA" w:rsidR="00AA7A21" w:rsidRPr="005D68BE" w:rsidRDefault="00AA7A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Suitable Peers</w:t>
      </w:r>
    </w:p>
    <w:p w14:paraId="13774BF1" w14:textId="77777777" w:rsidR="00584A92" w:rsidRDefault="00584A92"/>
    <w:tbl>
      <w:tblPr>
        <w:tblStyle w:val="TableGrid"/>
        <w:tblpPr w:leftFromText="180" w:rightFromText="180" w:vertAnchor="text" w:horzAnchor="margin" w:tblpY="-83"/>
        <w:tblW w:w="9227" w:type="dxa"/>
        <w:tblLook w:val="04A0" w:firstRow="1" w:lastRow="0" w:firstColumn="1" w:lastColumn="0" w:noHBand="0" w:noVBand="1"/>
      </w:tblPr>
      <w:tblGrid>
        <w:gridCol w:w="2317"/>
        <w:gridCol w:w="2304"/>
        <w:gridCol w:w="2303"/>
        <w:gridCol w:w="2303"/>
      </w:tblGrid>
      <w:tr w:rsidR="00561844" w14:paraId="6FD73DC2" w14:textId="77777777" w:rsidTr="00561844">
        <w:trPr>
          <w:trHeight w:val="289"/>
        </w:trPr>
        <w:tc>
          <w:tcPr>
            <w:tcW w:w="2317" w:type="dxa"/>
          </w:tcPr>
          <w:p w14:paraId="7A913DEE" w14:textId="18968F1F" w:rsidR="00561844" w:rsidRDefault="00561844" w:rsidP="005D68BE">
            <w:r>
              <w:t>Hotels</w:t>
            </w:r>
          </w:p>
        </w:tc>
        <w:tc>
          <w:tcPr>
            <w:tcW w:w="2304" w:type="dxa"/>
          </w:tcPr>
          <w:p w14:paraId="3101D8FC" w14:textId="77777777" w:rsidR="00561844" w:rsidRDefault="00561844" w:rsidP="005D68BE">
            <w:r>
              <w:t>Revenue</w:t>
            </w:r>
          </w:p>
        </w:tc>
        <w:tc>
          <w:tcPr>
            <w:tcW w:w="2303" w:type="dxa"/>
          </w:tcPr>
          <w:p w14:paraId="7CE59D96" w14:textId="77777777" w:rsidR="00561844" w:rsidRDefault="00561844" w:rsidP="005D68BE">
            <w:r>
              <w:t>Market Cap</w:t>
            </w:r>
          </w:p>
        </w:tc>
        <w:tc>
          <w:tcPr>
            <w:tcW w:w="2303" w:type="dxa"/>
          </w:tcPr>
          <w:p w14:paraId="0FDB6C52" w14:textId="1BF65371" w:rsidR="00561844" w:rsidRPr="00561844" w:rsidRDefault="00561844" w:rsidP="005D68BE">
            <w:pPr>
              <w:rPr>
                <w:b/>
                <w:bCs/>
              </w:rPr>
            </w:pPr>
            <w:r w:rsidRPr="00561844">
              <w:rPr>
                <w:b/>
                <w:bCs/>
              </w:rPr>
              <w:t>PE ratio (Earning Growth)</w:t>
            </w:r>
          </w:p>
        </w:tc>
      </w:tr>
      <w:tr w:rsidR="00561844" w14:paraId="3F8FE927" w14:textId="77777777" w:rsidTr="00561844">
        <w:trPr>
          <w:trHeight w:val="599"/>
        </w:trPr>
        <w:tc>
          <w:tcPr>
            <w:tcW w:w="2317" w:type="dxa"/>
          </w:tcPr>
          <w:p w14:paraId="2F692F9E" w14:textId="77777777" w:rsidR="00561844" w:rsidRPr="00AA7A21" w:rsidRDefault="00561844" w:rsidP="005D68BE">
            <w:pPr>
              <w:rPr>
                <w:b/>
                <w:bCs/>
              </w:rPr>
            </w:pPr>
            <w:r w:rsidRPr="00AA7A21">
              <w:rPr>
                <w:b/>
                <w:bCs/>
              </w:rPr>
              <w:t>Marriot Inc</w:t>
            </w:r>
          </w:p>
        </w:tc>
        <w:tc>
          <w:tcPr>
            <w:tcW w:w="2304" w:type="dxa"/>
          </w:tcPr>
          <w:p w14:paraId="715488B4" w14:textId="77777777" w:rsidR="00561844" w:rsidRPr="00AA7A21" w:rsidRDefault="00561844" w:rsidP="005D68BE">
            <w:pPr>
              <w:rPr>
                <w:b/>
                <w:bCs/>
              </w:rPr>
            </w:pPr>
            <w:r w:rsidRPr="00AA7A21">
              <w:rPr>
                <w:b/>
                <w:bCs/>
              </w:rPr>
              <w:t>$20.8B</w:t>
            </w:r>
          </w:p>
        </w:tc>
        <w:tc>
          <w:tcPr>
            <w:tcW w:w="2303" w:type="dxa"/>
          </w:tcPr>
          <w:p w14:paraId="3F46E55B" w14:textId="77777777" w:rsidR="00561844" w:rsidRPr="00AA7A21" w:rsidRDefault="00561844" w:rsidP="005D68BE">
            <w:pPr>
              <w:rPr>
                <w:b/>
                <w:bCs/>
              </w:rPr>
            </w:pPr>
            <w:r w:rsidRPr="00AA7A21">
              <w:rPr>
                <w:b/>
                <w:bCs/>
              </w:rPr>
              <w:t>$69.6B</w:t>
            </w:r>
          </w:p>
        </w:tc>
        <w:tc>
          <w:tcPr>
            <w:tcW w:w="2303" w:type="dxa"/>
          </w:tcPr>
          <w:p w14:paraId="1DD99759" w14:textId="5359C605" w:rsidR="00561844" w:rsidRPr="00AA7A21" w:rsidRDefault="00561844" w:rsidP="005D68BE">
            <w:pPr>
              <w:rPr>
                <w:b/>
                <w:bCs/>
              </w:rPr>
            </w:pPr>
            <w:r>
              <w:rPr>
                <w:b/>
                <w:bCs/>
              </w:rPr>
              <w:t>24x</w:t>
            </w:r>
          </w:p>
        </w:tc>
      </w:tr>
      <w:tr w:rsidR="00561844" w14:paraId="729B62E1" w14:textId="77777777" w:rsidTr="00561844">
        <w:trPr>
          <w:trHeight w:val="889"/>
        </w:trPr>
        <w:tc>
          <w:tcPr>
            <w:tcW w:w="2317" w:type="dxa"/>
          </w:tcPr>
          <w:p w14:paraId="0EF06360" w14:textId="77777777" w:rsidR="00561844" w:rsidRPr="00AA7A21" w:rsidRDefault="00561844" w:rsidP="005D68BE">
            <w:r w:rsidRPr="00AA7A21">
              <w:t>Hilton Worldwide Holdings Inc</w:t>
            </w:r>
          </w:p>
        </w:tc>
        <w:tc>
          <w:tcPr>
            <w:tcW w:w="2304" w:type="dxa"/>
          </w:tcPr>
          <w:p w14:paraId="3721040F" w14:textId="77777777" w:rsidR="00561844" w:rsidRPr="00AA7A21" w:rsidRDefault="00561844" w:rsidP="005D68BE">
            <w:r w:rsidRPr="00AA7A21">
              <w:t>$8.8B</w:t>
            </w:r>
          </w:p>
        </w:tc>
        <w:tc>
          <w:tcPr>
            <w:tcW w:w="2303" w:type="dxa"/>
          </w:tcPr>
          <w:p w14:paraId="5C77F537" w14:textId="77777777" w:rsidR="00561844" w:rsidRPr="00AA7A21" w:rsidRDefault="00561844" w:rsidP="005D68BE">
            <w:r w:rsidRPr="00AA7A21">
              <w:t>$48.3B</w:t>
            </w:r>
          </w:p>
        </w:tc>
        <w:tc>
          <w:tcPr>
            <w:tcW w:w="2303" w:type="dxa"/>
          </w:tcPr>
          <w:p w14:paraId="0107196C" w14:textId="33EEC5E0" w:rsidR="00561844" w:rsidRPr="00AA7A21" w:rsidRDefault="00561844" w:rsidP="005D68BE">
            <w:r>
              <w:t>36.4x</w:t>
            </w:r>
          </w:p>
          <w:p w14:paraId="086700EE" w14:textId="77777777" w:rsidR="00561844" w:rsidRPr="00AA7A21" w:rsidRDefault="00561844" w:rsidP="005D68BE"/>
        </w:tc>
      </w:tr>
      <w:tr w:rsidR="00561844" w14:paraId="18D726CB" w14:textId="77777777" w:rsidTr="00561844">
        <w:trPr>
          <w:trHeight w:val="599"/>
        </w:trPr>
        <w:tc>
          <w:tcPr>
            <w:tcW w:w="2317" w:type="dxa"/>
          </w:tcPr>
          <w:p w14:paraId="4E2D54D3" w14:textId="77777777" w:rsidR="00561844" w:rsidRDefault="00561844" w:rsidP="005D68BE">
            <w:r>
              <w:t>Hyatt Hotels Corps</w:t>
            </w:r>
          </w:p>
        </w:tc>
        <w:tc>
          <w:tcPr>
            <w:tcW w:w="2304" w:type="dxa"/>
          </w:tcPr>
          <w:p w14:paraId="3C1C0748" w14:textId="77777777" w:rsidR="00561844" w:rsidRPr="00C229DA" w:rsidRDefault="00561844" w:rsidP="005D68BE">
            <w:r w:rsidRPr="00C229DA">
              <w:t>$5.9B</w:t>
            </w:r>
          </w:p>
          <w:p w14:paraId="1A502CD3" w14:textId="77777777" w:rsidR="00561844" w:rsidRDefault="00561844" w:rsidP="005D68BE"/>
        </w:tc>
        <w:tc>
          <w:tcPr>
            <w:tcW w:w="2303" w:type="dxa"/>
          </w:tcPr>
          <w:p w14:paraId="4EFD48B3" w14:textId="77777777" w:rsidR="00561844" w:rsidRDefault="00561844" w:rsidP="005D68BE">
            <w:r w:rsidRPr="009F407B">
              <w:t>$13.5B</w:t>
            </w:r>
          </w:p>
        </w:tc>
        <w:tc>
          <w:tcPr>
            <w:tcW w:w="2303" w:type="dxa"/>
          </w:tcPr>
          <w:p w14:paraId="65DAE02E" w14:textId="0C921D73" w:rsidR="00561844" w:rsidRDefault="00561844" w:rsidP="005D68BE">
            <w:r>
              <w:t>27.6x</w:t>
            </w:r>
          </w:p>
        </w:tc>
      </w:tr>
      <w:tr w:rsidR="00561844" w14:paraId="390BB0DD" w14:textId="77777777" w:rsidTr="00561844">
        <w:trPr>
          <w:trHeight w:val="578"/>
        </w:trPr>
        <w:tc>
          <w:tcPr>
            <w:tcW w:w="2317" w:type="dxa"/>
          </w:tcPr>
          <w:p w14:paraId="10F80AAC" w14:textId="77777777" w:rsidR="00561844" w:rsidRDefault="00561844" w:rsidP="005D68BE">
            <w:r w:rsidRPr="00584A92">
              <w:t>Accor SA</w:t>
            </w:r>
          </w:p>
        </w:tc>
        <w:tc>
          <w:tcPr>
            <w:tcW w:w="2304" w:type="dxa"/>
          </w:tcPr>
          <w:p w14:paraId="16BE228F" w14:textId="77777777" w:rsidR="00561844" w:rsidRPr="00C229DA" w:rsidRDefault="00561844" w:rsidP="005D68BE">
            <w:r w:rsidRPr="00C229DA">
              <w:t>$4.4B</w:t>
            </w:r>
          </w:p>
          <w:p w14:paraId="174072A9" w14:textId="77777777" w:rsidR="00561844" w:rsidRDefault="00561844" w:rsidP="005D68BE"/>
        </w:tc>
        <w:tc>
          <w:tcPr>
            <w:tcW w:w="2303" w:type="dxa"/>
          </w:tcPr>
          <w:p w14:paraId="7FD32500" w14:textId="77777777" w:rsidR="00561844" w:rsidRDefault="00561844" w:rsidP="005D68BE">
            <w:r w:rsidRPr="009F407B">
              <w:t>$9.9B</w:t>
            </w:r>
          </w:p>
        </w:tc>
        <w:tc>
          <w:tcPr>
            <w:tcW w:w="2303" w:type="dxa"/>
          </w:tcPr>
          <w:p w14:paraId="623F7F83" w14:textId="3EAE7FD6" w:rsidR="00561844" w:rsidRDefault="00561844" w:rsidP="005D68BE">
            <w:r>
              <w:t>16.6x</w:t>
            </w:r>
          </w:p>
        </w:tc>
      </w:tr>
    </w:tbl>
    <w:p w14:paraId="6579FCCD" w14:textId="77777777" w:rsidR="00561844" w:rsidRDefault="00561844" w:rsidP="00561844">
      <w:pPr>
        <w:rPr>
          <w:b/>
          <w:bCs/>
        </w:rPr>
      </w:pPr>
    </w:p>
    <w:p w14:paraId="56C470B7" w14:textId="39AE0EC9" w:rsidR="00D34637" w:rsidRDefault="00D34637" w:rsidP="00AA7A21">
      <w:pPr>
        <w:jc w:val="center"/>
        <w:rPr>
          <w:b/>
          <w:bCs/>
        </w:rPr>
      </w:pPr>
      <w:r>
        <w:rPr>
          <w:b/>
          <w:bCs/>
        </w:rPr>
        <w:t>Marriot International Inc</w:t>
      </w:r>
    </w:p>
    <w:p w14:paraId="457F0FDB" w14:textId="3D4E754A" w:rsidR="00D34637" w:rsidRDefault="00D34637">
      <w:pPr>
        <w:rPr>
          <w:b/>
          <w:bCs/>
        </w:rPr>
      </w:pPr>
      <w:r>
        <w:rPr>
          <w:b/>
          <w:bCs/>
        </w:rPr>
        <w:t xml:space="preserve">Price to Earning Ratio’s vs </w:t>
      </w:r>
      <w:proofErr w:type="gramStart"/>
      <w:r>
        <w:rPr>
          <w:b/>
          <w:bCs/>
        </w:rPr>
        <w:t>Peers</w:t>
      </w:r>
      <w:proofErr w:type="gramEnd"/>
    </w:p>
    <w:p w14:paraId="52D0F661" w14:textId="47E2D43B" w:rsidR="00D34637" w:rsidRPr="00561844" w:rsidRDefault="00AA7A21" w:rsidP="00AA7A21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561844">
        <w:rPr>
          <w:sz w:val="22"/>
          <w:szCs w:val="22"/>
        </w:rPr>
        <w:t>Marriot has a g</w:t>
      </w:r>
      <w:r w:rsidRPr="00561844">
        <w:rPr>
          <w:sz w:val="22"/>
          <w:szCs w:val="22"/>
        </w:rPr>
        <w:t>ood value based on its Price-To-Earnings Ratio (24x) compared to the peer average (24.9x).</w:t>
      </w:r>
    </w:p>
    <w:p w14:paraId="3C3D22BA" w14:textId="5F43C18C" w:rsidR="00AA7A21" w:rsidRDefault="00AA7A21" w:rsidP="00AA7A21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561844">
        <w:rPr>
          <w:sz w:val="22"/>
          <w:szCs w:val="22"/>
        </w:rPr>
        <w:t>Marriott International is forecast to grow earnings and revenue by 4.8% and 20.1% per annum respectively. EPS is expected to grow by 7.9% per annum. Return on equity is forecast to be 226.2% in 3 years.</w:t>
      </w:r>
    </w:p>
    <w:p w14:paraId="6C37445B" w14:textId="473E3D28" w:rsidR="00B27210" w:rsidRPr="00E5353B" w:rsidRDefault="00B27210" w:rsidP="00AA7A21">
      <w:pPr>
        <w:pStyle w:val="ListParagraph"/>
        <w:numPr>
          <w:ilvl w:val="0"/>
          <w:numId w:val="6"/>
        </w:numPr>
        <w:rPr>
          <w:b/>
          <w:bCs/>
          <w:sz w:val="22"/>
          <w:szCs w:val="22"/>
        </w:rPr>
      </w:pPr>
      <w:r w:rsidRPr="00E5353B">
        <w:rPr>
          <w:b/>
          <w:bCs/>
          <w:sz w:val="22"/>
          <w:szCs w:val="22"/>
        </w:rPr>
        <w:t>All peers are in the hotels and hospitality industry.</w:t>
      </w:r>
    </w:p>
    <w:p w14:paraId="5CA893D0" w14:textId="77777777" w:rsidR="00D34637" w:rsidRDefault="00D34637">
      <w:pPr>
        <w:rPr>
          <w:b/>
          <w:bCs/>
        </w:rPr>
      </w:pPr>
    </w:p>
    <w:p w14:paraId="628B2A2F" w14:textId="4B308085" w:rsidR="009F407B" w:rsidRDefault="009F407B" w:rsidP="009F407B">
      <w:pPr>
        <w:rPr>
          <w:b/>
          <w:bCs/>
        </w:rPr>
      </w:pPr>
      <w:r>
        <w:rPr>
          <w:b/>
          <w:bCs/>
        </w:rPr>
        <w:t>Hilton</w:t>
      </w:r>
      <w:r w:rsidR="00561844">
        <w:rPr>
          <w:b/>
          <w:bCs/>
        </w:rPr>
        <w:t xml:space="preserve"> Worldwide Holdings Inc.</w:t>
      </w:r>
    </w:p>
    <w:p w14:paraId="1A2BD168" w14:textId="0B968EDD" w:rsidR="003C4AA2" w:rsidRDefault="003C4AA2" w:rsidP="006A4D7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C4AA2">
        <w:rPr>
          <w:sz w:val="22"/>
          <w:szCs w:val="22"/>
        </w:rPr>
        <w:t xml:space="preserve">Hilton's shares rose by 34.3% in the last year, outpacing the industry's 18.4% growth, driven by unit expansion, hotel conversions, strategic partnerships, and loyalty programs. </w:t>
      </w:r>
    </w:p>
    <w:p w14:paraId="0FB3FBD8" w14:textId="3235C8C1" w:rsidR="003C4AA2" w:rsidRPr="003C4AA2" w:rsidRDefault="006A4D76" w:rsidP="003C4AA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6A4D76">
        <w:rPr>
          <w:sz w:val="22"/>
          <w:szCs w:val="22"/>
        </w:rPr>
        <w:t xml:space="preserve">The company's potential for growth has been enhanced by the inclusion of two new brands in its portfolio — Spark by Hilton and </w:t>
      </w:r>
      <w:proofErr w:type="spellStart"/>
      <w:r w:rsidRPr="006A4D76">
        <w:rPr>
          <w:sz w:val="22"/>
          <w:szCs w:val="22"/>
        </w:rPr>
        <w:t>LivSmart</w:t>
      </w:r>
      <w:proofErr w:type="spellEnd"/>
      <w:r w:rsidRPr="006A4D76">
        <w:rPr>
          <w:sz w:val="22"/>
          <w:szCs w:val="22"/>
        </w:rPr>
        <w:t xml:space="preserve"> Studios by Hilton. These additions are fostering greater interest from owners looking to capitali</w:t>
      </w:r>
      <w:r w:rsidR="00CB7055">
        <w:rPr>
          <w:sz w:val="22"/>
          <w:szCs w:val="22"/>
        </w:rPr>
        <w:t>s</w:t>
      </w:r>
      <w:r w:rsidRPr="006A4D76">
        <w:rPr>
          <w:sz w:val="22"/>
          <w:szCs w:val="22"/>
        </w:rPr>
        <w:t>e on the rising demand for hotels in the premium economy and long-stay segments.</w:t>
      </w:r>
    </w:p>
    <w:p w14:paraId="37E700D5" w14:textId="29F36FDB" w:rsidR="003C4AA2" w:rsidRPr="00464544" w:rsidRDefault="003C4AA2" w:rsidP="0046454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3C4AA2">
        <w:rPr>
          <w:sz w:val="22"/>
          <w:szCs w:val="22"/>
        </w:rPr>
        <w:t>In the past 60 days, two analysts raised their earnings forecast for fiscal 2023. The Zacks Consensus Estimate has gone up by $0.02 to reach $6.08 per share. HLT has an average earnings surprise of 11.3%.</w:t>
      </w:r>
      <w:r>
        <w:rPr>
          <w:sz w:val="22"/>
          <w:szCs w:val="22"/>
        </w:rPr>
        <w:t xml:space="preserve"> </w:t>
      </w:r>
    </w:p>
    <w:p w14:paraId="21A12E48" w14:textId="77777777" w:rsidR="006A4D76" w:rsidRPr="006A4D76" w:rsidRDefault="006A4D76" w:rsidP="006A4D76">
      <w:pPr>
        <w:pStyle w:val="ListParagraph"/>
        <w:rPr>
          <w:sz w:val="22"/>
          <w:szCs w:val="22"/>
        </w:rPr>
      </w:pPr>
    </w:p>
    <w:p w14:paraId="23F8E98D" w14:textId="3BFADB7C" w:rsidR="009F407B" w:rsidRDefault="006A4D76" w:rsidP="009F407B">
      <w:pPr>
        <w:rPr>
          <w:b/>
          <w:bCs/>
        </w:rPr>
      </w:pPr>
      <w:r w:rsidRPr="006A4D76">
        <w:rPr>
          <w:b/>
          <w:bCs/>
        </w:rPr>
        <w:t xml:space="preserve">Hyatt Hotels Corp </w:t>
      </w:r>
    </w:p>
    <w:p w14:paraId="6CE60F97" w14:textId="1017F66D" w:rsidR="006A4D76" w:rsidRDefault="006A4D76" w:rsidP="006A4D76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A4D76">
        <w:rPr>
          <w:sz w:val="22"/>
          <w:szCs w:val="22"/>
        </w:rPr>
        <w:t>The company strategically targets luxury, resort, and lifestyle portfolios, aiming to be the preferred brand for high-end guests. Since the close of 2017, nearly 90,000 rooms have been added to these categories, now comprising 45% of H</w:t>
      </w:r>
      <w:r>
        <w:rPr>
          <w:sz w:val="22"/>
          <w:szCs w:val="22"/>
        </w:rPr>
        <w:t>yatt Hotel’s</w:t>
      </w:r>
      <w:r w:rsidRPr="006A4D76">
        <w:rPr>
          <w:sz w:val="22"/>
          <w:szCs w:val="22"/>
        </w:rPr>
        <w:t xml:space="preserve"> total portfolio.</w:t>
      </w:r>
    </w:p>
    <w:p w14:paraId="7FCB6CF2" w14:textId="13BE354E" w:rsidR="003C4AA2" w:rsidRPr="003C4AA2" w:rsidRDefault="006A4D76" w:rsidP="003C4AA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6A4D76">
        <w:rPr>
          <w:sz w:val="22"/>
          <w:szCs w:val="22"/>
        </w:rPr>
        <w:t>Hyatt's stock has experienced a nearly 24% increase year-to-date, surpassing the broader S&amp;P500, which has seen a growth of around 17% during the same period.</w:t>
      </w:r>
    </w:p>
    <w:p w14:paraId="07A0DA78" w14:textId="3A1F7926" w:rsidR="006A4D76" w:rsidRDefault="003C4AA2" w:rsidP="003C4AA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C4AA2">
        <w:rPr>
          <w:sz w:val="22"/>
          <w:szCs w:val="22"/>
        </w:rPr>
        <w:t>In Q2 2023, Hyatt witnessed an increase in adjusted earnings to $0.82 per share, up from $0.46 in the same quarter of the previous year.</w:t>
      </w:r>
    </w:p>
    <w:p w14:paraId="7EC56B98" w14:textId="77777777" w:rsidR="003C4AA2" w:rsidRDefault="003C4AA2" w:rsidP="003C4AA2">
      <w:pPr>
        <w:rPr>
          <w:sz w:val="22"/>
          <w:szCs w:val="22"/>
        </w:rPr>
      </w:pPr>
    </w:p>
    <w:p w14:paraId="7BBCCB5B" w14:textId="77777777" w:rsidR="00CB689C" w:rsidRDefault="00CB689C" w:rsidP="003C4AA2">
      <w:pPr>
        <w:rPr>
          <w:sz w:val="22"/>
          <w:szCs w:val="22"/>
        </w:rPr>
      </w:pPr>
    </w:p>
    <w:p w14:paraId="6530402C" w14:textId="77777777" w:rsidR="00CB689C" w:rsidRDefault="00CB689C" w:rsidP="003C4AA2">
      <w:pPr>
        <w:rPr>
          <w:sz w:val="22"/>
          <w:szCs w:val="22"/>
        </w:rPr>
      </w:pPr>
    </w:p>
    <w:p w14:paraId="3AC5B739" w14:textId="77777777" w:rsidR="00464544" w:rsidRDefault="00464544" w:rsidP="003C4AA2">
      <w:pPr>
        <w:rPr>
          <w:b/>
          <w:bCs/>
        </w:rPr>
      </w:pPr>
    </w:p>
    <w:p w14:paraId="07C2E73A" w14:textId="071AC6E2" w:rsidR="003C4AA2" w:rsidRDefault="003C4AA2" w:rsidP="003C4AA2">
      <w:pPr>
        <w:rPr>
          <w:b/>
          <w:bCs/>
        </w:rPr>
      </w:pPr>
      <w:r w:rsidRPr="003C4AA2">
        <w:rPr>
          <w:b/>
          <w:bCs/>
        </w:rPr>
        <w:t xml:space="preserve">Accor SA </w:t>
      </w:r>
      <w:r w:rsidR="00CB689C">
        <w:rPr>
          <w:b/>
          <w:bCs/>
        </w:rPr>
        <w:t>*</w:t>
      </w:r>
    </w:p>
    <w:p w14:paraId="5230AC83" w14:textId="5FD57D67" w:rsidR="00BD004C" w:rsidRPr="005D68BE" w:rsidRDefault="00BD004C" w:rsidP="00BD004C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D68BE">
        <w:rPr>
          <w:sz w:val="22"/>
          <w:szCs w:val="22"/>
        </w:rPr>
        <w:t>Compared to peers, Accor has underperformed, possibly due to protracted earnings recovery and broader macroeconomic concerns.</w:t>
      </w:r>
    </w:p>
    <w:p w14:paraId="60FAD8A9" w14:textId="1EBF5173" w:rsidR="00BD004C" w:rsidRPr="005D68BE" w:rsidRDefault="00BD004C" w:rsidP="00BD004C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D68BE">
        <w:rPr>
          <w:sz w:val="22"/>
          <w:szCs w:val="22"/>
        </w:rPr>
        <w:t>Trading at good value compared to peers and industry</w:t>
      </w:r>
      <w:r w:rsidR="00561844">
        <w:rPr>
          <w:sz w:val="22"/>
          <w:szCs w:val="22"/>
        </w:rPr>
        <w:t>.</w:t>
      </w:r>
    </w:p>
    <w:p w14:paraId="50E705C5" w14:textId="122A9D68" w:rsidR="005D68BE" w:rsidRPr="005D68BE" w:rsidRDefault="005D68BE" w:rsidP="005D68BE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D68BE">
        <w:rPr>
          <w:sz w:val="22"/>
          <w:szCs w:val="22"/>
        </w:rPr>
        <w:t>Price-To-Earnings ratio (16.6x) is below the Hospitality industry average (17.2x)</w:t>
      </w:r>
      <w:r w:rsidRPr="005D68BE">
        <w:rPr>
          <w:sz w:val="22"/>
          <w:szCs w:val="22"/>
        </w:rPr>
        <w:t>.</w:t>
      </w:r>
    </w:p>
    <w:p w14:paraId="3EBD8E54" w14:textId="78DAB794" w:rsidR="00C229DA" w:rsidRPr="00AA7A21" w:rsidRDefault="005D68BE" w:rsidP="00C229D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5D68BE">
        <w:rPr>
          <w:sz w:val="22"/>
          <w:szCs w:val="22"/>
        </w:rPr>
        <w:t>Earnings are forecast to grow 6.94% per year</w:t>
      </w:r>
      <w:r w:rsidRPr="005D68BE">
        <w:rPr>
          <w:sz w:val="22"/>
          <w:szCs w:val="22"/>
        </w:rPr>
        <w:t>.</w:t>
      </w:r>
    </w:p>
    <w:p w14:paraId="543C9E26" w14:textId="77777777" w:rsidR="00584A92" w:rsidRDefault="00584A92" w:rsidP="00C229DA">
      <w:pPr>
        <w:rPr>
          <w:b/>
          <w:bCs/>
        </w:rPr>
      </w:pPr>
    </w:p>
    <w:p w14:paraId="79714536" w14:textId="77777777" w:rsidR="00584A92" w:rsidRDefault="00584A92" w:rsidP="00C229DA">
      <w:pPr>
        <w:rPr>
          <w:b/>
          <w:bCs/>
        </w:rPr>
      </w:pP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561844" w14:paraId="46A2D9B5" w14:textId="12584357" w:rsidTr="00561844">
        <w:trPr>
          <w:trHeight w:val="281"/>
        </w:trPr>
        <w:tc>
          <w:tcPr>
            <w:tcW w:w="2302" w:type="dxa"/>
          </w:tcPr>
          <w:p w14:paraId="362F0AA0" w14:textId="04C7C5E5" w:rsidR="00561844" w:rsidRDefault="00561844" w:rsidP="00AA7A21"/>
        </w:tc>
        <w:tc>
          <w:tcPr>
            <w:tcW w:w="2302" w:type="dxa"/>
          </w:tcPr>
          <w:p w14:paraId="45B7749E" w14:textId="77777777" w:rsidR="00561844" w:rsidRDefault="00561844" w:rsidP="00AA7A21">
            <w:r>
              <w:t>Revenue</w:t>
            </w:r>
          </w:p>
        </w:tc>
        <w:tc>
          <w:tcPr>
            <w:tcW w:w="2303" w:type="dxa"/>
          </w:tcPr>
          <w:p w14:paraId="1A22DDC7" w14:textId="79AA0258" w:rsidR="00561844" w:rsidRDefault="00561844" w:rsidP="00AA7A21">
            <w:r>
              <w:t>Market Cap</w:t>
            </w:r>
          </w:p>
        </w:tc>
        <w:tc>
          <w:tcPr>
            <w:tcW w:w="2303" w:type="dxa"/>
          </w:tcPr>
          <w:p w14:paraId="5F1C0D09" w14:textId="3A689386" w:rsidR="00561844" w:rsidRPr="00561844" w:rsidRDefault="00561844" w:rsidP="00AA7A21">
            <w:pPr>
              <w:rPr>
                <w:b/>
                <w:bCs/>
              </w:rPr>
            </w:pPr>
            <w:r w:rsidRPr="00561844">
              <w:rPr>
                <w:b/>
                <w:bCs/>
              </w:rPr>
              <w:t>PE ratio (Earning Growth)</w:t>
            </w:r>
          </w:p>
        </w:tc>
      </w:tr>
      <w:tr w:rsidR="00561844" w14:paraId="3F8D068E" w14:textId="522D0775" w:rsidTr="00561844">
        <w:trPr>
          <w:trHeight w:val="583"/>
        </w:trPr>
        <w:tc>
          <w:tcPr>
            <w:tcW w:w="2302" w:type="dxa"/>
          </w:tcPr>
          <w:p w14:paraId="676CB028" w14:textId="04DEEEA9" w:rsidR="00561844" w:rsidRPr="00DF1230" w:rsidRDefault="00561844" w:rsidP="00AA7A21">
            <w:pPr>
              <w:rPr>
                <w:b/>
                <w:bCs/>
              </w:rPr>
            </w:pPr>
            <w:r w:rsidRPr="00DF1230">
              <w:rPr>
                <w:b/>
                <w:bCs/>
              </w:rPr>
              <w:t>Tesla Inc</w:t>
            </w:r>
          </w:p>
        </w:tc>
        <w:tc>
          <w:tcPr>
            <w:tcW w:w="2302" w:type="dxa"/>
          </w:tcPr>
          <w:p w14:paraId="4FAEE884" w14:textId="44791B53" w:rsidR="00561844" w:rsidRPr="00DF1230" w:rsidRDefault="00561844" w:rsidP="00AA7A21">
            <w:pPr>
              <w:rPr>
                <w:b/>
                <w:bCs/>
              </w:rPr>
            </w:pPr>
            <w:r w:rsidRPr="00DF1230">
              <w:rPr>
                <w:b/>
                <w:bCs/>
              </w:rPr>
              <w:t>$81.5B</w:t>
            </w:r>
          </w:p>
        </w:tc>
        <w:tc>
          <w:tcPr>
            <w:tcW w:w="2303" w:type="dxa"/>
          </w:tcPr>
          <w:p w14:paraId="1250C472" w14:textId="3035F450" w:rsidR="00561844" w:rsidRDefault="008C4898" w:rsidP="00AA7A21">
            <w:r w:rsidRPr="008C4898">
              <w:t>$664.84b</w:t>
            </w:r>
          </w:p>
        </w:tc>
        <w:tc>
          <w:tcPr>
            <w:tcW w:w="2303" w:type="dxa"/>
          </w:tcPr>
          <w:p w14:paraId="2483F0A4" w14:textId="4970B9AA" w:rsidR="00561844" w:rsidRDefault="00561844" w:rsidP="00AA7A21">
            <w:r>
              <w:rPr>
                <w:b/>
                <w:bCs/>
              </w:rPr>
              <w:t>61.2x</w:t>
            </w:r>
          </w:p>
        </w:tc>
      </w:tr>
      <w:tr w:rsidR="00561844" w14:paraId="1FAB9703" w14:textId="74B394F3" w:rsidTr="00561844">
        <w:trPr>
          <w:trHeight w:val="583"/>
        </w:trPr>
        <w:tc>
          <w:tcPr>
            <w:tcW w:w="2302" w:type="dxa"/>
          </w:tcPr>
          <w:p w14:paraId="58277B10" w14:textId="77777777" w:rsidR="00561844" w:rsidRPr="00C229DA" w:rsidRDefault="00561844" w:rsidP="00AA7A21">
            <w:r w:rsidRPr="00C229DA">
              <w:t>Volkswagen AG</w:t>
            </w:r>
          </w:p>
          <w:p w14:paraId="7086DA5B" w14:textId="50E0B909" w:rsidR="00561844" w:rsidRPr="00584A92" w:rsidRDefault="00561844" w:rsidP="00AA7A21">
            <w:pPr>
              <w:rPr>
                <w:b/>
                <w:bCs/>
              </w:rPr>
            </w:pPr>
          </w:p>
        </w:tc>
        <w:tc>
          <w:tcPr>
            <w:tcW w:w="2302" w:type="dxa"/>
          </w:tcPr>
          <w:p w14:paraId="38AC8649" w14:textId="77777777" w:rsidR="00561844" w:rsidRPr="00C229DA" w:rsidRDefault="00561844" w:rsidP="00AA7A21">
            <w:r w:rsidRPr="00C229DA">
              <w:t>$293.6B</w:t>
            </w:r>
          </w:p>
          <w:p w14:paraId="0073BA97" w14:textId="5147559F" w:rsidR="00561844" w:rsidRDefault="00561844" w:rsidP="00AA7A21"/>
        </w:tc>
        <w:tc>
          <w:tcPr>
            <w:tcW w:w="2303" w:type="dxa"/>
          </w:tcPr>
          <w:p w14:paraId="7E8717DE" w14:textId="2169FE9F" w:rsidR="00561844" w:rsidRDefault="008C4898" w:rsidP="00AA7A21">
            <w:r>
              <w:t>$</w:t>
            </w:r>
            <w:r w:rsidRPr="008C4898">
              <w:t>65.87</w:t>
            </w:r>
            <w:r>
              <w:t>B</w:t>
            </w:r>
          </w:p>
        </w:tc>
        <w:tc>
          <w:tcPr>
            <w:tcW w:w="2303" w:type="dxa"/>
          </w:tcPr>
          <w:p w14:paraId="31C9BBC6" w14:textId="5BAAF2FC" w:rsidR="00561844" w:rsidRPr="00C229DA" w:rsidRDefault="00464544" w:rsidP="00AA7A21">
            <w:r>
              <w:t>4.2x</w:t>
            </w:r>
          </w:p>
          <w:p w14:paraId="28661229" w14:textId="77777777" w:rsidR="00561844" w:rsidRDefault="00561844" w:rsidP="00AA7A21"/>
        </w:tc>
      </w:tr>
      <w:tr w:rsidR="00561844" w14:paraId="30E1FD4E" w14:textId="6ED36750" w:rsidTr="00561844">
        <w:trPr>
          <w:trHeight w:val="864"/>
        </w:trPr>
        <w:tc>
          <w:tcPr>
            <w:tcW w:w="2302" w:type="dxa"/>
          </w:tcPr>
          <w:p w14:paraId="7DA90B1F" w14:textId="77777777" w:rsidR="00561844" w:rsidRPr="00C229DA" w:rsidRDefault="00561844" w:rsidP="00AA7A21">
            <w:r w:rsidRPr="00C229DA">
              <w:t>Toyota Motor Corp</w:t>
            </w:r>
          </w:p>
          <w:p w14:paraId="14CD0F35" w14:textId="1D768C92" w:rsidR="00561844" w:rsidRDefault="00561844" w:rsidP="00AA7A21"/>
        </w:tc>
        <w:tc>
          <w:tcPr>
            <w:tcW w:w="2302" w:type="dxa"/>
          </w:tcPr>
          <w:p w14:paraId="69E05B62" w14:textId="77777777" w:rsidR="00561844" w:rsidRPr="00C229DA" w:rsidRDefault="00561844" w:rsidP="00AA7A21">
            <w:r w:rsidRPr="00C229DA">
              <w:t>$274.5B</w:t>
            </w:r>
          </w:p>
          <w:p w14:paraId="6B311CD2" w14:textId="77777777" w:rsidR="00561844" w:rsidRDefault="00561844" w:rsidP="00AA7A21"/>
        </w:tc>
        <w:tc>
          <w:tcPr>
            <w:tcW w:w="2303" w:type="dxa"/>
          </w:tcPr>
          <w:p w14:paraId="22339B85" w14:textId="14759A5A" w:rsidR="00561844" w:rsidRDefault="00500500" w:rsidP="00AA7A21">
            <w:r>
              <w:t>$270.0B</w:t>
            </w:r>
          </w:p>
        </w:tc>
        <w:tc>
          <w:tcPr>
            <w:tcW w:w="2303" w:type="dxa"/>
          </w:tcPr>
          <w:p w14:paraId="3F2F5FA6" w14:textId="7C8E4E4B" w:rsidR="00561844" w:rsidRDefault="00561844" w:rsidP="00AA7A21">
            <w:r>
              <w:t>10.3x</w:t>
            </w:r>
          </w:p>
        </w:tc>
      </w:tr>
      <w:tr w:rsidR="00561844" w14:paraId="4363BCAC" w14:textId="40535D9C" w:rsidTr="00561844">
        <w:trPr>
          <w:trHeight w:val="563"/>
        </w:trPr>
        <w:tc>
          <w:tcPr>
            <w:tcW w:w="2302" w:type="dxa"/>
          </w:tcPr>
          <w:p w14:paraId="0DBABC0A" w14:textId="77777777" w:rsidR="00561844" w:rsidRPr="00C229DA" w:rsidRDefault="00561844" w:rsidP="00AA7A21">
            <w:r w:rsidRPr="00C229DA">
              <w:t>Ford Motor Co</w:t>
            </w:r>
          </w:p>
          <w:p w14:paraId="3BC4D331" w14:textId="0F562BC7" w:rsidR="00561844" w:rsidRDefault="00561844" w:rsidP="00AA7A21"/>
        </w:tc>
        <w:tc>
          <w:tcPr>
            <w:tcW w:w="2302" w:type="dxa"/>
          </w:tcPr>
          <w:p w14:paraId="666ACD75" w14:textId="77777777" w:rsidR="00561844" w:rsidRPr="00C229DA" w:rsidRDefault="00561844" w:rsidP="00AA7A21">
            <w:r w:rsidRPr="00C229DA">
              <w:t>$158.1B</w:t>
            </w:r>
          </w:p>
          <w:p w14:paraId="19A7AD8C" w14:textId="77777777" w:rsidR="00561844" w:rsidRDefault="00561844" w:rsidP="00AA7A21"/>
        </w:tc>
        <w:tc>
          <w:tcPr>
            <w:tcW w:w="2303" w:type="dxa"/>
          </w:tcPr>
          <w:p w14:paraId="634E06B2" w14:textId="51D2DCB5" w:rsidR="00561844" w:rsidRDefault="008C4898" w:rsidP="00AA7A21">
            <w:r>
              <w:t>$</w:t>
            </w:r>
            <w:r w:rsidRPr="008C4898">
              <w:t>45.51b</w:t>
            </w:r>
          </w:p>
        </w:tc>
        <w:tc>
          <w:tcPr>
            <w:tcW w:w="2303" w:type="dxa"/>
          </w:tcPr>
          <w:p w14:paraId="593B0AC7" w14:textId="51CA13A3" w:rsidR="00561844" w:rsidRDefault="00561844" w:rsidP="00AA7A21">
            <w:r>
              <w:t>7.2x</w:t>
            </w:r>
          </w:p>
        </w:tc>
      </w:tr>
    </w:tbl>
    <w:p w14:paraId="0767DA51" w14:textId="77777777" w:rsidR="00584A92" w:rsidRDefault="00584A92" w:rsidP="00C229DA">
      <w:pPr>
        <w:rPr>
          <w:b/>
          <w:bCs/>
        </w:rPr>
      </w:pPr>
    </w:p>
    <w:p w14:paraId="0CB5FCCB" w14:textId="7EFF9C8F" w:rsidR="00C229DA" w:rsidRPr="00CB689C" w:rsidRDefault="00464544" w:rsidP="0046454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CB689C">
        <w:rPr>
          <w:sz w:val="22"/>
          <w:szCs w:val="22"/>
        </w:rPr>
        <w:t>T</w:t>
      </w:r>
      <w:r w:rsidRPr="00CB689C">
        <w:rPr>
          <w:sz w:val="22"/>
          <w:szCs w:val="22"/>
        </w:rPr>
        <w:t xml:space="preserve">esla </w:t>
      </w:r>
      <w:r w:rsidRPr="00CB689C">
        <w:rPr>
          <w:sz w:val="22"/>
          <w:szCs w:val="22"/>
        </w:rPr>
        <w:t>is expensive based on its Price-To-Earnings Ratio (61.2x) compared to the peer average (24.6x).</w:t>
      </w:r>
    </w:p>
    <w:p w14:paraId="46D73B5B" w14:textId="7E4E7C19" w:rsidR="00464544" w:rsidRPr="00CB689C" w:rsidRDefault="00464544" w:rsidP="0046454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CB689C">
        <w:rPr>
          <w:b/>
          <w:bCs/>
          <w:sz w:val="22"/>
          <w:szCs w:val="22"/>
        </w:rPr>
        <w:t>Volkswagen</w:t>
      </w:r>
      <w:r w:rsidRPr="00CB689C">
        <w:rPr>
          <w:sz w:val="22"/>
          <w:szCs w:val="22"/>
        </w:rPr>
        <w:t xml:space="preserve"> mentioned that its upcoming sedan will initially have Level 2+ autonomous driving, but it will be equipped (both hardware and software) for Level 4. Even Tesla's Autopilot, which is quite advanced, doesn't yet support Level 4.</w:t>
      </w:r>
    </w:p>
    <w:p w14:paraId="73C1A876" w14:textId="6965B8E8" w:rsidR="00464544" w:rsidRPr="00CB689C" w:rsidRDefault="00464544" w:rsidP="00092CF2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CB689C">
        <w:rPr>
          <w:b/>
          <w:bCs/>
          <w:sz w:val="22"/>
          <w:szCs w:val="22"/>
        </w:rPr>
        <w:t>Volkswagen's</w:t>
      </w:r>
      <w:r w:rsidRPr="00CB689C">
        <w:rPr>
          <w:sz w:val="22"/>
          <w:szCs w:val="22"/>
        </w:rPr>
        <w:t xml:space="preserve"> "Project Trinity" Aims for Tesla's Jugular</w:t>
      </w:r>
      <w:r w:rsidR="00092CF2" w:rsidRPr="00CB689C">
        <w:rPr>
          <w:sz w:val="22"/>
          <w:szCs w:val="22"/>
        </w:rPr>
        <w:t xml:space="preserve"> </w:t>
      </w:r>
      <w:r w:rsidR="00092CF2" w:rsidRPr="00CB689C">
        <w:rPr>
          <w:b/>
          <w:bCs/>
          <w:sz w:val="22"/>
          <w:szCs w:val="22"/>
        </w:rPr>
        <w:t xml:space="preserve">(EV Strategy) </w:t>
      </w:r>
    </w:p>
    <w:p w14:paraId="5C30BA67" w14:textId="77777777" w:rsidR="00464544" w:rsidRPr="00CB689C" w:rsidRDefault="00464544" w:rsidP="0046454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CB689C">
        <w:rPr>
          <w:b/>
          <w:bCs/>
          <w:sz w:val="22"/>
          <w:szCs w:val="22"/>
        </w:rPr>
        <w:t>Toyota</w:t>
      </w:r>
      <w:r w:rsidRPr="00CB689C">
        <w:rPr>
          <w:sz w:val="22"/>
          <w:szCs w:val="22"/>
        </w:rPr>
        <w:t xml:space="preserve"> is recognized as a well-established car company that achieves above-average profits because of its highly efficient operating model.</w:t>
      </w:r>
    </w:p>
    <w:p w14:paraId="546BED64" w14:textId="1C8B2709" w:rsidR="00464544" w:rsidRPr="00CB689C" w:rsidRDefault="00092CF2" w:rsidP="0046454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CB689C">
        <w:rPr>
          <w:b/>
          <w:bCs/>
          <w:sz w:val="22"/>
          <w:szCs w:val="22"/>
        </w:rPr>
        <w:t>Toyota</w:t>
      </w:r>
      <w:r w:rsidRPr="00CB689C">
        <w:rPr>
          <w:sz w:val="22"/>
          <w:szCs w:val="22"/>
        </w:rPr>
        <w:t xml:space="preserve"> has higher operating margins, higher EBITDA margins, and higher returns on equity/assets/investment compared to Tesla.</w:t>
      </w:r>
    </w:p>
    <w:p w14:paraId="1B85D155" w14:textId="1C962B26" w:rsidR="00092CF2" w:rsidRPr="00CB689C" w:rsidRDefault="00092CF2" w:rsidP="00464544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CB689C">
        <w:rPr>
          <w:b/>
          <w:bCs/>
          <w:sz w:val="22"/>
          <w:szCs w:val="22"/>
        </w:rPr>
        <w:t>Toyota</w:t>
      </w:r>
      <w:r w:rsidRPr="00CB689C">
        <w:rPr>
          <w:b/>
          <w:bCs/>
          <w:sz w:val="22"/>
          <w:szCs w:val="22"/>
        </w:rPr>
        <w:t xml:space="preserve">, </w:t>
      </w:r>
      <w:r w:rsidR="00CB689C" w:rsidRPr="00CB689C">
        <w:rPr>
          <w:b/>
          <w:bCs/>
          <w:sz w:val="22"/>
          <w:szCs w:val="22"/>
        </w:rPr>
        <w:t>Ford,</w:t>
      </w:r>
      <w:r w:rsidRPr="00CB689C">
        <w:rPr>
          <w:b/>
          <w:bCs/>
          <w:sz w:val="22"/>
          <w:szCs w:val="22"/>
        </w:rPr>
        <w:t xml:space="preserve"> and</w:t>
      </w:r>
      <w:r w:rsidRPr="00CB689C">
        <w:rPr>
          <w:sz w:val="22"/>
          <w:szCs w:val="22"/>
        </w:rPr>
        <w:t xml:space="preserve"> </w:t>
      </w:r>
      <w:r w:rsidRPr="00CB689C">
        <w:rPr>
          <w:b/>
          <w:bCs/>
          <w:sz w:val="22"/>
          <w:szCs w:val="22"/>
        </w:rPr>
        <w:t>Volkswagen</w:t>
      </w:r>
      <w:r w:rsidRPr="00CB689C">
        <w:rPr>
          <w:sz w:val="22"/>
          <w:szCs w:val="22"/>
        </w:rPr>
        <w:t xml:space="preserve"> </w:t>
      </w:r>
      <w:r w:rsidR="00CB689C" w:rsidRPr="00CB689C">
        <w:rPr>
          <w:sz w:val="22"/>
          <w:szCs w:val="22"/>
        </w:rPr>
        <w:t>have</w:t>
      </w:r>
      <w:r w:rsidRPr="00CB689C">
        <w:rPr>
          <w:sz w:val="22"/>
          <w:szCs w:val="22"/>
        </w:rPr>
        <w:t>, in recent months, gotten more interest from investors due to announcing more detailed plans about its EV strategy</w:t>
      </w:r>
      <w:r w:rsidRPr="00CB689C">
        <w:rPr>
          <w:sz w:val="22"/>
          <w:szCs w:val="22"/>
        </w:rPr>
        <w:t>.</w:t>
      </w:r>
    </w:p>
    <w:p w14:paraId="5DE044F6" w14:textId="06B96D65" w:rsidR="00DF1230" w:rsidRDefault="00092CF2" w:rsidP="00C229DA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CB689C">
        <w:rPr>
          <w:sz w:val="22"/>
          <w:szCs w:val="22"/>
        </w:rPr>
        <w:t xml:space="preserve">Over the last three months, TSLA's price is </w:t>
      </w:r>
      <w:r w:rsidRPr="00CB689C">
        <w:rPr>
          <w:sz w:val="22"/>
          <w:szCs w:val="22"/>
        </w:rPr>
        <w:t>effectively</w:t>
      </w:r>
      <w:r w:rsidRPr="00CB689C">
        <w:rPr>
          <w:sz w:val="22"/>
          <w:szCs w:val="22"/>
        </w:rPr>
        <w:t xml:space="preserve"> flat, while T</w:t>
      </w:r>
      <w:r w:rsidRPr="00CB689C">
        <w:rPr>
          <w:sz w:val="22"/>
          <w:szCs w:val="22"/>
        </w:rPr>
        <w:t xml:space="preserve">oyota </w:t>
      </w:r>
      <w:r w:rsidRPr="00CB689C">
        <w:rPr>
          <w:sz w:val="22"/>
          <w:szCs w:val="22"/>
        </w:rPr>
        <w:t>M</w:t>
      </w:r>
      <w:r w:rsidRPr="00CB689C">
        <w:rPr>
          <w:sz w:val="22"/>
          <w:szCs w:val="22"/>
        </w:rPr>
        <w:t>otor</w:t>
      </w:r>
      <w:r w:rsidRPr="00CB689C">
        <w:rPr>
          <w:sz w:val="22"/>
          <w:szCs w:val="22"/>
        </w:rPr>
        <w:t>, F</w:t>
      </w:r>
      <w:r w:rsidRPr="00CB689C">
        <w:rPr>
          <w:sz w:val="22"/>
          <w:szCs w:val="22"/>
        </w:rPr>
        <w:t>ord Motor</w:t>
      </w:r>
      <w:r w:rsidRPr="00CB689C">
        <w:rPr>
          <w:sz w:val="22"/>
          <w:szCs w:val="22"/>
        </w:rPr>
        <w:t>, and V</w:t>
      </w:r>
      <w:r w:rsidRPr="00CB689C">
        <w:rPr>
          <w:sz w:val="22"/>
          <w:szCs w:val="22"/>
        </w:rPr>
        <w:t>olkswagen</w:t>
      </w:r>
      <w:r w:rsidRPr="00CB689C">
        <w:rPr>
          <w:sz w:val="22"/>
          <w:szCs w:val="22"/>
        </w:rPr>
        <w:t xml:space="preserve"> are up by a highly impressive 20%-40%, respectively</w:t>
      </w:r>
      <w:r w:rsidR="00CB689C" w:rsidRPr="00CB689C">
        <w:rPr>
          <w:sz w:val="22"/>
          <w:szCs w:val="22"/>
        </w:rPr>
        <w:t>.</w:t>
      </w:r>
    </w:p>
    <w:p w14:paraId="650191DE" w14:textId="3B056CA4" w:rsidR="006F3035" w:rsidRPr="00CB689C" w:rsidRDefault="006F3035" w:rsidP="00C229DA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Ford Motor and Volkswagen are much more affordable to investors compared to Tesla (7.2x and 4.2x) respectively.</w:t>
      </w:r>
    </w:p>
    <w:p w14:paraId="62580DC0" w14:textId="77777777" w:rsidR="00DF1230" w:rsidRDefault="00DF1230" w:rsidP="00C229DA">
      <w:pPr>
        <w:rPr>
          <w:b/>
          <w:bCs/>
        </w:rPr>
      </w:pPr>
    </w:p>
    <w:p w14:paraId="5C6AE679" w14:textId="77777777" w:rsidR="00DF1230" w:rsidRDefault="00DF1230" w:rsidP="00C229DA">
      <w:pPr>
        <w:rPr>
          <w:b/>
          <w:bCs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3658"/>
      </w:tblGrid>
      <w:tr w:rsidR="00CB689C" w14:paraId="339461B0" w14:textId="77777777" w:rsidTr="00CB689C">
        <w:tc>
          <w:tcPr>
            <w:tcW w:w="1803" w:type="dxa"/>
          </w:tcPr>
          <w:p w14:paraId="5ACDF137" w14:textId="7373CA1B" w:rsidR="00CB689C" w:rsidRDefault="00CB689C" w:rsidP="00140B7A"/>
        </w:tc>
        <w:tc>
          <w:tcPr>
            <w:tcW w:w="1803" w:type="dxa"/>
          </w:tcPr>
          <w:p w14:paraId="29ABBFB8" w14:textId="77777777" w:rsidR="00CB689C" w:rsidRDefault="00CB689C" w:rsidP="00140B7A">
            <w:r>
              <w:t>Revenue</w:t>
            </w:r>
          </w:p>
        </w:tc>
        <w:tc>
          <w:tcPr>
            <w:tcW w:w="1803" w:type="dxa"/>
          </w:tcPr>
          <w:p w14:paraId="3CE6CF89" w14:textId="0C8B3C6E" w:rsidR="00CB689C" w:rsidRDefault="00994D03" w:rsidP="00140B7A">
            <w:r>
              <w:t>Market Cap</w:t>
            </w:r>
          </w:p>
        </w:tc>
        <w:tc>
          <w:tcPr>
            <w:tcW w:w="3658" w:type="dxa"/>
          </w:tcPr>
          <w:p w14:paraId="7DB47E80" w14:textId="6A0A5071" w:rsidR="00CB689C" w:rsidRDefault="00CB689C" w:rsidP="00140B7A">
            <w:r w:rsidRPr="00561844">
              <w:rPr>
                <w:b/>
                <w:bCs/>
              </w:rPr>
              <w:t>PE ratio (Earning Growth)</w:t>
            </w:r>
          </w:p>
        </w:tc>
      </w:tr>
      <w:tr w:rsidR="00CB689C" w14:paraId="5043CC54" w14:textId="77777777" w:rsidTr="00CB689C">
        <w:tc>
          <w:tcPr>
            <w:tcW w:w="1803" w:type="dxa"/>
          </w:tcPr>
          <w:p w14:paraId="5E7476B3" w14:textId="7C692058" w:rsidR="00CB689C" w:rsidRPr="00DF1230" w:rsidRDefault="00CB689C" w:rsidP="00140B7A">
            <w:pPr>
              <w:rPr>
                <w:b/>
                <w:bCs/>
              </w:rPr>
            </w:pPr>
            <w:r>
              <w:rPr>
                <w:b/>
                <w:bCs/>
              </w:rPr>
              <w:t>Netflix Inc</w:t>
            </w:r>
          </w:p>
        </w:tc>
        <w:tc>
          <w:tcPr>
            <w:tcW w:w="1803" w:type="dxa"/>
          </w:tcPr>
          <w:p w14:paraId="34FAA218" w14:textId="56A1C67E" w:rsidR="00CB689C" w:rsidRPr="00DF1230" w:rsidRDefault="00B27210" w:rsidP="00140B7A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Pr="00B27210">
              <w:rPr>
                <w:b/>
                <w:bCs/>
              </w:rPr>
              <w:t>32.74B</w:t>
            </w:r>
          </w:p>
        </w:tc>
        <w:tc>
          <w:tcPr>
            <w:tcW w:w="1803" w:type="dxa"/>
          </w:tcPr>
          <w:p w14:paraId="0E29503C" w14:textId="0764FAB6" w:rsidR="00CB689C" w:rsidRPr="00DF1230" w:rsidRDefault="00994D03" w:rsidP="00140B7A">
            <w:pPr>
              <w:rPr>
                <w:b/>
                <w:bCs/>
              </w:rPr>
            </w:pPr>
            <w:r w:rsidRPr="00994D03">
              <w:rPr>
                <w:b/>
                <w:bCs/>
              </w:rPr>
              <w:t>$215.42b</w:t>
            </w:r>
          </w:p>
        </w:tc>
        <w:tc>
          <w:tcPr>
            <w:tcW w:w="3658" w:type="dxa"/>
          </w:tcPr>
          <w:p w14:paraId="61F7B548" w14:textId="03EE5F3D" w:rsidR="00CB689C" w:rsidRPr="00DF1230" w:rsidRDefault="00CB689C" w:rsidP="00140B7A">
            <w:pPr>
              <w:rPr>
                <w:b/>
                <w:bCs/>
              </w:rPr>
            </w:pPr>
            <w:r w:rsidRPr="00CB689C">
              <w:rPr>
                <w:b/>
                <w:bCs/>
              </w:rPr>
              <w:t>44.1x</w:t>
            </w:r>
          </w:p>
        </w:tc>
      </w:tr>
      <w:tr w:rsidR="00CB689C" w14:paraId="5916AAF1" w14:textId="77777777" w:rsidTr="00CB689C">
        <w:tc>
          <w:tcPr>
            <w:tcW w:w="1803" w:type="dxa"/>
          </w:tcPr>
          <w:p w14:paraId="54029199" w14:textId="1CF4D194" w:rsidR="00CB689C" w:rsidRPr="00C229DA" w:rsidRDefault="00994D03" w:rsidP="00140B7A">
            <w:r>
              <w:t>Walt Disney</w:t>
            </w:r>
          </w:p>
          <w:p w14:paraId="019887AF" w14:textId="77777777" w:rsidR="00CB689C" w:rsidRPr="00584A92" w:rsidRDefault="00CB689C" w:rsidP="00140B7A">
            <w:pPr>
              <w:rPr>
                <w:b/>
                <w:bCs/>
              </w:rPr>
            </w:pPr>
          </w:p>
        </w:tc>
        <w:tc>
          <w:tcPr>
            <w:tcW w:w="1803" w:type="dxa"/>
          </w:tcPr>
          <w:p w14:paraId="51BFFF92" w14:textId="1748BD65" w:rsidR="00CB689C" w:rsidRDefault="00B27210" w:rsidP="00994D03">
            <w:r>
              <w:t>$</w:t>
            </w:r>
            <w:r w:rsidRPr="00B27210">
              <w:t>88.90B</w:t>
            </w:r>
          </w:p>
        </w:tc>
        <w:tc>
          <w:tcPr>
            <w:tcW w:w="1803" w:type="dxa"/>
          </w:tcPr>
          <w:p w14:paraId="5152D0EA" w14:textId="72361E94" w:rsidR="00CB689C" w:rsidRDefault="00994D03" w:rsidP="00140B7A">
            <w:r>
              <w:t>$</w:t>
            </w:r>
            <w:r w:rsidRPr="00994D03">
              <w:t>171.63b</w:t>
            </w:r>
          </w:p>
        </w:tc>
        <w:tc>
          <w:tcPr>
            <w:tcW w:w="3658" w:type="dxa"/>
          </w:tcPr>
          <w:p w14:paraId="46DAFD83" w14:textId="0299ADBA" w:rsidR="00CB689C" w:rsidRPr="00994D03" w:rsidRDefault="00994D03" w:rsidP="00140B7A">
            <w:pPr>
              <w:rPr>
                <w:b/>
                <w:bCs/>
              </w:rPr>
            </w:pPr>
            <w:r w:rsidRPr="00994D03">
              <w:rPr>
                <w:b/>
                <w:bCs/>
              </w:rPr>
              <w:t>72.7x</w:t>
            </w:r>
          </w:p>
        </w:tc>
      </w:tr>
      <w:tr w:rsidR="00CB689C" w14:paraId="6F9BDD82" w14:textId="77777777" w:rsidTr="00CB689C">
        <w:tc>
          <w:tcPr>
            <w:tcW w:w="1803" w:type="dxa"/>
          </w:tcPr>
          <w:p w14:paraId="49049326" w14:textId="76384A41" w:rsidR="00CB689C" w:rsidRDefault="00B27210" w:rsidP="00994D03">
            <w:r w:rsidRPr="00B27210">
              <w:t>Spotify Technology S.A.</w:t>
            </w:r>
          </w:p>
        </w:tc>
        <w:tc>
          <w:tcPr>
            <w:tcW w:w="1803" w:type="dxa"/>
          </w:tcPr>
          <w:p w14:paraId="1506E594" w14:textId="6BF84E27" w:rsidR="00CB689C" w:rsidRDefault="00F51A39" w:rsidP="00994D03">
            <w:r>
              <w:t>$</w:t>
            </w:r>
            <w:r w:rsidRPr="00F51A39">
              <w:t>13.47B</w:t>
            </w:r>
          </w:p>
        </w:tc>
        <w:tc>
          <w:tcPr>
            <w:tcW w:w="1803" w:type="dxa"/>
          </w:tcPr>
          <w:p w14:paraId="1C79B9F8" w14:textId="111A6F9D" w:rsidR="00CB689C" w:rsidRDefault="00B27210" w:rsidP="00CB689C">
            <w:r>
              <w:t>$</w:t>
            </w:r>
            <w:r w:rsidRPr="00B27210">
              <w:t>40.34B</w:t>
            </w:r>
          </w:p>
        </w:tc>
        <w:tc>
          <w:tcPr>
            <w:tcW w:w="3658" w:type="dxa"/>
          </w:tcPr>
          <w:p w14:paraId="04E01C2A" w14:textId="0DD0EAA5" w:rsidR="00CB689C" w:rsidRPr="00AC26FF" w:rsidRDefault="008C4898" w:rsidP="00CB689C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C26FF">
              <w:rPr>
                <w:rFonts w:ascii="Segoe UI" w:hAnsi="Segoe UI" w:cs="Segoe UI"/>
                <w:color w:val="212529"/>
              </w:rPr>
              <w:t>34.9</w:t>
            </w:r>
            <w:r w:rsidR="00AC26FF">
              <w:rPr>
                <w:rFonts w:ascii="Segoe UI" w:hAnsi="Segoe UI" w:cs="Segoe UI"/>
                <w:color w:val="212529"/>
              </w:rPr>
              <w:t>x</w:t>
            </w:r>
          </w:p>
        </w:tc>
      </w:tr>
      <w:tr w:rsidR="00CB689C" w14:paraId="0C87FF82" w14:textId="77777777" w:rsidTr="00CB689C">
        <w:tc>
          <w:tcPr>
            <w:tcW w:w="1803" w:type="dxa"/>
          </w:tcPr>
          <w:p w14:paraId="498DC268" w14:textId="5B6D47F8" w:rsidR="00CB689C" w:rsidRDefault="00B27210" w:rsidP="00994D03">
            <w:r w:rsidRPr="00B27210">
              <w:t>Warner Bros. Discovery, Inc.</w:t>
            </w:r>
          </w:p>
        </w:tc>
        <w:tc>
          <w:tcPr>
            <w:tcW w:w="1803" w:type="dxa"/>
          </w:tcPr>
          <w:p w14:paraId="52CDD231" w14:textId="3FD73186" w:rsidR="00CB689C" w:rsidRDefault="00F51A39" w:rsidP="00994D03">
            <w:r>
              <w:t>$</w:t>
            </w:r>
            <w:r w:rsidRPr="00F51A39">
              <w:t>42.05B</w:t>
            </w:r>
          </w:p>
        </w:tc>
        <w:tc>
          <w:tcPr>
            <w:tcW w:w="1803" w:type="dxa"/>
          </w:tcPr>
          <w:p w14:paraId="18E3378B" w14:textId="3D93B1C7" w:rsidR="00CB689C" w:rsidRDefault="00F51A39" w:rsidP="00CB689C">
            <w:r>
              <w:t>$</w:t>
            </w:r>
            <w:r w:rsidR="00B27210" w:rsidRPr="00B27210">
              <w:t>25.70B</w:t>
            </w:r>
          </w:p>
        </w:tc>
        <w:tc>
          <w:tcPr>
            <w:tcW w:w="3658" w:type="dxa"/>
          </w:tcPr>
          <w:p w14:paraId="5FD6885D" w14:textId="38584F84" w:rsidR="00CB689C" w:rsidRPr="00AC26FF" w:rsidRDefault="00AC26FF" w:rsidP="00140B7A">
            <w:r w:rsidRPr="00AC26FF">
              <w:t>0x</w:t>
            </w:r>
          </w:p>
        </w:tc>
      </w:tr>
    </w:tbl>
    <w:p w14:paraId="2905B3C2" w14:textId="77777777" w:rsidR="00DF1230" w:rsidRDefault="00DF1230" w:rsidP="00C229DA">
      <w:pPr>
        <w:rPr>
          <w:b/>
          <w:bCs/>
        </w:rPr>
      </w:pPr>
    </w:p>
    <w:p w14:paraId="461E1C09" w14:textId="77777777" w:rsidR="00CB689C" w:rsidRPr="00C229DA" w:rsidRDefault="00CB689C" w:rsidP="00C229DA">
      <w:pPr>
        <w:rPr>
          <w:b/>
          <w:bCs/>
        </w:rPr>
      </w:pPr>
    </w:p>
    <w:p w14:paraId="1E85E822" w14:textId="34CA9712" w:rsidR="00F02542" w:rsidRPr="00F02542" w:rsidRDefault="00B27210" w:rsidP="00F02542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All of these peers specialise in the </w:t>
      </w:r>
      <w:r w:rsidRPr="00CB7055">
        <w:rPr>
          <w:b/>
          <w:bCs/>
          <w:sz w:val="22"/>
          <w:szCs w:val="22"/>
        </w:rPr>
        <w:t>Movies and Entertainment industry</w:t>
      </w:r>
      <w:r>
        <w:rPr>
          <w:sz w:val="22"/>
          <w:szCs w:val="22"/>
        </w:rPr>
        <w:t>.</w:t>
      </w:r>
    </w:p>
    <w:p w14:paraId="150E86C8" w14:textId="1B006E74" w:rsidR="00F02542" w:rsidRDefault="00F02542" w:rsidP="00F02542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F02542">
        <w:rPr>
          <w:sz w:val="22"/>
          <w:szCs w:val="22"/>
        </w:rPr>
        <w:t>Disney's various divisions offer more opportunities to profit from content compared to Netflix. As a result, Disney isn't solely reliant on streaming for revenue.</w:t>
      </w:r>
      <w:r w:rsidR="00BA1428">
        <w:rPr>
          <w:sz w:val="22"/>
          <w:szCs w:val="22"/>
        </w:rPr>
        <w:t xml:space="preserve"> (Even with higher PE ratio)</w:t>
      </w:r>
    </w:p>
    <w:p w14:paraId="60EEE546" w14:textId="138E722B" w:rsidR="00F02542" w:rsidRDefault="00F02542" w:rsidP="00F02542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F02542">
        <w:rPr>
          <w:sz w:val="22"/>
          <w:szCs w:val="22"/>
        </w:rPr>
        <w:t>Disney generates more free cash flow than Netflix does. This available cash can be used strategically to increase Disney's presence in the streaming market.</w:t>
      </w:r>
    </w:p>
    <w:p w14:paraId="5AF4CA38" w14:textId="52877E15" w:rsidR="00F02542" w:rsidRDefault="00F02542" w:rsidP="00F02542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F02542">
        <w:rPr>
          <w:sz w:val="22"/>
          <w:szCs w:val="22"/>
        </w:rPr>
        <w:t xml:space="preserve">Every new streaming customer that Disney gains is likely to benefit its other business divisions. A streaming customer is slightly more inclined to buy a Disney DVD, visit a Disney theme park, or watch another Disney </w:t>
      </w:r>
      <w:r w:rsidR="00B27210" w:rsidRPr="00F02542">
        <w:rPr>
          <w:sz w:val="22"/>
          <w:szCs w:val="22"/>
        </w:rPr>
        <w:t>movie.</w:t>
      </w:r>
    </w:p>
    <w:p w14:paraId="7C11BF5B" w14:textId="7165DABE" w:rsidR="00F02542" w:rsidRDefault="00B27210" w:rsidP="00B27210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Disney, </w:t>
      </w:r>
      <w:r w:rsidR="001F14DD">
        <w:rPr>
          <w:sz w:val="22"/>
          <w:szCs w:val="22"/>
        </w:rPr>
        <w:t>Spotify,</w:t>
      </w:r>
      <w:r>
        <w:rPr>
          <w:sz w:val="22"/>
          <w:szCs w:val="22"/>
        </w:rPr>
        <w:t xml:space="preserve"> and Warner Bro’s have a </w:t>
      </w:r>
      <w:r w:rsidRPr="00B27210">
        <w:rPr>
          <w:sz w:val="22"/>
          <w:szCs w:val="22"/>
        </w:rPr>
        <w:t>7.47%</w:t>
      </w:r>
      <w:r>
        <w:rPr>
          <w:sz w:val="22"/>
          <w:szCs w:val="22"/>
        </w:rPr>
        <w:t xml:space="preserve">, </w:t>
      </w:r>
      <w:r w:rsidRPr="00B27210">
        <w:rPr>
          <w:sz w:val="22"/>
          <w:szCs w:val="22"/>
        </w:rPr>
        <w:t>13.26%</w:t>
      </w:r>
      <w:r>
        <w:rPr>
          <w:sz w:val="22"/>
          <w:szCs w:val="22"/>
        </w:rPr>
        <w:t xml:space="preserve">, </w:t>
      </w:r>
      <w:r w:rsidRPr="00B27210">
        <w:rPr>
          <w:sz w:val="22"/>
          <w:szCs w:val="22"/>
        </w:rPr>
        <w:t>61.74%</w:t>
      </w:r>
      <w:r>
        <w:rPr>
          <w:sz w:val="22"/>
          <w:szCs w:val="22"/>
        </w:rPr>
        <w:t xml:space="preserve"> year on year growth respectively.</w:t>
      </w:r>
    </w:p>
    <w:p w14:paraId="5699E506" w14:textId="2468C3DF" w:rsidR="00CB7055" w:rsidRDefault="00B27210" w:rsidP="00427A1D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Gross Profit Margin: Netflix, Disney, Spotify, and Warner Bros, </w:t>
      </w:r>
      <w:r w:rsidRPr="00B27210">
        <w:rPr>
          <w:sz w:val="22"/>
          <w:szCs w:val="22"/>
        </w:rPr>
        <w:t>39.49%</w:t>
      </w:r>
      <w:r>
        <w:rPr>
          <w:sz w:val="22"/>
          <w:szCs w:val="22"/>
        </w:rPr>
        <w:t xml:space="preserve">, </w:t>
      </w:r>
      <w:r w:rsidRPr="00B27210">
        <w:rPr>
          <w:sz w:val="22"/>
          <w:szCs w:val="22"/>
        </w:rPr>
        <w:t>33.41%</w:t>
      </w:r>
      <w:r>
        <w:rPr>
          <w:sz w:val="22"/>
          <w:szCs w:val="22"/>
        </w:rPr>
        <w:t xml:space="preserve">, </w:t>
      </w:r>
      <w:r w:rsidRPr="00B27210">
        <w:rPr>
          <w:sz w:val="22"/>
          <w:szCs w:val="22"/>
        </w:rPr>
        <w:t>25.69%</w:t>
      </w:r>
      <w:r>
        <w:rPr>
          <w:sz w:val="22"/>
          <w:szCs w:val="22"/>
        </w:rPr>
        <w:t xml:space="preserve">, </w:t>
      </w:r>
      <w:r w:rsidRPr="00B27210">
        <w:rPr>
          <w:sz w:val="22"/>
          <w:szCs w:val="22"/>
        </w:rPr>
        <w:t>39.27%</w:t>
      </w:r>
      <w:r>
        <w:rPr>
          <w:sz w:val="22"/>
          <w:szCs w:val="22"/>
        </w:rPr>
        <w:t xml:space="preserve"> respectively.</w:t>
      </w:r>
    </w:p>
    <w:p w14:paraId="632E6AF2" w14:textId="22A44526" w:rsidR="00A45C76" w:rsidRDefault="00A45C76" w:rsidP="00427A1D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A45C76">
        <w:rPr>
          <w:sz w:val="22"/>
          <w:szCs w:val="22"/>
        </w:rPr>
        <w:t>The long-term prospects for Warner Bros. Discovery, Inc. are promising, with the potential for a substantial increase in its stock valuation, possibly doubling or tripling.</w:t>
      </w:r>
    </w:p>
    <w:p w14:paraId="06FF4AF6" w14:textId="2FAD963D" w:rsidR="00F02542" w:rsidRPr="00AC26FF" w:rsidRDefault="00A45C76" w:rsidP="00072C2E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AC26FF">
        <w:rPr>
          <w:sz w:val="22"/>
          <w:szCs w:val="22"/>
        </w:rPr>
        <w:t xml:space="preserve">Spotify Technology seems stable for a three-month investment horizon. </w:t>
      </w:r>
      <w:r w:rsidR="00AC26FF">
        <w:rPr>
          <w:sz w:val="22"/>
          <w:szCs w:val="22"/>
        </w:rPr>
        <w:t>Investors may expect Spotify to be profitable in the future given PE ratio.</w:t>
      </w:r>
    </w:p>
    <w:p w14:paraId="05767C16" w14:textId="77777777" w:rsidR="00F02542" w:rsidRPr="00F02542" w:rsidRDefault="00F02542" w:rsidP="00F02542">
      <w:pPr>
        <w:rPr>
          <w:sz w:val="22"/>
          <w:szCs w:val="22"/>
        </w:rPr>
      </w:pP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A559AC" w14:paraId="21C3B5D7" w14:textId="77777777" w:rsidTr="00CB7055">
        <w:trPr>
          <w:trHeight w:val="245"/>
        </w:trPr>
        <w:tc>
          <w:tcPr>
            <w:tcW w:w="2392" w:type="dxa"/>
          </w:tcPr>
          <w:p w14:paraId="28236668" w14:textId="622F1182" w:rsidR="00A559AC" w:rsidRDefault="00A559AC" w:rsidP="00A559AC"/>
        </w:tc>
        <w:tc>
          <w:tcPr>
            <w:tcW w:w="2392" w:type="dxa"/>
          </w:tcPr>
          <w:p w14:paraId="711C6EB5" w14:textId="77777777" w:rsidR="00A559AC" w:rsidRDefault="00A559AC" w:rsidP="00A559AC">
            <w:r>
              <w:t>Revenue</w:t>
            </w:r>
          </w:p>
        </w:tc>
        <w:tc>
          <w:tcPr>
            <w:tcW w:w="2392" w:type="dxa"/>
          </w:tcPr>
          <w:p w14:paraId="6AD0082B" w14:textId="2431DB15" w:rsidR="00A559AC" w:rsidRDefault="00A559AC" w:rsidP="00A559AC">
            <w:r>
              <w:t>Market Cap</w:t>
            </w:r>
          </w:p>
        </w:tc>
        <w:tc>
          <w:tcPr>
            <w:tcW w:w="2392" w:type="dxa"/>
          </w:tcPr>
          <w:p w14:paraId="49D6418C" w14:textId="1ADB7C9F" w:rsidR="00A559AC" w:rsidRDefault="00A559AC" w:rsidP="00A559AC">
            <w:r w:rsidRPr="00561844">
              <w:rPr>
                <w:b/>
                <w:bCs/>
              </w:rPr>
              <w:t>PE ratio (Earning Growth)</w:t>
            </w:r>
          </w:p>
        </w:tc>
      </w:tr>
      <w:tr w:rsidR="00A559AC" w14:paraId="767B208C" w14:textId="77777777" w:rsidTr="00CB7055">
        <w:trPr>
          <w:trHeight w:val="507"/>
        </w:trPr>
        <w:tc>
          <w:tcPr>
            <w:tcW w:w="2392" w:type="dxa"/>
          </w:tcPr>
          <w:p w14:paraId="11FE3006" w14:textId="0D63089F" w:rsidR="00A559AC" w:rsidRDefault="00A559AC" w:rsidP="00A559AC">
            <w:pPr>
              <w:rPr>
                <w:b/>
                <w:bCs/>
              </w:rPr>
            </w:pPr>
            <w:r w:rsidRPr="00C229DA">
              <w:rPr>
                <w:b/>
                <w:bCs/>
              </w:rPr>
              <w:t>Pfizer Inc</w:t>
            </w:r>
          </w:p>
          <w:p w14:paraId="6C23BCEA" w14:textId="2B4E71F0" w:rsidR="00A559AC" w:rsidRPr="00DF1230" w:rsidRDefault="00A559AC" w:rsidP="00A559AC">
            <w:pPr>
              <w:rPr>
                <w:b/>
                <w:bCs/>
              </w:rPr>
            </w:pPr>
          </w:p>
        </w:tc>
        <w:tc>
          <w:tcPr>
            <w:tcW w:w="2392" w:type="dxa"/>
          </w:tcPr>
          <w:p w14:paraId="3213459C" w14:textId="19F919E6" w:rsidR="00A559AC" w:rsidRPr="00DF1230" w:rsidRDefault="00A559AC" w:rsidP="00A559AC">
            <w:pPr>
              <w:rPr>
                <w:b/>
                <w:bCs/>
              </w:rPr>
            </w:pPr>
            <w:r w:rsidRPr="00CB7055">
              <w:rPr>
                <w:b/>
                <w:bCs/>
              </w:rPr>
              <w:t>$68.54b</w:t>
            </w:r>
          </w:p>
        </w:tc>
        <w:tc>
          <w:tcPr>
            <w:tcW w:w="2392" w:type="dxa"/>
          </w:tcPr>
          <w:p w14:paraId="28623B07" w14:textId="085DBF07" w:rsidR="00A559AC" w:rsidRPr="00DF1230" w:rsidRDefault="00A559AC" w:rsidP="00A559AC">
            <w:pPr>
              <w:rPr>
                <w:b/>
                <w:bCs/>
              </w:rPr>
            </w:pPr>
            <w:r w:rsidRPr="00CB7055">
              <w:rPr>
                <w:b/>
                <w:bCs/>
              </w:rPr>
              <w:t>$160.53b</w:t>
            </w:r>
          </w:p>
        </w:tc>
        <w:tc>
          <w:tcPr>
            <w:tcW w:w="2392" w:type="dxa"/>
          </w:tcPr>
          <w:p w14:paraId="5B7F4EB6" w14:textId="4034C2A1" w:rsidR="00A559AC" w:rsidRPr="00DF1230" w:rsidRDefault="00A559AC" w:rsidP="00A559AC">
            <w:pPr>
              <w:rPr>
                <w:b/>
                <w:bCs/>
              </w:rPr>
            </w:pPr>
            <w:r>
              <w:rPr>
                <w:b/>
                <w:bCs/>
              </w:rPr>
              <w:t>15.3x</w:t>
            </w:r>
          </w:p>
        </w:tc>
      </w:tr>
      <w:tr w:rsidR="00A559AC" w14:paraId="24BA678C" w14:textId="77777777" w:rsidTr="00CB7055">
        <w:trPr>
          <w:trHeight w:val="753"/>
        </w:trPr>
        <w:tc>
          <w:tcPr>
            <w:tcW w:w="2392" w:type="dxa"/>
          </w:tcPr>
          <w:p w14:paraId="28E93C88" w14:textId="77777777" w:rsidR="00A559AC" w:rsidRPr="008B5B3E" w:rsidRDefault="00A559AC" w:rsidP="00A559AC">
            <w:r w:rsidRPr="008B5B3E">
              <w:t>Johnson &amp; Johnson</w:t>
            </w:r>
          </w:p>
          <w:p w14:paraId="4DF891F0" w14:textId="77777777" w:rsidR="00A559AC" w:rsidRPr="00584A92" w:rsidRDefault="00A559AC" w:rsidP="00A559AC">
            <w:pPr>
              <w:rPr>
                <w:b/>
                <w:bCs/>
              </w:rPr>
            </w:pPr>
          </w:p>
        </w:tc>
        <w:tc>
          <w:tcPr>
            <w:tcW w:w="2392" w:type="dxa"/>
          </w:tcPr>
          <w:p w14:paraId="2FE09435" w14:textId="77777777" w:rsidR="00A559AC" w:rsidRPr="008B5B3E" w:rsidRDefault="00A559AC" w:rsidP="00A559AC">
            <w:r w:rsidRPr="008B5B3E">
              <w:t>$94.9B</w:t>
            </w:r>
          </w:p>
          <w:p w14:paraId="289E7AD5" w14:textId="77777777" w:rsidR="00A559AC" w:rsidRDefault="00A559AC" w:rsidP="00A559AC"/>
        </w:tc>
        <w:tc>
          <w:tcPr>
            <w:tcW w:w="2392" w:type="dxa"/>
          </w:tcPr>
          <w:p w14:paraId="62DB0861" w14:textId="06FD117E" w:rsidR="00A559AC" w:rsidRDefault="00A559AC" w:rsidP="00A559AC">
            <w:r w:rsidRPr="00D12EFA">
              <w:t>$384.71b</w:t>
            </w:r>
            <w:r w:rsidRPr="00D12EFA">
              <w:t xml:space="preserve"> </w:t>
            </w:r>
          </w:p>
        </w:tc>
        <w:tc>
          <w:tcPr>
            <w:tcW w:w="2392" w:type="dxa"/>
          </w:tcPr>
          <w:p w14:paraId="07DD6AA0" w14:textId="67234299" w:rsidR="00A559AC" w:rsidRPr="002D7250" w:rsidRDefault="00A559AC" w:rsidP="00A559AC">
            <w:r>
              <w:t>27.3x</w:t>
            </w:r>
          </w:p>
        </w:tc>
      </w:tr>
      <w:tr w:rsidR="00A559AC" w14:paraId="76F3708F" w14:textId="77777777" w:rsidTr="00CB7055">
        <w:trPr>
          <w:trHeight w:val="770"/>
        </w:trPr>
        <w:tc>
          <w:tcPr>
            <w:tcW w:w="2392" w:type="dxa"/>
          </w:tcPr>
          <w:p w14:paraId="4835D45F" w14:textId="2DD85A1A" w:rsidR="00A559AC" w:rsidRDefault="00A559AC" w:rsidP="00A559AC">
            <w:r w:rsidRPr="00CB7055">
              <w:t>Zoetis</w:t>
            </w:r>
            <w:r w:rsidRPr="00CB7055">
              <w:t xml:space="preserve"> </w:t>
            </w:r>
          </w:p>
        </w:tc>
        <w:tc>
          <w:tcPr>
            <w:tcW w:w="2392" w:type="dxa"/>
          </w:tcPr>
          <w:p w14:paraId="54F72451" w14:textId="056402E5" w:rsidR="00A559AC" w:rsidRPr="008B5B3E" w:rsidRDefault="00A559AC" w:rsidP="00A559AC"/>
          <w:p w14:paraId="17F39E3A" w14:textId="16AFD94A" w:rsidR="00A559AC" w:rsidRDefault="00A559AC" w:rsidP="00A559AC">
            <w:r w:rsidRPr="00D12EFA">
              <w:t>$8.37b</w:t>
            </w:r>
          </w:p>
        </w:tc>
        <w:tc>
          <w:tcPr>
            <w:tcW w:w="2392" w:type="dxa"/>
          </w:tcPr>
          <w:p w14:paraId="3A54941A" w14:textId="7B3DCC04" w:rsidR="00A559AC" w:rsidRPr="008B5B3E" w:rsidRDefault="00A559AC" w:rsidP="00A559AC">
            <w:r w:rsidRPr="00D12EFA">
              <w:t>$86.36b</w:t>
            </w:r>
          </w:p>
          <w:p w14:paraId="2E49C4E4" w14:textId="77777777" w:rsidR="00A559AC" w:rsidRDefault="00A559AC" w:rsidP="00A559AC"/>
        </w:tc>
        <w:tc>
          <w:tcPr>
            <w:tcW w:w="2392" w:type="dxa"/>
          </w:tcPr>
          <w:p w14:paraId="37EF450D" w14:textId="4AE8A01B" w:rsidR="00A559AC" w:rsidRPr="008B5B3E" w:rsidRDefault="00A559AC" w:rsidP="00A559AC"/>
          <w:p w14:paraId="7BFC719F" w14:textId="35F16E7E" w:rsidR="00A559AC" w:rsidRDefault="00A559AC" w:rsidP="00A559AC">
            <w:r>
              <w:t>37.5x</w:t>
            </w:r>
          </w:p>
        </w:tc>
      </w:tr>
      <w:tr w:rsidR="00A559AC" w14:paraId="42F8C802" w14:textId="77777777" w:rsidTr="00CB7055">
        <w:trPr>
          <w:trHeight w:val="507"/>
        </w:trPr>
        <w:tc>
          <w:tcPr>
            <w:tcW w:w="2392" w:type="dxa"/>
          </w:tcPr>
          <w:p w14:paraId="6279C96E" w14:textId="77777777" w:rsidR="00A559AC" w:rsidRPr="008B5B3E" w:rsidRDefault="00A559AC" w:rsidP="00A559AC">
            <w:r w:rsidRPr="008B5B3E">
              <w:t>Merck &amp; Co Inc</w:t>
            </w:r>
          </w:p>
          <w:p w14:paraId="423CEA05" w14:textId="77777777" w:rsidR="00A559AC" w:rsidRDefault="00A559AC" w:rsidP="00A559AC"/>
        </w:tc>
        <w:tc>
          <w:tcPr>
            <w:tcW w:w="2392" w:type="dxa"/>
          </w:tcPr>
          <w:p w14:paraId="0548435C" w14:textId="55808F39" w:rsidR="00A559AC" w:rsidRDefault="00A559AC" w:rsidP="00A559AC">
            <w:r w:rsidRPr="008B5B3E">
              <w:t>$59.3B</w:t>
            </w:r>
            <w:r>
              <w:t xml:space="preserve"> </w:t>
            </w:r>
          </w:p>
        </w:tc>
        <w:tc>
          <w:tcPr>
            <w:tcW w:w="2392" w:type="dxa"/>
          </w:tcPr>
          <w:p w14:paraId="60AE961A" w14:textId="60D03F10" w:rsidR="00A559AC" w:rsidRDefault="00A559AC" w:rsidP="00A559AC">
            <w:r w:rsidRPr="00D12EFA">
              <w:t>$303.68b</w:t>
            </w:r>
            <w:r w:rsidRPr="00D12EFA">
              <w:t xml:space="preserve"> </w:t>
            </w:r>
          </w:p>
        </w:tc>
        <w:tc>
          <w:tcPr>
            <w:tcW w:w="2392" w:type="dxa"/>
          </w:tcPr>
          <w:p w14:paraId="24C14860" w14:textId="640C0F46" w:rsidR="00A559AC" w:rsidRDefault="00A559AC" w:rsidP="00A559AC">
            <w:r>
              <w:t xml:space="preserve">65.4x </w:t>
            </w:r>
          </w:p>
        </w:tc>
      </w:tr>
    </w:tbl>
    <w:p w14:paraId="448BF06C" w14:textId="77777777" w:rsidR="00DF1230" w:rsidRDefault="00DF1230" w:rsidP="00C229DA">
      <w:pPr>
        <w:rPr>
          <w:b/>
          <w:bCs/>
        </w:rPr>
      </w:pPr>
    </w:p>
    <w:p w14:paraId="14139299" w14:textId="18E7E308" w:rsidR="00A559AC" w:rsidRPr="006F3035" w:rsidRDefault="00A559AC" w:rsidP="00A559AC">
      <w:pPr>
        <w:pStyle w:val="ListParagraph"/>
        <w:numPr>
          <w:ilvl w:val="0"/>
          <w:numId w:val="9"/>
        </w:numPr>
        <w:rPr>
          <w:b/>
          <w:bCs/>
          <w:sz w:val="22"/>
          <w:szCs w:val="22"/>
        </w:rPr>
      </w:pPr>
      <w:r w:rsidRPr="006F3035">
        <w:rPr>
          <w:b/>
          <w:bCs/>
          <w:sz w:val="22"/>
          <w:szCs w:val="22"/>
        </w:rPr>
        <w:t xml:space="preserve">All </w:t>
      </w:r>
      <w:r w:rsidR="003921E0" w:rsidRPr="006F3035">
        <w:rPr>
          <w:b/>
          <w:bCs/>
          <w:sz w:val="22"/>
          <w:szCs w:val="22"/>
        </w:rPr>
        <w:t xml:space="preserve">of these peers are </w:t>
      </w:r>
      <w:r w:rsidRPr="006F3035">
        <w:rPr>
          <w:b/>
          <w:bCs/>
          <w:sz w:val="22"/>
          <w:szCs w:val="22"/>
        </w:rPr>
        <w:t>in the pharmaceutical industry.</w:t>
      </w:r>
    </w:p>
    <w:p w14:paraId="2BEE7E23" w14:textId="6CC24B08" w:rsidR="00A559AC" w:rsidRPr="006F3035" w:rsidRDefault="00A559AC" w:rsidP="00A559AC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6F3035">
        <w:rPr>
          <w:sz w:val="22"/>
          <w:szCs w:val="22"/>
        </w:rPr>
        <w:t>Johnson &amp; Johnson is more efficient in research and development and has a larger collection of patents compared to Pfizer.</w:t>
      </w:r>
    </w:p>
    <w:p w14:paraId="2866BBB9" w14:textId="583D649C" w:rsidR="00A559AC" w:rsidRPr="006F3035" w:rsidRDefault="00A559AC" w:rsidP="00A559AC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6F3035">
        <w:rPr>
          <w:sz w:val="22"/>
          <w:szCs w:val="22"/>
        </w:rPr>
        <w:t>Being the largest healthcare conglomerate globally, Johnson &amp; Johnson naturally positions itself near or at the top of various pharmaceutical industry rankings.</w:t>
      </w:r>
    </w:p>
    <w:p w14:paraId="0C786C78" w14:textId="2B94484C" w:rsidR="00A559AC" w:rsidRPr="006F3035" w:rsidRDefault="003921E0" w:rsidP="00A559AC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6F3035">
        <w:rPr>
          <w:sz w:val="22"/>
          <w:szCs w:val="22"/>
        </w:rPr>
        <w:t>For J&amp;J shareholders,</w:t>
      </w:r>
      <w:r w:rsidRPr="006F3035">
        <w:rPr>
          <w:sz w:val="22"/>
          <w:szCs w:val="22"/>
        </w:rPr>
        <w:t xml:space="preserve"> </w:t>
      </w:r>
      <w:r w:rsidRPr="006F3035">
        <w:rPr>
          <w:sz w:val="22"/>
          <w:szCs w:val="22"/>
        </w:rPr>
        <w:t>$7.81 in diluted earnings per share, marking a substantial increase from $5.51 in 2020.</w:t>
      </w:r>
    </w:p>
    <w:p w14:paraId="16CE8171" w14:textId="77777777" w:rsidR="003921E0" w:rsidRPr="006F3035" w:rsidRDefault="003921E0" w:rsidP="003921E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6F3035">
        <w:rPr>
          <w:sz w:val="22"/>
          <w:szCs w:val="22"/>
        </w:rPr>
        <w:t>Merck reported pharmaceutical segment profits of $30.98 billion, compared to $26.11 billion in the previous year.</w:t>
      </w:r>
    </w:p>
    <w:p w14:paraId="0B488A9F" w14:textId="3DB76931" w:rsidR="003921E0" w:rsidRPr="006F3035" w:rsidRDefault="003921E0" w:rsidP="003921E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6F3035">
        <w:rPr>
          <w:sz w:val="22"/>
          <w:szCs w:val="22"/>
        </w:rPr>
        <w:t>Zoetis stock might experience a 30% increase due to increased spending on pet</w:t>
      </w:r>
      <w:r w:rsidRPr="006F3035">
        <w:rPr>
          <w:sz w:val="22"/>
          <w:szCs w:val="22"/>
        </w:rPr>
        <w:t>s.</w:t>
      </w:r>
    </w:p>
    <w:p w14:paraId="272A8D86" w14:textId="67B566BB" w:rsidR="003921E0" w:rsidRPr="006F3035" w:rsidRDefault="003921E0" w:rsidP="003921E0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6F3035">
        <w:rPr>
          <w:sz w:val="22"/>
          <w:szCs w:val="22"/>
        </w:rPr>
        <w:t>Zoetis has shown profitability in all of the last 10 years, boasting an operating margin of 35.42%, which outperforms 97.01% of companies in the Drug Manufacturers industry.</w:t>
      </w:r>
    </w:p>
    <w:p w14:paraId="5C28C28F" w14:textId="77777777" w:rsidR="003921E0" w:rsidRPr="00A559AC" w:rsidRDefault="003921E0" w:rsidP="003921E0">
      <w:pPr>
        <w:pStyle w:val="ListParagraph"/>
      </w:pPr>
    </w:p>
    <w:p w14:paraId="664F5774" w14:textId="77777777" w:rsidR="00C229DA" w:rsidRPr="00A559AC" w:rsidRDefault="00C229DA" w:rsidP="00C229DA"/>
    <w:p w14:paraId="469DBD01" w14:textId="77777777" w:rsidR="00C229DA" w:rsidRPr="00C229DA" w:rsidRDefault="00C229DA" w:rsidP="00C229DA">
      <w:pPr>
        <w:rPr>
          <w:b/>
          <w:bCs/>
        </w:rPr>
      </w:pPr>
    </w:p>
    <w:p w14:paraId="018EE558" w14:textId="77777777" w:rsidR="00427A1D" w:rsidRDefault="00427A1D" w:rsidP="00C229DA">
      <w:pPr>
        <w:rPr>
          <w:b/>
          <w:bCs/>
        </w:rPr>
      </w:pPr>
    </w:p>
    <w:p w14:paraId="5D82F635" w14:textId="77777777" w:rsidR="00427A1D" w:rsidRDefault="00427A1D" w:rsidP="00C229DA">
      <w:pPr>
        <w:rPr>
          <w:b/>
          <w:bCs/>
        </w:rPr>
      </w:pPr>
    </w:p>
    <w:p w14:paraId="30368C9A" w14:textId="77777777" w:rsidR="00427A1D" w:rsidRDefault="00427A1D" w:rsidP="00C229DA">
      <w:pPr>
        <w:rPr>
          <w:b/>
          <w:bCs/>
        </w:rPr>
      </w:pPr>
    </w:p>
    <w:p w14:paraId="611D0F9D" w14:textId="77777777" w:rsidR="00427A1D" w:rsidRDefault="00427A1D" w:rsidP="00C229DA">
      <w:pPr>
        <w:rPr>
          <w:b/>
          <w:bCs/>
        </w:rPr>
      </w:pPr>
    </w:p>
    <w:p w14:paraId="12661D38" w14:textId="37BCCD4F" w:rsidR="00C229DA" w:rsidRDefault="00C229DA" w:rsidP="00C229DA">
      <w:pPr>
        <w:rPr>
          <w:b/>
          <w:bCs/>
        </w:rPr>
      </w:pPr>
      <w:r w:rsidRPr="00C229DA">
        <w:rPr>
          <w:b/>
          <w:bCs/>
        </w:rPr>
        <w:t>Nvidia Inc</w:t>
      </w:r>
    </w:p>
    <w:p w14:paraId="47947187" w14:textId="77777777" w:rsidR="00C229DA" w:rsidRDefault="00C229DA" w:rsidP="00C229DA">
      <w:pPr>
        <w:rPr>
          <w:b/>
          <w:bCs/>
        </w:rPr>
      </w:pP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392"/>
      </w:tblGrid>
      <w:tr w:rsidR="00427A1D" w14:paraId="1B725423" w14:textId="77777777" w:rsidTr="00140B7A">
        <w:trPr>
          <w:trHeight w:val="245"/>
        </w:trPr>
        <w:tc>
          <w:tcPr>
            <w:tcW w:w="2392" w:type="dxa"/>
          </w:tcPr>
          <w:p w14:paraId="32ECD18D" w14:textId="77777777" w:rsidR="00427A1D" w:rsidRDefault="00427A1D" w:rsidP="00140B7A"/>
        </w:tc>
        <w:tc>
          <w:tcPr>
            <w:tcW w:w="2392" w:type="dxa"/>
          </w:tcPr>
          <w:p w14:paraId="422FEE0E" w14:textId="77777777" w:rsidR="00427A1D" w:rsidRDefault="00427A1D" w:rsidP="00140B7A">
            <w:r>
              <w:t>Revenue</w:t>
            </w:r>
          </w:p>
        </w:tc>
        <w:tc>
          <w:tcPr>
            <w:tcW w:w="2392" w:type="dxa"/>
          </w:tcPr>
          <w:p w14:paraId="43CC7523" w14:textId="77777777" w:rsidR="00427A1D" w:rsidRDefault="00427A1D" w:rsidP="00140B7A">
            <w:r>
              <w:t>Market Cap</w:t>
            </w:r>
          </w:p>
        </w:tc>
        <w:tc>
          <w:tcPr>
            <w:tcW w:w="2392" w:type="dxa"/>
          </w:tcPr>
          <w:p w14:paraId="15B6A8B1" w14:textId="77777777" w:rsidR="00427A1D" w:rsidRDefault="00427A1D" w:rsidP="00140B7A">
            <w:r w:rsidRPr="00561844">
              <w:rPr>
                <w:b/>
                <w:bCs/>
              </w:rPr>
              <w:t>PE ratio (Earning Growth)</w:t>
            </w:r>
          </w:p>
        </w:tc>
      </w:tr>
      <w:tr w:rsidR="00427A1D" w:rsidRPr="00DF1230" w14:paraId="3AAC0A86" w14:textId="77777777" w:rsidTr="00140B7A">
        <w:trPr>
          <w:trHeight w:val="507"/>
        </w:trPr>
        <w:tc>
          <w:tcPr>
            <w:tcW w:w="2392" w:type="dxa"/>
          </w:tcPr>
          <w:p w14:paraId="0C128149" w14:textId="17D1BFC6" w:rsidR="00427A1D" w:rsidRDefault="00427A1D" w:rsidP="00140B7A">
            <w:pPr>
              <w:rPr>
                <w:b/>
                <w:bCs/>
              </w:rPr>
            </w:pPr>
            <w:r>
              <w:rPr>
                <w:b/>
                <w:bCs/>
              </w:rPr>
              <w:t>Nvidia Inc</w:t>
            </w:r>
          </w:p>
          <w:p w14:paraId="3CF67455" w14:textId="77777777" w:rsidR="00427A1D" w:rsidRPr="00DF1230" w:rsidRDefault="00427A1D" w:rsidP="00140B7A">
            <w:pPr>
              <w:rPr>
                <w:b/>
                <w:bCs/>
              </w:rPr>
            </w:pPr>
          </w:p>
        </w:tc>
        <w:tc>
          <w:tcPr>
            <w:tcW w:w="2392" w:type="dxa"/>
          </w:tcPr>
          <w:p w14:paraId="55D9BE2A" w14:textId="76D90A37" w:rsidR="00427A1D" w:rsidRPr="00DF1230" w:rsidRDefault="00427A1D" w:rsidP="00140B7A">
            <w:pPr>
              <w:rPr>
                <w:b/>
                <w:bCs/>
              </w:rPr>
            </w:pPr>
            <w:r w:rsidRPr="00427A1D">
              <w:rPr>
                <w:b/>
                <w:bCs/>
              </w:rPr>
              <w:t>$44.87b</w:t>
            </w:r>
          </w:p>
        </w:tc>
        <w:tc>
          <w:tcPr>
            <w:tcW w:w="2392" w:type="dxa"/>
          </w:tcPr>
          <w:p w14:paraId="1D613092" w14:textId="72C57531" w:rsidR="00427A1D" w:rsidRPr="00DF1230" w:rsidRDefault="00427A1D" w:rsidP="00140B7A">
            <w:pPr>
              <w:rPr>
                <w:b/>
                <w:bCs/>
              </w:rPr>
            </w:pPr>
            <w:r w:rsidRPr="00427A1D">
              <w:rPr>
                <w:b/>
                <w:bCs/>
              </w:rPr>
              <w:t>$1.48t</w:t>
            </w:r>
          </w:p>
        </w:tc>
        <w:tc>
          <w:tcPr>
            <w:tcW w:w="2392" w:type="dxa"/>
          </w:tcPr>
          <w:p w14:paraId="34910650" w14:textId="4A8BA9C4" w:rsidR="00427A1D" w:rsidRPr="00DF1230" w:rsidRDefault="00BA1428" w:rsidP="00140B7A">
            <w:pPr>
              <w:rPr>
                <w:b/>
                <w:bCs/>
              </w:rPr>
            </w:pPr>
            <w:r>
              <w:rPr>
                <w:b/>
                <w:bCs/>
              </w:rPr>
              <w:t>80.2x</w:t>
            </w:r>
          </w:p>
        </w:tc>
      </w:tr>
      <w:tr w:rsidR="00427A1D" w:rsidRPr="002D7250" w14:paraId="2FA78697" w14:textId="77777777" w:rsidTr="00140B7A">
        <w:trPr>
          <w:trHeight w:val="753"/>
        </w:trPr>
        <w:tc>
          <w:tcPr>
            <w:tcW w:w="2392" w:type="dxa"/>
          </w:tcPr>
          <w:p w14:paraId="607CF70B" w14:textId="309DE384" w:rsidR="00427A1D" w:rsidRPr="00584A92" w:rsidRDefault="00427A1D" w:rsidP="00140B7A">
            <w:pPr>
              <w:rPr>
                <w:b/>
                <w:bCs/>
              </w:rPr>
            </w:pPr>
            <w:r w:rsidRPr="00427A1D">
              <w:t>Broadcom Inc.</w:t>
            </w:r>
            <w:r w:rsidR="006F3035">
              <w:t xml:space="preserve"> (AVGO)</w:t>
            </w:r>
          </w:p>
        </w:tc>
        <w:tc>
          <w:tcPr>
            <w:tcW w:w="2392" w:type="dxa"/>
          </w:tcPr>
          <w:p w14:paraId="663C58F6" w14:textId="6E10E00F" w:rsidR="00427A1D" w:rsidRDefault="00427A1D" w:rsidP="00427A1D">
            <w:r>
              <w:t>$</w:t>
            </w:r>
            <w:r w:rsidRPr="00427A1D">
              <w:t>35.82B</w:t>
            </w:r>
          </w:p>
        </w:tc>
        <w:tc>
          <w:tcPr>
            <w:tcW w:w="2392" w:type="dxa"/>
          </w:tcPr>
          <w:p w14:paraId="342DBCD8" w14:textId="14BB522E" w:rsidR="00427A1D" w:rsidRDefault="00427A1D" w:rsidP="00140B7A">
            <w:r>
              <w:t>$</w:t>
            </w:r>
            <w:r w:rsidRPr="00427A1D">
              <w:t>586.99B</w:t>
            </w:r>
          </w:p>
        </w:tc>
        <w:tc>
          <w:tcPr>
            <w:tcW w:w="2392" w:type="dxa"/>
          </w:tcPr>
          <w:p w14:paraId="59B27E63" w14:textId="234F7323" w:rsidR="00427A1D" w:rsidRPr="002D7250" w:rsidRDefault="00BA1428" w:rsidP="00140B7A">
            <w:r>
              <w:t>41.7x</w:t>
            </w:r>
          </w:p>
        </w:tc>
      </w:tr>
      <w:tr w:rsidR="00427A1D" w14:paraId="69A8BDB1" w14:textId="77777777" w:rsidTr="00140B7A">
        <w:trPr>
          <w:trHeight w:val="770"/>
        </w:trPr>
        <w:tc>
          <w:tcPr>
            <w:tcW w:w="2392" w:type="dxa"/>
          </w:tcPr>
          <w:p w14:paraId="48E3148A" w14:textId="30DC35D0" w:rsidR="00427A1D" w:rsidRDefault="00427A1D" w:rsidP="00140B7A">
            <w:r w:rsidRPr="00427A1D">
              <w:t>QUALCOMM Incorporated</w:t>
            </w:r>
          </w:p>
        </w:tc>
        <w:tc>
          <w:tcPr>
            <w:tcW w:w="2392" w:type="dxa"/>
          </w:tcPr>
          <w:p w14:paraId="4A97C920" w14:textId="1DCA7CD8" w:rsidR="00427A1D" w:rsidRPr="008B5B3E" w:rsidRDefault="00427A1D" w:rsidP="00140B7A">
            <w:r>
              <w:t>$</w:t>
            </w:r>
            <w:r w:rsidRPr="00427A1D">
              <w:t>35.82B</w:t>
            </w:r>
          </w:p>
          <w:p w14:paraId="3C0BA60B" w14:textId="714C69C0" w:rsidR="00427A1D" w:rsidRDefault="00427A1D" w:rsidP="00140B7A"/>
        </w:tc>
        <w:tc>
          <w:tcPr>
            <w:tcW w:w="2392" w:type="dxa"/>
          </w:tcPr>
          <w:p w14:paraId="2F65D7C2" w14:textId="2BDD73ED" w:rsidR="00427A1D" w:rsidRDefault="00427A1D" w:rsidP="00140B7A">
            <w:r>
              <w:t>$</w:t>
            </w:r>
            <w:r w:rsidRPr="00427A1D">
              <w:t>172.41B</w:t>
            </w:r>
          </w:p>
        </w:tc>
        <w:tc>
          <w:tcPr>
            <w:tcW w:w="2392" w:type="dxa"/>
          </w:tcPr>
          <w:p w14:paraId="71130BF5" w14:textId="77777777" w:rsidR="00427A1D" w:rsidRPr="008B5B3E" w:rsidRDefault="00427A1D" w:rsidP="00140B7A"/>
          <w:p w14:paraId="02BEB815" w14:textId="6150B6A9" w:rsidR="00427A1D" w:rsidRDefault="00BA1428" w:rsidP="00140B7A">
            <w:r>
              <w:t>23.5x</w:t>
            </w:r>
          </w:p>
        </w:tc>
      </w:tr>
      <w:tr w:rsidR="00427A1D" w14:paraId="4CB9A41D" w14:textId="77777777" w:rsidTr="00140B7A">
        <w:trPr>
          <w:trHeight w:val="507"/>
        </w:trPr>
        <w:tc>
          <w:tcPr>
            <w:tcW w:w="2392" w:type="dxa"/>
          </w:tcPr>
          <w:p w14:paraId="098214C2" w14:textId="2AD458CB" w:rsidR="00427A1D" w:rsidRPr="008B5B3E" w:rsidRDefault="00BA1428" w:rsidP="00140B7A">
            <w:r w:rsidRPr="00BA1428">
              <w:t>Taiwan Semiconductor Manufacturing</w:t>
            </w:r>
          </w:p>
          <w:p w14:paraId="5E631EB5" w14:textId="77777777" w:rsidR="00427A1D" w:rsidRDefault="00427A1D" w:rsidP="00140B7A"/>
        </w:tc>
        <w:tc>
          <w:tcPr>
            <w:tcW w:w="2392" w:type="dxa"/>
          </w:tcPr>
          <w:p w14:paraId="1B9DE37E" w14:textId="7C24340C" w:rsidR="00427A1D" w:rsidRDefault="00427A1D" w:rsidP="00140B7A">
            <w:r>
              <w:t>$</w:t>
            </w:r>
            <w:r w:rsidRPr="00427A1D">
              <w:t>70.42B</w:t>
            </w:r>
          </w:p>
        </w:tc>
        <w:tc>
          <w:tcPr>
            <w:tcW w:w="2392" w:type="dxa"/>
          </w:tcPr>
          <w:p w14:paraId="132D152B" w14:textId="6A31C68D" w:rsidR="00427A1D" w:rsidRDefault="00BA1428" w:rsidP="00140B7A">
            <w:r>
              <w:t>$</w:t>
            </w:r>
            <w:r w:rsidRPr="00BA1428">
              <w:t>518.82B</w:t>
            </w:r>
          </w:p>
        </w:tc>
        <w:tc>
          <w:tcPr>
            <w:tcW w:w="2392" w:type="dxa"/>
          </w:tcPr>
          <w:p w14:paraId="4391D588" w14:textId="76EF2A2B" w:rsidR="00427A1D" w:rsidRDefault="00BA1428" w:rsidP="00140B7A">
            <w:r>
              <w:t>19.4x</w:t>
            </w:r>
          </w:p>
        </w:tc>
      </w:tr>
    </w:tbl>
    <w:p w14:paraId="773C02C1" w14:textId="77777777" w:rsidR="00C229DA" w:rsidRPr="00BA1428" w:rsidRDefault="00C229DA" w:rsidP="00C229DA"/>
    <w:p w14:paraId="567C8726" w14:textId="3AF5DC1B" w:rsidR="00BA1428" w:rsidRPr="006F3035" w:rsidRDefault="00BA1428" w:rsidP="00BA1428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6F3035">
        <w:rPr>
          <w:sz w:val="22"/>
          <w:szCs w:val="22"/>
        </w:rPr>
        <w:t xml:space="preserve">AVGO experienced a 12% year-over-year increase in revenue, reaching $6.47 billion in the fourth quarter ending November 1, 2020. This growth was primarily </w:t>
      </w:r>
      <w:r w:rsidRPr="006F3035">
        <w:rPr>
          <w:sz w:val="22"/>
          <w:szCs w:val="22"/>
        </w:rPr>
        <w:t>fuelled</w:t>
      </w:r>
      <w:r w:rsidRPr="006F3035">
        <w:rPr>
          <w:sz w:val="22"/>
          <w:szCs w:val="22"/>
        </w:rPr>
        <w:t xml:space="preserve"> by a demand surge for networking in the cloud and broadband from service providers.</w:t>
      </w:r>
    </w:p>
    <w:p w14:paraId="7B68694C" w14:textId="02599D8B" w:rsidR="00BA1428" w:rsidRPr="006F3035" w:rsidRDefault="00BA1428" w:rsidP="00BA1428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6F3035">
        <w:rPr>
          <w:sz w:val="22"/>
          <w:szCs w:val="22"/>
        </w:rPr>
        <w:t>AVGO's twelve-month revenue is 1.6 times that of NVDA. Additionally, AVGO is more profitable, exhibiting a gross profit margin of 72.7%, while NVDA has a margin of 63.7%.</w:t>
      </w:r>
    </w:p>
    <w:p w14:paraId="159C04DC" w14:textId="147F0C26" w:rsidR="006F3035" w:rsidRDefault="006F3035" w:rsidP="00BA1428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6F3035">
        <w:rPr>
          <w:sz w:val="22"/>
          <w:szCs w:val="22"/>
        </w:rPr>
        <w:t>AVGO is much more affordable compared to NVDA.</w:t>
      </w:r>
    </w:p>
    <w:p w14:paraId="667BC09C" w14:textId="5DE08FF1" w:rsidR="006F3035" w:rsidRDefault="006F3035" w:rsidP="006F3035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6F3035">
        <w:rPr>
          <w:sz w:val="22"/>
          <w:szCs w:val="22"/>
        </w:rPr>
        <w:t>Taiwan Semiconductor Manufacturing</w:t>
      </w:r>
      <w:r>
        <w:rPr>
          <w:sz w:val="22"/>
          <w:szCs w:val="22"/>
        </w:rPr>
        <w:t xml:space="preserve"> is much affordable to investors compared to Nvidia Inc (19.4x PE ratio compared to 80.2x)</w:t>
      </w:r>
    </w:p>
    <w:p w14:paraId="761B9626" w14:textId="7B4DD687" w:rsidR="00A45C76" w:rsidRPr="00A45C76" w:rsidRDefault="00A45C76" w:rsidP="00A45C76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A45C76">
        <w:rPr>
          <w:sz w:val="22"/>
          <w:szCs w:val="22"/>
        </w:rPr>
        <w:t xml:space="preserve">Nvidia, a strong growth stock, is 18% overvalued and highly volatile. Qualcomm, with a lower P/E of </w:t>
      </w:r>
      <w:r>
        <w:rPr>
          <w:sz w:val="22"/>
          <w:szCs w:val="22"/>
        </w:rPr>
        <w:t>23.5</w:t>
      </w:r>
      <w:r w:rsidRPr="00A45C76">
        <w:rPr>
          <w:sz w:val="22"/>
          <w:szCs w:val="22"/>
        </w:rPr>
        <w:t>X, offers a safer investment choice.</w:t>
      </w:r>
    </w:p>
    <w:p w14:paraId="284EF637" w14:textId="1B5C1662" w:rsidR="00A45C76" w:rsidRPr="00A45C76" w:rsidRDefault="00A45C76" w:rsidP="00A45C76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A45C76">
        <w:rPr>
          <w:sz w:val="22"/>
          <w:szCs w:val="22"/>
        </w:rPr>
        <w:t xml:space="preserve">Qualcomm provides a </w:t>
      </w:r>
      <w:proofErr w:type="spellStart"/>
      <w:r w:rsidRPr="00A45C76">
        <w:rPr>
          <w:sz w:val="22"/>
          <w:szCs w:val="22"/>
        </w:rPr>
        <w:t>favorable</w:t>
      </w:r>
      <w:proofErr w:type="spellEnd"/>
      <w:r w:rsidRPr="00A45C76">
        <w:rPr>
          <w:sz w:val="22"/>
          <w:szCs w:val="22"/>
        </w:rPr>
        <w:t xml:space="preserve"> forward annual dividend yield of 2.58%, notably higher than the tech sector's average of 1.025%</w:t>
      </w:r>
    </w:p>
    <w:p w14:paraId="0546AE58" w14:textId="77777777" w:rsidR="00BA1428" w:rsidRPr="00A45C76" w:rsidRDefault="00BA1428" w:rsidP="00A45C76">
      <w:pPr>
        <w:ind w:left="360"/>
        <w:rPr>
          <w:sz w:val="22"/>
          <w:szCs w:val="22"/>
        </w:rPr>
      </w:pPr>
    </w:p>
    <w:p w14:paraId="039B20CB" w14:textId="77777777" w:rsidR="00BA1428" w:rsidRPr="00BA1428" w:rsidRDefault="00BA1428" w:rsidP="00BA1428">
      <w:pPr>
        <w:rPr>
          <w:b/>
          <w:bCs/>
        </w:rPr>
      </w:pPr>
    </w:p>
    <w:p w14:paraId="7145AF69" w14:textId="77777777" w:rsidR="00BA1428" w:rsidRPr="00BA1428" w:rsidRDefault="00BA1428" w:rsidP="00BA1428">
      <w:pPr>
        <w:rPr>
          <w:b/>
          <w:bCs/>
        </w:rPr>
      </w:pPr>
    </w:p>
    <w:p w14:paraId="19673AAB" w14:textId="77777777" w:rsidR="00BA1428" w:rsidRPr="00BA1428" w:rsidRDefault="00BA1428" w:rsidP="00BA1428">
      <w:pPr>
        <w:rPr>
          <w:b/>
          <w:bCs/>
        </w:rPr>
      </w:pPr>
    </w:p>
    <w:p w14:paraId="02E1DC65" w14:textId="77777777" w:rsidR="00BA1428" w:rsidRDefault="00BA1428" w:rsidP="00C229DA">
      <w:pPr>
        <w:rPr>
          <w:b/>
          <w:bCs/>
        </w:rPr>
      </w:pPr>
    </w:p>
    <w:p w14:paraId="1D63329F" w14:textId="77777777" w:rsidR="00C229DA" w:rsidRDefault="00C229DA" w:rsidP="00C229DA">
      <w:pPr>
        <w:rPr>
          <w:b/>
          <w:bCs/>
        </w:rPr>
      </w:pPr>
    </w:p>
    <w:p w14:paraId="029B4708" w14:textId="77777777" w:rsidR="00C229DA" w:rsidRDefault="00C229DA" w:rsidP="00C229DA">
      <w:pPr>
        <w:rPr>
          <w:b/>
          <w:bCs/>
        </w:rPr>
      </w:pPr>
    </w:p>
    <w:p w14:paraId="2703C0E3" w14:textId="77777777" w:rsidR="00C229DA" w:rsidRDefault="00C229DA" w:rsidP="00C229DA">
      <w:pPr>
        <w:rPr>
          <w:b/>
          <w:bCs/>
        </w:rPr>
      </w:pPr>
    </w:p>
    <w:p w14:paraId="14EC0D49" w14:textId="77777777" w:rsidR="00C229DA" w:rsidRDefault="00C229DA" w:rsidP="00C229DA">
      <w:pPr>
        <w:rPr>
          <w:b/>
          <w:bCs/>
        </w:rPr>
      </w:pPr>
    </w:p>
    <w:p w14:paraId="5BD629B4" w14:textId="77777777" w:rsidR="00C229DA" w:rsidRPr="00C229DA" w:rsidRDefault="00C229DA" w:rsidP="00C229DA">
      <w:pPr>
        <w:rPr>
          <w:b/>
          <w:bCs/>
        </w:rPr>
      </w:pPr>
    </w:p>
    <w:p w14:paraId="08B97715" w14:textId="77777777" w:rsidR="008B5B3E" w:rsidRDefault="008B5B3E" w:rsidP="00C229DA">
      <w:pPr>
        <w:rPr>
          <w:b/>
          <w:bCs/>
        </w:rPr>
      </w:pPr>
    </w:p>
    <w:p w14:paraId="5B22EEBA" w14:textId="77777777" w:rsidR="008B5B3E" w:rsidRDefault="008B5B3E" w:rsidP="00C229DA">
      <w:pPr>
        <w:rPr>
          <w:b/>
          <w:bCs/>
        </w:rPr>
      </w:pPr>
    </w:p>
    <w:p w14:paraId="70DF2587" w14:textId="77777777" w:rsidR="008B5B3E" w:rsidRDefault="008B5B3E" w:rsidP="00C229DA">
      <w:pPr>
        <w:rPr>
          <w:b/>
          <w:bCs/>
        </w:rPr>
      </w:pPr>
    </w:p>
    <w:p w14:paraId="598A4B6F" w14:textId="77777777" w:rsidR="008B5B3E" w:rsidRDefault="008B5B3E" w:rsidP="00C229DA">
      <w:pPr>
        <w:rPr>
          <w:b/>
          <w:bCs/>
        </w:rPr>
      </w:pPr>
    </w:p>
    <w:p w14:paraId="66E3E96F" w14:textId="2715D699" w:rsidR="008B5B3E" w:rsidRPr="008B5B3E" w:rsidRDefault="008B5B3E" w:rsidP="008B5B3E"/>
    <w:sectPr w:rsidR="008B5B3E" w:rsidRPr="008B5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F16E1"/>
    <w:multiLevelType w:val="hybridMultilevel"/>
    <w:tmpl w:val="BFB04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3291"/>
    <w:multiLevelType w:val="hybridMultilevel"/>
    <w:tmpl w:val="2FF40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91683"/>
    <w:multiLevelType w:val="hybridMultilevel"/>
    <w:tmpl w:val="93D60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753EB"/>
    <w:multiLevelType w:val="hybridMultilevel"/>
    <w:tmpl w:val="29DC6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A1AA5"/>
    <w:multiLevelType w:val="hybridMultilevel"/>
    <w:tmpl w:val="CE6A3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3125A"/>
    <w:multiLevelType w:val="hybridMultilevel"/>
    <w:tmpl w:val="407C2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53B10"/>
    <w:multiLevelType w:val="multilevel"/>
    <w:tmpl w:val="342E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5161DD"/>
    <w:multiLevelType w:val="hybridMultilevel"/>
    <w:tmpl w:val="1D92D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84893"/>
    <w:multiLevelType w:val="hybridMultilevel"/>
    <w:tmpl w:val="C3289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92D70"/>
    <w:multiLevelType w:val="hybridMultilevel"/>
    <w:tmpl w:val="BBB49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360157">
    <w:abstractNumId w:val="5"/>
  </w:num>
  <w:num w:numId="2" w16cid:durableId="620233197">
    <w:abstractNumId w:val="7"/>
  </w:num>
  <w:num w:numId="3" w16cid:durableId="566769878">
    <w:abstractNumId w:val="4"/>
  </w:num>
  <w:num w:numId="4" w16cid:durableId="2142842330">
    <w:abstractNumId w:val="3"/>
  </w:num>
  <w:num w:numId="5" w16cid:durableId="50276660">
    <w:abstractNumId w:val="6"/>
  </w:num>
  <w:num w:numId="6" w16cid:durableId="1057507703">
    <w:abstractNumId w:val="2"/>
  </w:num>
  <w:num w:numId="7" w16cid:durableId="1487746854">
    <w:abstractNumId w:val="8"/>
  </w:num>
  <w:num w:numId="8" w16cid:durableId="1444420636">
    <w:abstractNumId w:val="0"/>
  </w:num>
  <w:num w:numId="9" w16cid:durableId="738678072">
    <w:abstractNumId w:val="1"/>
  </w:num>
  <w:num w:numId="10" w16cid:durableId="2646522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DA"/>
    <w:rsid w:val="00092CF2"/>
    <w:rsid w:val="000C2CB6"/>
    <w:rsid w:val="001F14DD"/>
    <w:rsid w:val="002D7250"/>
    <w:rsid w:val="003921E0"/>
    <w:rsid w:val="003C4AA2"/>
    <w:rsid w:val="00427A1D"/>
    <w:rsid w:val="00464544"/>
    <w:rsid w:val="00500500"/>
    <w:rsid w:val="00561844"/>
    <w:rsid w:val="00584A92"/>
    <w:rsid w:val="005D68BE"/>
    <w:rsid w:val="006A4D76"/>
    <w:rsid w:val="006F3035"/>
    <w:rsid w:val="008B5B3E"/>
    <w:rsid w:val="008C4898"/>
    <w:rsid w:val="00994D03"/>
    <w:rsid w:val="009F407B"/>
    <w:rsid w:val="00A45C76"/>
    <w:rsid w:val="00A559AC"/>
    <w:rsid w:val="00AA7A21"/>
    <w:rsid w:val="00AC26FF"/>
    <w:rsid w:val="00B27210"/>
    <w:rsid w:val="00BA1428"/>
    <w:rsid w:val="00BD004C"/>
    <w:rsid w:val="00C229DA"/>
    <w:rsid w:val="00CB689C"/>
    <w:rsid w:val="00CB7055"/>
    <w:rsid w:val="00D06429"/>
    <w:rsid w:val="00D12EFA"/>
    <w:rsid w:val="00D16EB2"/>
    <w:rsid w:val="00D34637"/>
    <w:rsid w:val="00DF1230"/>
    <w:rsid w:val="00E07CB7"/>
    <w:rsid w:val="00E5353B"/>
    <w:rsid w:val="00F02542"/>
    <w:rsid w:val="00F155A3"/>
    <w:rsid w:val="00F5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CE301"/>
  <w15:chartTrackingRefBased/>
  <w15:docId w15:val="{7E8FDA2D-3DA6-D342-90B5-D08408B5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9DA"/>
    <w:pPr>
      <w:ind w:left="720"/>
      <w:contextualSpacing/>
    </w:pPr>
  </w:style>
  <w:style w:type="table" w:styleId="TableGrid">
    <w:name w:val="Table Grid"/>
    <w:basedOn w:val="TableNormal"/>
    <w:uiPriority w:val="39"/>
    <w:rsid w:val="00584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05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7314666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45743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03275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707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042837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836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876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1988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9876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4944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706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0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5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693868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217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4590">
              <w:marLeft w:val="0"/>
              <w:marRight w:val="0"/>
              <w:marTop w:val="0"/>
              <w:marBottom w:val="0"/>
              <w:divBdr>
                <w:top w:val="single" w:sz="6" w:space="0" w:color="F3F5F6"/>
                <w:left w:val="single" w:sz="6" w:space="0" w:color="F3F5F6"/>
                <w:bottom w:val="single" w:sz="6" w:space="0" w:color="F3F5F6"/>
                <w:right w:val="single" w:sz="6" w:space="0" w:color="F3F5F6"/>
              </w:divBdr>
            </w:div>
          </w:divsChild>
        </w:div>
        <w:div w:id="12478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0982">
              <w:marLeft w:val="0"/>
              <w:marRight w:val="0"/>
              <w:marTop w:val="0"/>
              <w:marBottom w:val="0"/>
              <w:divBdr>
                <w:top w:val="single" w:sz="6" w:space="0" w:color="F3F5F6"/>
                <w:left w:val="single" w:sz="6" w:space="0" w:color="F3F5F6"/>
                <w:bottom w:val="single" w:sz="6" w:space="0" w:color="F3F5F6"/>
                <w:right w:val="single" w:sz="6" w:space="0" w:color="F3F5F6"/>
              </w:divBdr>
            </w:div>
          </w:divsChild>
        </w:div>
        <w:div w:id="862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4370">
              <w:marLeft w:val="0"/>
              <w:marRight w:val="0"/>
              <w:marTop w:val="0"/>
              <w:marBottom w:val="0"/>
              <w:divBdr>
                <w:top w:val="single" w:sz="6" w:space="0" w:color="F3F5F6"/>
                <w:left w:val="single" w:sz="6" w:space="0" w:color="F3F5F6"/>
                <w:bottom w:val="single" w:sz="6" w:space="0" w:color="F3F5F6"/>
                <w:right w:val="single" w:sz="6" w:space="0" w:color="F3F5F6"/>
              </w:divBdr>
            </w:div>
          </w:divsChild>
        </w:div>
        <w:div w:id="13699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0427">
              <w:marLeft w:val="0"/>
              <w:marRight w:val="0"/>
              <w:marTop w:val="0"/>
              <w:marBottom w:val="0"/>
              <w:divBdr>
                <w:top w:val="single" w:sz="6" w:space="0" w:color="F3F5F6"/>
                <w:left w:val="single" w:sz="6" w:space="0" w:color="F3F5F6"/>
                <w:bottom w:val="single" w:sz="6" w:space="0" w:color="F3F5F6"/>
                <w:right w:val="single" w:sz="6" w:space="0" w:color="F3F5F6"/>
              </w:divBdr>
            </w:div>
          </w:divsChild>
        </w:div>
      </w:divsChild>
    </w:div>
    <w:div w:id="304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229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1105372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91243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3916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632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880191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8321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658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7142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1307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2443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3539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2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92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66395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345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431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259867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23973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8136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75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311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728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356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0034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496753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2585628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3733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4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40481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824647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73029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234590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4109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37103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31936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474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678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2244666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1414447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7576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368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4633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5534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142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0405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5055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9918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7965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576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79843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46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100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7543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228202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62933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166371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12004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72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73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672563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48010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418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911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419803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0457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2880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9461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5190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5581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0130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7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6691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794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8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73050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961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78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77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954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12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803023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22835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6440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0653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235625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379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5016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6564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2242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5098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5756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9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226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599028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451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7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85609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24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6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9708143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969414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01375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02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772020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278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8783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6283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1410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4185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7515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2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9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81046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5815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2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750302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47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9257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9553918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96100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5416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30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882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280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3924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5410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444974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1369414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  <w:div w:id="1650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702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828771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23149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24881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69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011290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696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5218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4272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174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1585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5023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3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61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223514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75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1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69995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940332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6308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047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153177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810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5936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7864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2939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1127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1634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2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44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35180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857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43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95509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111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htt</b:Tag>
    <b:SourceType>InternetSite</b:SourceType>
    <b:Guid>{80595EF9-7D06-FA4E-8326-C26302CFE943}</b:Guid>
    <b:InternetSiteTitle>https://finance.yahoo.com/news/why-hilton-worldwide-holdings-inc-173447923.html?guccounter=1&amp;guce_referrer=aHR0cHM6Ly93d3cuZ29vZ2xlLmNvbS8&amp;guce_referrer_sig=AQAAANjjv3WQgdJi06qbJA9fHOauRn39EQeIetXjacdgLGWIcCo0O8OhJF5pkyLNjRb1_KfxIYcRxLdqR3C4F9Nvw2bxtLtx4T</b:InternetSiteTitle>
    <b:RefOrder>1</b:RefOrder>
  </b:Source>
</b:Sources>
</file>

<file path=customXml/itemProps1.xml><?xml version="1.0" encoding="utf-8"?>
<ds:datastoreItem xmlns:ds="http://schemas.openxmlformats.org/officeDocument/2006/customXml" ds:itemID="{8F2089E6-A316-704C-9A49-B369FA67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Seewoodhary, Jay</dc:creator>
  <cp:keywords/>
  <dc:description/>
  <cp:lastModifiedBy>Seewoodhary, Jay</cp:lastModifiedBy>
  <cp:revision>14</cp:revision>
  <dcterms:created xsi:type="dcterms:W3CDTF">2024-01-10T20:32:00Z</dcterms:created>
  <dcterms:modified xsi:type="dcterms:W3CDTF">2024-01-25T21:43:00Z</dcterms:modified>
</cp:coreProperties>
</file>