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1E16A15B" w:rsidR="00A6150D" w:rsidRDefault="00A6150D" w:rsidP="00A6150D">
      <w:pPr>
        <w:pStyle w:val="ListParagraph"/>
        <w:numPr>
          <w:ilvl w:val="1"/>
          <w:numId w:val="1"/>
        </w:numPr>
      </w:pPr>
      <w:r>
        <w:t xml:space="preserve">Identify two to three key products that are vital for the company’s </w:t>
      </w:r>
      <w:proofErr w:type="gramStart"/>
      <w:r>
        <w:t>growth</w:t>
      </w:r>
      <w:proofErr w:type="gramEnd"/>
      <w:r>
        <w:t xml:space="preserve"> and you can discuss about the trends and expectations. But remember to keep them all short cause and effect sentences.</w:t>
      </w:r>
    </w:p>
    <w:p w14:paraId="2955EB5F" w14:textId="115ECE7D" w:rsidR="00A6150D" w:rsidRDefault="00A6150D" w:rsidP="00A6150D">
      <w:pPr>
        <w:pStyle w:val="ListParagraph"/>
        <w:numPr>
          <w:ilvl w:val="0"/>
          <w:numId w:val="1"/>
        </w:numPr>
      </w:pPr>
      <w:r>
        <w:t>You can take up to two days for this task and feel free to reach out to me if you have any questions.</w:t>
      </w:r>
    </w:p>
    <w:p w14:paraId="7D65419F" w14:textId="77777777" w:rsidR="00C5315D" w:rsidRDefault="00C5315D" w:rsidP="00C5315D"/>
    <w:p w14:paraId="5C6F265C" w14:textId="77777777" w:rsidR="00C5315D" w:rsidRDefault="00C5315D" w:rsidP="00C5315D"/>
    <w:p w14:paraId="65A4B95C" w14:textId="77777777" w:rsidR="00C5315D" w:rsidRDefault="00C5315D" w:rsidP="00C5315D"/>
    <w:p w14:paraId="5F91B271" w14:textId="77777777" w:rsidR="00C5315D" w:rsidRDefault="00C5315D" w:rsidP="00C5315D"/>
    <w:p w14:paraId="4B878395" w14:textId="77777777" w:rsidR="00C5315D" w:rsidRDefault="00C5315D" w:rsidP="00C5315D"/>
    <w:p w14:paraId="45AD30CD" w14:textId="77777777" w:rsidR="00C5315D" w:rsidRDefault="00C5315D" w:rsidP="00C5315D"/>
    <w:p w14:paraId="522352D2" w14:textId="77777777" w:rsidR="00C5315D" w:rsidRDefault="00C5315D" w:rsidP="00C5315D"/>
    <w:p w14:paraId="4FB95759" w14:textId="77777777" w:rsidR="00C5315D" w:rsidRDefault="00C5315D" w:rsidP="00C5315D"/>
    <w:p w14:paraId="2C46765E" w14:textId="77777777" w:rsidR="00C5315D" w:rsidRDefault="00C5315D" w:rsidP="00C5315D"/>
    <w:p w14:paraId="424E5DF7" w14:textId="77777777" w:rsidR="00C5315D" w:rsidRDefault="00C5315D" w:rsidP="00C5315D"/>
    <w:p w14:paraId="240F7745" w14:textId="22BDD19C" w:rsidR="00B2118C" w:rsidRDefault="00BA68C1">
      <w:r>
        <w:rPr>
          <w:noProof/>
        </w:rPr>
        <w:lastRenderedPageBreak/>
        <mc:AlternateContent>
          <mc:Choice Requires="wps">
            <w:drawing>
              <wp:anchor distT="45720" distB="45720" distL="114300" distR="114300" simplePos="0" relativeHeight="251664384" behindDoc="0" locked="0" layoutInCell="1" allowOverlap="1" wp14:anchorId="026D2719" wp14:editId="1CFFF413">
                <wp:simplePos x="0" y="0"/>
                <wp:positionH relativeFrom="margin">
                  <wp:posOffset>2932968</wp:posOffset>
                </wp:positionH>
                <wp:positionV relativeFrom="paragraph">
                  <wp:posOffset>5169828</wp:posOffset>
                </wp:positionV>
                <wp:extent cx="3939540" cy="1884680"/>
                <wp:effectExtent l="0" t="0" r="1016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884680"/>
                        </a:xfrm>
                        <a:prstGeom prst="rect">
                          <a:avLst/>
                        </a:prstGeom>
                        <a:solidFill>
                          <a:srgbClr val="FFFFFF"/>
                        </a:solidFill>
                        <a:ln w="9525">
                          <a:solidFill>
                            <a:srgbClr val="000000"/>
                          </a:solidFill>
                          <a:miter lim="800000"/>
                          <a:headEnd/>
                          <a:tailEnd/>
                        </a:ln>
                      </wps:spPr>
                      <wps:txbx>
                        <w:txbxContent>
                          <w:p w14:paraId="182755EA" w14:textId="7038D19C" w:rsidR="00017B2B" w:rsidRDefault="00017B2B" w:rsidP="00017B2B">
                            <w:r w:rsidRPr="00017B2B">
                              <w:rPr>
                                <w:b/>
                                <w:bCs/>
                              </w:rPr>
                              <w:t>Point 2:</w:t>
                            </w:r>
                            <w:r w:rsidR="00B61D01">
                              <w:rPr>
                                <w:b/>
                                <w:bCs/>
                              </w:rPr>
                              <w:t xml:space="preserve"> </w:t>
                            </w:r>
                          </w:p>
                          <w:p w14:paraId="599FF25D" w14:textId="2D88DB22" w:rsidR="00B61D01" w:rsidRDefault="00DF3D6F" w:rsidP="00017B2B">
                            <w:r>
                              <w:t>The Margin of the group EBITDA is between 10% and 15% since 2015. By 2027 it is expected to be 12.0%. North America’s contribution to earnings is the most</w:t>
                            </w:r>
                            <w:r w:rsidR="00B61D01">
                              <w:t>, whereas Global Brand Divisions is the least at -4.042 billion USD in 2022. Margin growth of EBITDA is expected to reduce by 3.3% from 2023 to 2027.</w:t>
                            </w:r>
                          </w:p>
                          <w:p w14:paraId="465AEC7F" w14:textId="599CC770" w:rsidR="00B61D01" w:rsidRPr="00B92FD6" w:rsidRDefault="00B61D01" w:rsidP="00017B2B">
                            <w:r>
                              <w:t xml:space="preserve">Key cost trends </w:t>
                            </w:r>
                            <w:r w:rsidR="001277AC">
                              <w:t>include</w:t>
                            </w:r>
                            <w:r>
                              <w:t xml:space="preserve"> long term debt which almost tripled from 2019 to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D2719" id="_x0000_t202" coordsize="21600,21600" o:spt="202" path="m,l,21600r21600,l21600,xe">
                <v:stroke joinstyle="miter"/>
                <v:path gradientshapeok="t" o:connecttype="rect"/>
              </v:shapetype>
              <v:shape id="Text Box 2" o:spid="_x0000_s1026" type="#_x0000_t202" style="position:absolute;margin-left:230.95pt;margin-top:407.05pt;width:310.2pt;height:148.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">
                <v:textbox>
                  <w:txbxContent>
                    <w:p w14:paraId="182755EA" w14:textId="7038D19C" w:rsidR="00017B2B" w:rsidRDefault="00017B2B" w:rsidP="00017B2B">
                      <w:r w:rsidRPr="00017B2B">
                        <w:rPr>
                          <w:b/>
                          <w:bCs/>
                        </w:rPr>
                        <w:t>Point 2:</w:t>
                      </w:r>
                      <w:r w:rsidR="00B61D01">
                        <w:rPr>
                          <w:b/>
                          <w:bCs/>
                        </w:rPr>
                        <w:t xml:space="preserve"> </w:t>
                      </w:r>
                    </w:p>
                    <w:p w14:paraId="599FF25D" w14:textId="2D88DB22" w:rsidR="00B61D01" w:rsidRDefault="00DF3D6F" w:rsidP="00017B2B">
                      <w:r>
                        <w:t>The Margin of the group EBITDA is between 10% and 15% since 2015. By 2027 it is expected to be 12.0%. North America’s contribution to earnings is the most</w:t>
                      </w:r>
                      <w:r w:rsidR="00B61D01">
                        <w:t>, whereas Global Brand Divisions is the least at -4.042 billion USD in 2022. Margin growth of EBITDA is expected to reduce by 3.3% from 2023 to 2027.</w:t>
                      </w:r>
                    </w:p>
                    <w:p w14:paraId="465AEC7F" w14:textId="599CC770" w:rsidR="00B61D01" w:rsidRPr="00B92FD6" w:rsidRDefault="00B61D01" w:rsidP="00017B2B">
                      <w:r>
                        <w:t xml:space="preserve">Key cost trends </w:t>
                      </w:r>
                      <w:r w:rsidR="001277AC">
                        <w:t>include</w:t>
                      </w:r>
                      <w:r>
                        <w:t xml:space="preserve"> long term debt which almost tripled from 2019 to 2020.</w:t>
                      </w:r>
                    </w:p>
                  </w:txbxContent>
                </v:textbox>
                <w10:wrap type="square" anchorx="margin"/>
              </v:shape>
            </w:pict>
          </mc:Fallback>
        </mc:AlternateContent>
      </w:r>
      <w:r w:rsidR="00851AB3">
        <w:rPr>
          <w:noProof/>
        </w:rPr>
        <mc:AlternateContent>
          <mc:Choice Requires="wps">
            <w:drawing>
              <wp:anchor distT="0" distB="0" distL="114300" distR="114300" simplePos="0" relativeHeight="251660288" behindDoc="0" locked="0" layoutInCell="1" allowOverlap="1" wp14:anchorId="12B3F26B" wp14:editId="652843C2">
                <wp:simplePos x="0" y="0"/>
                <wp:positionH relativeFrom="margin">
                  <wp:posOffset>6985</wp:posOffset>
                </wp:positionH>
                <wp:positionV relativeFrom="paragraph">
                  <wp:posOffset>1582420</wp:posOffset>
                </wp:positionV>
                <wp:extent cx="2771140" cy="7536180"/>
                <wp:effectExtent l="0" t="0" r="10160" b="7620"/>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140" cy="75361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627CA585" w:rsidR="00017B2B" w:rsidRDefault="00851AB3">
                            <w:pPr>
                              <w:spacing w:before="880" w:after="240" w:line="240" w:lineRule="auto"/>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w:drawing>
                                <wp:inline distT="0" distB="0" distL="0" distR="0" wp14:anchorId="62E6DB2C" wp14:editId="43CD60C7">
                                  <wp:extent cx="2395220" cy="805180"/>
                                  <wp:effectExtent l="0" t="0" r="5080" b="0"/>
                                  <wp:docPr id="1375018216" name="Picture 7" descr="A green line graph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78305" name="Picture 7" descr="A green line graph with a whit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95220" cy="805180"/>
                                          </a:xfrm>
                                          <a:prstGeom prst="rect">
                                            <a:avLst/>
                                          </a:prstGeom>
                                        </pic:spPr>
                                      </pic:pic>
                                    </a:graphicData>
                                  </a:graphic>
                                </wp:inline>
                              </w:drawing>
                            </w:r>
                          </w:p>
                          <w:p w14:paraId="493B1D0B" w14:textId="608EBC12" w:rsidR="00851AB3" w:rsidRDefault="00851AB3">
                            <w:pPr>
                              <w:spacing w:before="880" w:after="240" w:line="240" w:lineRule="auto"/>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w:drawing>
                                <wp:inline distT="0" distB="0" distL="0" distR="0" wp14:anchorId="5ED1EDE2" wp14:editId="526690ED">
                                  <wp:extent cx="2395220" cy="1271270"/>
                                  <wp:effectExtent l="0" t="0" r="5080" b="0"/>
                                  <wp:docPr id="1080596084" name="Picture 8" descr="A graph showing the growth of the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9485" name="Picture 8" descr="A graph showing the growth of the stock marke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95220" cy="1271270"/>
                                          </a:xfrm>
                                          <a:prstGeom prst="rect">
                                            <a:avLst/>
                                          </a:prstGeom>
                                        </pic:spPr>
                                      </pic:pic>
                                    </a:graphicData>
                                  </a:graphic>
                                </wp:inline>
                              </w:drawing>
                            </w:r>
                          </w:p>
                          <w:tbl>
                            <w:tblPr>
                              <w:tblW w:w="3741" w:type="dxa"/>
                              <w:tblLook w:val="04A0" w:firstRow="1" w:lastRow="0" w:firstColumn="1" w:lastColumn="0" w:noHBand="0" w:noVBand="1"/>
                            </w:tblPr>
                            <w:tblGrid>
                              <w:gridCol w:w="1121"/>
                              <w:gridCol w:w="636"/>
                              <w:gridCol w:w="649"/>
                              <w:gridCol w:w="649"/>
                              <w:gridCol w:w="698"/>
                            </w:tblGrid>
                            <w:tr w:rsidR="00BA68C1" w:rsidRPr="00BA68C1" w14:paraId="76419442" w14:textId="77777777" w:rsidTr="00BA68C1">
                              <w:trPr>
                                <w:trHeight w:val="328"/>
                              </w:trPr>
                              <w:tc>
                                <w:tcPr>
                                  <w:tcW w:w="1121" w:type="dxa"/>
                                  <w:tcBorders>
                                    <w:top w:val="single" w:sz="4" w:space="0" w:color="auto"/>
                                    <w:left w:val="single" w:sz="4" w:space="0" w:color="auto"/>
                                    <w:bottom w:val="nil"/>
                                    <w:right w:val="single" w:sz="4" w:space="0" w:color="auto"/>
                                  </w:tcBorders>
                                  <w:shd w:val="clear" w:color="000000" w:fill="002060"/>
                                  <w:noWrap/>
                                  <w:vAlign w:val="bottom"/>
                                  <w:hideMark/>
                                </w:tcPr>
                                <w:p w14:paraId="75CFBC84" w14:textId="77777777" w:rsidR="00BA68C1" w:rsidRPr="00BA68C1" w:rsidRDefault="00BA68C1" w:rsidP="00BA68C1">
                                  <w:pPr>
                                    <w:spacing w:after="0" w:line="240" w:lineRule="auto"/>
                                    <w:jc w:val="right"/>
                                    <w:rPr>
                                      <w:rFonts w:ascii="Calibri" w:eastAsia="Times New Roman" w:hAnsi="Calibri" w:cs="Calibri"/>
                                      <w:b/>
                                      <w:bCs/>
                                      <w:color w:val="FFFFFF"/>
                                      <w:sz w:val="14"/>
                                      <w:szCs w:val="14"/>
                                      <w:lang w:val="en-GB" w:eastAsia="en-GB"/>
                                    </w:rPr>
                                  </w:pPr>
                                  <w:r w:rsidRPr="00BA68C1">
                                    <w:rPr>
                                      <w:rFonts w:ascii="Calibri" w:eastAsia="Times New Roman" w:hAnsi="Calibri" w:cs="Calibri"/>
                                      <w:b/>
                                      <w:bCs/>
                                      <w:color w:val="FFFFFF"/>
                                      <w:sz w:val="14"/>
                                      <w:szCs w:val="14"/>
                                      <w:lang w:val="en-GB" w:eastAsia="en-GB"/>
                                    </w:rPr>
                                    <w:t> </w:t>
                                  </w:r>
                                </w:p>
                              </w:tc>
                              <w:tc>
                                <w:tcPr>
                                  <w:tcW w:w="624" w:type="dxa"/>
                                  <w:tcBorders>
                                    <w:top w:val="single" w:sz="4" w:space="0" w:color="auto"/>
                                    <w:left w:val="nil"/>
                                    <w:bottom w:val="nil"/>
                                    <w:right w:val="single" w:sz="4" w:space="0" w:color="auto"/>
                                  </w:tcBorders>
                                  <w:shd w:val="clear" w:color="000000" w:fill="002060"/>
                                  <w:noWrap/>
                                  <w:vAlign w:val="bottom"/>
                                  <w:hideMark/>
                                </w:tcPr>
                                <w:p w14:paraId="3D800206" w14:textId="77777777" w:rsidR="00BA68C1" w:rsidRPr="00BA68C1" w:rsidRDefault="00BA68C1" w:rsidP="00BA68C1">
                                  <w:pPr>
                                    <w:spacing w:after="0" w:line="240" w:lineRule="auto"/>
                                    <w:jc w:val="right"/>
                                    <w:rPr>
                                      <w:rFonts w:ascii="Calibri" w:eastAsia="Times New Roman" w:hAnsi="Calibri" w:cs="Calibri"/>
                                      <w:b/>
                                      <w:bCs/>
                                      <w:color w:val="FFFFFF"/>
                                      <w:sz w:val="14"/>
                                      <w:szCs w:val="14"/>
                                      <w:lang w:val="en-GB" w:eastAsia="en-GB"/>
                                    </w:rPr>
                                  </w:pPr>
                                  <w:r w:rsidRPr="00BA68C1">
                                    <w:rPr>
                                      <w:rFonts w:ascii="Calibri" w:eastAsia="Times New Roman" w:hAnsi="Calibri" w:cs="Calibri"/>
                                      <w:b/>
                                      <w:bCs/>
                                      <w:color w:val="FFFFFF"/>
                                      <w:sz w:val="14"/>
                                      <w:szCs w:val="14"/>
                                      <w:lang w:val="en-GB" w:eastAsia="en-GB"/>
                                    </w:rPr>
                                    <w:t>2022</w:t>
                                  </w:r>
                                </w:p>
                              </w:tc>
                              <w:tc>
                                <w:tcPr>
                                  <w:tcW w:w="649" w:type="dxa"/>
                                  <w:tcBorders>
                                    <w:top w:val="single" w:sz="4" w:space="0" w:color="auto"/>
                                    <w:left w:val="nil"/>
                                    <w:bottom w:val="nil"/>
                                    <w:right w:val="single" w:sz="4" w:space="0" w:color="auto"/>
                                  </w:tcBorders>
                                  <w:shd w:val="clear" w:color="000000" w:fill="002060"/>
                                  <w:noWrap/>
                                  <w:vAlign w:val="bottom"/>
                                  <w:hideMark/>
                                </w:tcPr>
                                <w:p w14:paraId="72DA7392" w14:textId="77777777" w:rsidR="00BA68C1" w:rsidRPr="00BA68C1" w:rsidRDefault="00BA68C1" w:rsidP="00BA68C1">
                                  <w:pPr>
                                    <w:spacing w:after="0" w:line="240" w:lineRule="auto"/>
                                    <w:jc w:val="right"/>
                                    <w:rPr>
                                      <w:rFonts w:ascii="Calibri" w:eastAsia="Times New Roman" w:hAnsi="Calibri" w:cs="Calibri"/>
                                      <w:b/>
                                      <w:bCs/>
                                      <w:color w:val="FFFFFF"/>
                                      <w:sz w:val="14"/>
                                      <w:szCs w:val="14"/>
                                      <w:lang w:val="en-GB" w:eastAsia="en-GB"/>
                                    </w:rPr>
                                  </w:pPr>
                                  <w:r w:rsidRPr="00BA68C1">
                                    <w:rPr>
                                      <w:rFonts w:ascii="Calibri" w:eastAsia="Times New Roman" w:hAnsi="Calibri" w:cs="Calibri"/>
                                      <w:b/>
                                      <w:bCs/>
                                      <w:color w:val="FFFFFF"/>
                                      <w:sz w:val="14"/>
                                      <w:szCs w:val="14"/>
                                      <w:lang w:val="en-GB" w:eastAsia="en-GB"/>
                                    </w:rPr>
                                    <w:t>2023E</w:t>
                                  </w:r>
                                </w:p>
                              </w:tc>
                              <w:tc>
                                <w:tcPr>
                                  <w:tcW w:w="649" w:type="dxa"/>
                                  <w:tcBorders>
                                    <w:top w:val="single" w:sz="4" w:space="0" w:color="auto"/>
                                    <w:left w:val="nil"/>
                                    <w:bottom w:val="nil"/>
                                    <w:right w:val="single" w:sz="4" w:space="0" w:color="auto"/>
                                  </w:tcBorders>
                                  <w:shd w:val="clear" w:color="000000" w:fill="002060"/>
                                  <w:noWrap/>
                                  <w:vAlign w:val="bottom"/>
                                  <w:hideMark/>
                                </w:tcPr>
                                <w:p w14:paraId="4190AE9C" w14:textId="77777777" w:rsidR="00BA68C1" w:rsidRPr="00BA68C1" w:rsidRDefault="00BA68C1" w:rsidP="00BA68C1">
                                  <w:pPr>
                                    <w:spacing w:after="0" w:line="240" w:lineRule="auto"/>
                                    <w:jc w:val="right"/>
                                    <w:rPr>
                                      <w:rFonts w:ascii="Calibri" w:eastAsia="Times New Roman" w:hAnsi="Calibri" w:cs="Calibri"/>
                                      <w:b/>
                                      <w:bCs/>
                                      <w:color w:val="FFFFFF"/>
                                      <w:sz w:val="14"/>
                                      <w:szCs w:val="14"/>
                                      <w:lang w:val="en-GB" w:eastAsia="en-GB"/>
                                    </w:rPr>
                                  </w:pPr>
                                  <w:r w:rsidRPr="00BA68C1">
                                    <w:rPr>
                                      <w:rFonts w:ascii="Calibri" w:eastAsia="Times New Roman" w:hAnsi="Calibri" w:cs="Calibri"/>
                                      <w:b/>
                                      <w:bCs/>
                                      <w:color w:val="FFFFFF"/>
                                      <w:sz w:val="14"/>
                                      <w:szCs w:val="14"/>
                                      <w:lang w:val="en-GB" w:eastAsia="en-GB"/>
                                    </w:rPr>
                                    <w:t>2024E</w:t>
                                  </w:r>
                                </w:p>
                              </w:tc>
                              <w:tc>
                                <w:tcPr>
                                  <w:tcW w:w="698" w:type="dxa"/>
                                  <w:tcBorders>
                                    <w:top w:val="single" w:sz="4" w:space="0" w:color="auto"/>
                                    <w:left w:val="nil"/>
                                    <w:bottom w:val="nil"/>
                                    <w:right w:val="single" w:sz="4" w:space="0" w:color="auto"/>
                                  </w:tcBorders>
                                  <w:shd w:val="clear" w:color="000000" w:fill="002060"/>
                                  <w:noWrap/>
                                  <w:vAlign w:val="bottom"/>
                                  <w:hideMark/>
                                </w:tcPr>
                                <w:p w14:paraId="66877933" w14:textId="77777777" w:rsidR="00BA68C1" w:rsidRPr="00BA68C1" w:rsidRDefault="00BA68C1" w:rsidP="00BA68C1">
                                  <w:pPr>
                                    <w:spacing w:after="0" w:line="240" w:lineRule="auto"/>
                                    <w:jc w:val="right"/>
                                    <w:rPr>
                                      <w:rFonts w:ascii="Calibri" w:eastAsia="Times New Roman" w:hAnsi="Calibri" w:cs="Calibri"/>
                                      <w:b/>
                                      <w:bCs/>
                                      <w:color w:val="FFFFFF"/>
                                      <w:sz w:val="14"/>
                                      <w:szCs w:val="14"/>
                                      <w:lang w:val="en-GB" w:eastAsia="en-GB"/>
                                    </w:rPr>
                                  </w:pPr>
                                  <w:r w:rsidRPr="00BA68C1">
                                    <w:rPr>
                                      <w:rFonts w:ascii="Calibri" w:eastAsia="Times New Roman" w:hAnsi="Calibri" w:cs="Calibri"/>
                                      <w:b/>
                                      <w:bCs/>
                                      <w:color w:val="FFFFFF"/>
                                      <w:sz w:val="14"/>
                                      <w:szCs w:val="14"/>
                                      <w:lang w:val="en-GB" w:eastAsia="en-GB"/>
                                    </w:rPr>
                                    <w:t>2025E</w:t>
                                  </w:r>
                                </w:p>
                              </w:tc>
                            </w:tr>
                            <w:tr w:rsidR="00BA68C1" w:rsidRPr="00BA68C1" w14:paraId="5502E778" w14:textId="77777777" w:rsidTr="00BA68C1">
                              <w:trPr>
                                <w:trHeight w:val="328"/>
                              </w:trPr>
                              <w:tc>
                                <w:tcPr>
                                  <w:tcW w:w="1121" w:type="dxa"/>
                                  <w:tcBorders>
                                    <w:top w:val="nil"/>
                                    <w:left w:val="single" w:sz="4" w:space="0" w:color="auto"/>
                                    <w:bottom w:val="nil"/>
                                    <w:right w:val="single" w:sz="4" w:space="0" w:color="auto"/>
                                  </w:tcBorders>
                                  <w:shd w:val="clear" w:color="auto" w:fill="auto"/>
                                  <w:noWrap/>
                                  <w:vAlign w:val="bottom"/>
                                  <w:hideMark/>
                                </w:tcPr>
                                <w:p w14:paraId="4CE1960C"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Revenue</w:t>
                                  </w:r>
                                </w:p>
                              </w:tc>
                              <w:tc>
                                <w:tcPr>
                                  <w:tcW w:w="624" w:type="dxa"/>
                                  <w:tcBorders>
                                    <w:top w:val="nil"/>
                                    <w:left w:val="nil"/>
                                    <w:bottom w:val="nil"/>
                                    <w:right w:val="single" w:sz="4" w:space="0" w:color="auto"/>
                                  </w:tcBorders>
                                  <w:shd w:val="clear" w:color="auto" w:fill="auto"/>
                                  <w:noWrap/>
                                  <w:vAlign w:val="bottom"/>
                                  <w:hideMark/>
                                </w:tcPr>
                                <w:p w14:paraId="05461DC2"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46,710</w:t>
                                  </w:r>
                                </w:p>
                              </w:tc>
                              <w:tc>
                                <w:tcPr>
                                  <w:tcW w:w="649" w:type="dxa"/>
                                  <w:tcBorders>
                                    <w:top w:val="nil"/>
                                    <w:left w:val="nil"/>
                                    <w:bottom w:val="nil"/>
                                    <w:right w:val="single" w:sz="4" w:space="0" w:color="auto"/>
                                  </w:tcBorders>
                                  <w:shd w:val="clear" w:color="auto" w:fill="auto"/>
                                  <w:noWrap/>
                                  <w:vAlign w:val="bottom"/>
                                  <w:hideMark/>
                                </w:tcPr>
                                <w:p w14:paraId="6DF05552"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48,999</w:t>
                                  </w:r>
                                </w:p>
                              </w:tc>
                              <w:tc>
                                <w:tcPr>
                                  <w:tcW w:w="649" w:type="dxa"/>
                                  <w:tcBorders>
                                    <w:top w:val="nil"/>
                                    <w:left w:val="nil"/>
                                    <w:bottom w:val="nil"/>
                                    <w:right w:val="single" w:sz="4" w:space="0" w:color="auto"/>
                                  </w:tcBorders>
                                  <w:shd w:val="clear" w:color="auto" w:fill="auto"/>
                                  <w:noWrap/>
                                  <w:vAlign w:val="bottom"/>
                                  <w:hideMark/>
                                </w:tcPr>
                                <w:p w14:paraId="38060D52"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51,400</w:t>
                                  </w:r>
                                </w:p>
                              </w:tc>
                              <w:tc>
                                <w:tcPr>
                                  <w:tcW w:w="698" w:type="dxa"/>
                                  <w:tcBorders>
                                    <w:top w:val="nil"/>
                                    <w:left w:val="nil"/>
                                    <w:bottom w:val="nil"/>
                                    <w:right w:val="single" w:sz="4" w:space="0" w:color="auto"/>
                                  </w:tcBorders>
                                  <w:shd w:val="clear" w:color="auto" w:fill="auto"/>
                                  <w:noWrap/>
                                  <w:vAlign w:val="bottom"/>
                                  <w:hideMark/>
                                </w:tcPr>
                                <w:p w14:paraId="5B39D73B"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53,918</w:t>
                                  </w:r>
                                </w:p>
                              </w:tc>
                            </w:tr>
                            <w:tr w:rsidR="00BA68C1" w:rsidRPr="00BA68C1" w14:paraId="2DDC6A27" w14:textId="77777777" w:rsidTr="00BA68C1">
                              <w:trPr>
                                <w:trHeight w:val="328"/>
                              </w:trPr>
                              <w:tc>
                                <w:tcPr>
                                  <w:tcW w:w="1121" w:type="dxa"/>
                                  <w:tcBorders>
                                    <w:top w:val="nil"/>
                                    <w:left w:val="single" w:sz="4" w:space="0" w:color="auto"/>
                                    <w:bottom w:val="nil"/>
                                    <w:right w:val="single" w:sz="4" w:space="0" w:color="auto"/>
                                  </w:tcBorders>
                                  <w:shd w:val="clear" w:color="auto" w:fill="auto"/>
                                  <w:noWrap/>
                                  <w:vAlign w:val="bottom"/>
                                  <w:hideMark/>
                                </w:tcPr>
                                <w:p w14:paraId="6B76DC27"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EBITDA</w:t>
                                  </w:r>
                                </w:p>
                              </w:tc>
                              <w:tc>
                                <w:tcPr>
                                  <w:tcW w:w="624" w:type="dxa"/>
                                  <w:tcBorders>
                                    <w:top w:val="nil"/>
                                    <w:left w:val="nil"/>
                                    <w:bottom w:val="nil"/>
                                    <w:right w:val="single" w:sz="4" w:space="0" w:color="auto"/>
                                  </w:tcBorders>
                                  <w:shd w:val="clear" w:color="auto" w:fill="auto"/>
                                  <w:noWrap/>
                                  <w:vAlign w:val="bottom"/>
                                  <w:hideMark/>
                                </w:tcPr>
                                <w:p w14:paraId="49E8C425"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7,573</w:t>
                                  </w:r>
                                </w:p>
                              </w:tc>
                              <w:tc>
                                <w:tcPr>
                                  <w:tcW w:w="649" w:type="dxa"/>
                                  <w:tcBorders>
                                    <w:top w:val="nil"/>
                                    <w:left w:val="nil"/>
                                    <w:bottom w:val="nil"/>
                                    <w:right w:val="single" w:sz="4" w:space="0" w:color="auto"/>
                                  </w:tcBorders>
                                  <w:shd w:val="clear" w:color="auto" w:fill="auto"/>
                                  <w:noWrap/>
                                  <w:vAlign w:val="bottom"/>
                                  <w:hideMark/>
                                </w:tcPr>
                                <w:p w14:paraId="01B9A293"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7,482</w:t>
                                  </w:r>
                                </w:p>
                              </w:tc>
                              <w:tc>
                                <w:tcPr>
                                  <w:tcW w:w="649" w:type="dxa"/>
                                  <w:tcBorders>
                                    <w:top w:val="nil"/>
                                    <w:left w:val="nil"/>
                                    <w:bottom w:val="nil"/>
                                    <w:right w:val="single" w:sz="4" w:space="0" w:color="auto"/>
                                  </w:tcBorders>
                                  <w:shd w:val="clear" w:color="auto" w:fill="auto"/>
                                  <w:noWrap/>
                                  <w:vAlign w:val="bottom"/>
                                  <w:hideMark/>
                                </w:tcPr>
                                <w:p w14:paraId="499EA0CB"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7,392</w:t>
                                  </w:r>
                                </w:p>
                              </w:tc>
                              <w:tc>
                                <w:tcPr>
                                  <w:tcW w:w="698" w:type="dxa"/>
                                  <w:tcBorders>
                                    <w:top w:val="nil"/>
                                    <w:left w:val="nil"/>
                                    <w:bottom w:val="nil"/>
                                    <w:right w:val="single" w:sz="4" w:space="0" w:color="auto"/>
                                  </w:tcBorders>
                                  <w:shd w:val="clear" w:color="auto" w:fill="auto"/>
                                  <w:noWrap/>
                                  <w:vAlign w:val="bottom"/>
                                  <w:hideMark/>
                                </w:tcPr>
                                <w:p w14:paraId="658B58D9"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7,304</w:t>
                                  </w:r>
                                </w:p>
                              </w:tc>
                            </w:tr>
                            <w:tr w:rsidR="00BA68C1" w:rsidRPr="00BA68C1" w14:paraId="487EB767" w14:textId="77777777" w:rsidTr="00BA68C1">
                              <w:trPr>
                                <w:trHeight w:val="328"/>
                              </w:trPr>
                              <w:tc>
                                <w:tcPr>
                                  <w:tcW w:w="1121" w:type="dxa"/>
                                  <w:tcBorders>
                                    <w:top w:val="nil"/>
                                    <w:left w:val="single" w:sz="4" w:space="0" w:color="auto"/>
                                    <w:bottom w:val="nil"/>
                                    <w:right w:val="single" w:sz="4" w:space="0" w:color="auto"/>
                                  </w:tcBorders>
                                  <w:shd w:val="clear" w:color="auto" w:fill="auto"/>
                                  <w:noWrap/>
                                  <w:vAlign w:val="bottom"/>
                                  <w:hideMark/>
                                </w:tcPr>
                                <w:p w14:paraId="7BE13487"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EPS</w:t>
                                  </w:r>
                                </w:p>
                              </w:tc>
                              <w:tc>
                                <w:tcPr>
                                  <w:tcW w:w="624" w:type="dxa"/>
                                  <w:tcBorders>
                                    <w:top w:val="nil"/>
                                    <w:left w:val="nil"/>
                                    <w:bottom w:val="nil"/>
                                    <w:right w:val="single" w:sz="4" w:space="0" w:color="auto"/>
                                  </w:tcBorders>
                                  <w:shd w:val="clear" w:color="auto" w:fill="auto"/>
                                  <w:noWrap/>
                                  <w:vAlign w:val="bottom"/>
                                  <w:hideMark/>
                                </w:tcPr>
                                <w:p w14:paraId="09A9217F"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3.75</w:t>
                                  </w:r>
                                </w:p>
                              </w:tc>
                              <w:tc>
                                <w:tcPr>
                                  <w:tcW w:w="649" w:type="dxa"/>
                                  <w:tcBorders>
                                    <w:top w:val="nil"/>
                                    <w:left w:val="nil"/>
                                    <w:bottom w:val="nil"/>
                                    <w:right w:val="single" w:sz="4" w:space="0" w:color="auto"/>
                                  </w:tcBorders>
                                  <w:shd w:val="clear" w:color="auto" w:fill="auto"/>
                                  <w:noWrap/>
                                  <w:vAlign w:val="bottom"/>
                                  <w:hideMark/>
                                </w:tcPr>
                                <w:p w14:paraId="3876C1C1"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3.17</w:t>
                                  </w:r>
                                </w:p>
                              </w:tc>
                              <w:tc>
                                <w:tcPr>
                                  <w:tcW w:w="649" w:type="dxa"/>
                                  <w:tcBorders>
                                    <w:top w:val="nil"/>
                                    <w:left w:val="nil"/>
                                    <w:bottom w:val="nil"/>
                                    <w:right w:val="single" w:sz="4" w:space="0" w:color="auto"/>
                                  </w:tcBorders>
                                  <w:shd w:val="clear" w:color="auto" w:fill="auto"/>
                                  <w:noWrap/>
                                  <w:vAlign w:val="bottom"/>
                                  <w:hideMark/>
                                </w:tcPr>
                                <w:p w14:paraId="3EF3E0EE"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3.14</w:t>
                                  </w:r>
                                </w:p>
                              </w:tc>
                              <w:tc>
                                <w:tcPr>
                                  <w:tcW w:w="698" w:type="dxa"/>
                                  <w:tcBorders>
                                    <w:top w:val="nil"/>
                                    <w:left w:val="nil"/>
                                    <w:bottom w:val="nil"/>
                                    <w:right w:val="single" w:sz="4" w:space="0" w:color="auto"/>
                                  </w:tcBorders>
                                  <w:shd w:val="clear" w:color="auto" w:fill="auto"/>
                                  <w:noWrap/>
                                  <w:vAlign w:val="bottom"/>
                                  <w:hideMark/>
                                </w:tcPr>
                                <w:p w14:paraId="2D08DFCE"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3.11</w:t>
                                  </w:r>
                                </w:p>
                              </w:tc>
                            </w:tr>
                            <w:tr w:rsidR="00BA68C1" w:rsidRPr="00BA68C1" w14:paraId="2DF22356" w14:textId="77777777" w:rsidTr="00BA68C1">
                              <w:trPr>
                                <w:trHeight w:val="328"/>
                              </w:trPr>
                              <w:tc>
                                <w:tcPr>
                                  <w:tcW w:w="1121" w:type="dxa"/>
                                  <w:tcBorders>
                                    <w:top w:val="nil"/>
                                    <w:left w:val="single" w:sz="4" w:space="0" w:color="auto"/>
                                    <w:bottom w:val="nil"/>
                                    <w:right w:val="single" w:sz="4" w:space="0" w:color="auto"/>
                                  </w:tcBorders>
                                  <w:shd w:val="clear" w:color="auto" w:fill="auto"/>
                                  <w:noWrap/>
                                  <w:vAlign w:val="bottom"/>
                                  <w:hideMark/>
                                </w:tcPr>
                                <w:p w14:paraId="404ED4E4"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Net debt (cash)</w:t>
                                  </w:r>
                                </w:p>
                              </w:tc>
                              <w:tc>
                                <w:tcPr>
                                  <w:tcW w:w="624" w:type="dxa"/>
                                  <w:tcBorders>
                                    <w:top w:val="nil"/>
                                    <w:left w:val="nil"/>
                                    <w:bottom w:val="nil"/>
                                    <w:right w:val="single" w:sz="4" w:space="0" w:color="auto"/>
                                  </w:tcBorders>
                                  <w:shd w:val="clear" w:color="auto" w:fill="auto"/>
                                  <w:noWrap/>
                                  <w:vAlign w:val="bottom"/>
                                  <w:hideMark/>
                                </w:tcPr>
                                <w:p w14:paraId="2B4A0CF1"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-3,935</w:t>
                                  </w:r>
                                </w:p>
                              </w:tc>
                              <w:tc>
                                <w:tcPr>
                                  <w:tcW w:w="649" w:type="dxa"/>
                                  <w:tcBorders>
                                    <w:top w:val="nil"/>
                                    <w:left w:val="nil"/>
                                    <w:bottom w:val="nil"/>
                                    <w:right w:val="single" w:sz="4" w:space="0" w:color="auto"/>
                                  </w:tcBorders>
                                  <w:shd w:val="clear" w:color="auto" w:fill="auto"/>
                                  <w:noWrap/>
                                  <w:vAlign w:val="bottom"/>
                                  <w:hideMark/>
                                </w:tcPr>
                                <w:p w14:paraId="52DF326C"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-2,522</w:t>
                                  </w:r>
                                </w:p>
                              </w:tc>
                              <w:tc>
                                <w:tcPr>
                                  <w:tcW w:w="649" w:type="dxa"/>
                                  <w:tcBorders>
                                    <w:top w:val="nil"/>
                                    <w:left w:val="nil"/>
                                    <w:bottom w:val="nil"/>
                                    <w:right w:val="single" w:sz="4" w:space="0" w:color="auto"/>
                                  </w:tcBorders>
                                  <w:shd w:val="clear" w:color="auto" w:fill="auto"/>
                                  <w:noWrap/>
                                  <w:vAlign w:val="bottom"/>
                                  <w:hideMark/>
                                </w:tcPr>
                                <w:p w14:paraId="579E2DE7"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183</w:t>
                                  </w:r>
                                </w:p>
                              </w:tc>
                              <w:tc>
                                <w:tcPr>
                                  <w:tcW w:w="698" w:type="dxa"/>
                                  <w:tcBorders>
                                    <w:top w:val="nil"/>
                                    <w:left w:val="nil"/>
                                    <w:bottom w:val="nil"/>
                                    <w:right w:val="single" w:sz="4" w:space="0" w:color="auto"/>
                                  </w:tcBorders>
                                  <w:shd w:val="clear" w:color="auto" w:fill="auto"/>
                                  <w:noWrap/>
                                  <w:vAlign w:val="bottom"/>
                                  <w:hideMark/>
                                </w:tcPr>
                                <w:p w14:paraId="6A53DA7F"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1,021</w:t>
                                  </w:r>
                                </w:p>
                              </w:tc>
                            </w:tr>
                            <w:tr w:rsidR="00BA68C1" w:rsidRPr="00BA68C1" w14:paraId="0131FB54" w14:textId="77777777" w:rsidTr="00BA68C1">
                              <w:trPr>
                                <w:trHeight w:val="328"/>
                              </w:trPr>
                              <w:tc>
                                <w:tcPr>
                                  <w:tcW w:w="1121" w:type="dxa"/>
                                  <w:tcBorders>
                                    <w:top w:val="nil"/>
                                    <w:left w:val="single" w:sz="4" w:space="0" w:color="auto"/>
                                    <w:bottom w:val="nil"/>
                                    <w:right w:val="single" w:sz="4" w:space="0" w:color="auto"/>
                                  </w:tcBorders>
                                  <w:shd w:val="clear" w:color="auto" w:fill="auto"/>
                                  <w:noWrap/>
                                  <w:vAlign w:val="bottom"/>
                                  <w:hideMark/>
                                </w:tcPr>
                                <w:p w14:paraId="3D4274FB"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FCFF</w:t>
                                  </w:r>
                                </w:p>
                              </w:tc>
                              <w:tc>
                                <w:tcPr>
                                  <w:tcW w:w="624" w:type="dxa"/>
                                  <w:tcBorders>
                                    <w:top w:val="nil"/>
                                    <w:left w:val="nil"/>
                                    <w:bottom w:val="nil"/>
                                    <w:right w:val="single" w:sz="4" w:space="0" w:color="auto"/>
                                  </w:tcBorders>
                                  <w:shd w:val="clear" w:color="auto" w:fill="auto"/>
                                  <w:noWrap/>
                                  <w:vAlign w:val="bottom"/>
                                  <w:hideMark/>
                                </w:tcPr>
                                <w:p w14:paraId="398E99C0"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6,537</w:t>
                                  </w:r>
                                </w:p>
                              </w:tc>
                              <w:tc>
                                <w:tcPr>
                                  <w:tcW w:w="649" w:type="dxa"/>
                                  <w:tcBorders>
                                    <w:top w:val="nil"/>
                                    <w:left w:val="nil"/>
                                    <w:bottom w:val="nil"/>
                                    <w:right w:val="single" w:sz="4" w:space="0" w:color="auto"/>
                                  </w:tcBorders>
                                  <w:shd w:val="clear" w:color="auto" w:fill="auto"/>
                                  <w:noWrap/>
                                  <w:vAlign w:val="bottom"/>
                                  <w:hideMark/>
                                </w:tcPr>
                                <w:p w14:paraId="2EAD290D"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7,121</w:t>
                                  </w:r>
                                </w:p>
                              </w:tc>
                              <w:tc>
                                <w:tcPr>
                                  <w:tcW w:w="649" w:type="dxa"/>
                                  <w:tcBorders>
                                    <w:top w:val="nil"/>
                                    <w:left w:val="nil"/>
                                    <w:bottom w:val="nil"/>
                                    <w:right w:val="single" w:sz="4" w:space="0" w:color="auto"/>
                                  </w:tcBorders>
                                  <w:shd w:val="clear" w:color="auto" w:fill="auto"/>
                                  <w:noWrap/>
                                  <w:vAlign w:val="bottom"/>
                                  <w:hideMark/>
                                </w:tcPr>
                                <w:p w14:paraId="440CAA72"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7,322</w:t>
                                  </w:r>
                                </w:p>
                              </w:tc>
                              <w:tc>
                                <w:tcPr>
                                  <w:tcW w:w="698" w:type="dxa"/>
                                  <w:tcBorders>
                                    <w:top w:val="nil"/>
                                    <w:left w:val="nil"/>
                                    <w:bottom w:val="nil"/>
                                    <w:right w:val="single" w:sz="4" w:space="0" w:color="auto"/>
                                  </w:tcBorders>
                                  <w:shd w:val="clear" w:color="auto" w:fill="auto"/>
                                  <w:noWrap/>
                                  <w:vAlign w:val="bottom"/>
                                  <w:hideMark/>
                                </w:tcPr>
                                <w:p w14:paraId="34F39F45"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7,522</w:t>
                                  </w:r>
                                </w:p>
                              </w:tc>
                            </w:tr>
                            <w:tr w:rsidR="00BA68C1" w:rsidRPr="00BA68C1" w14:paraId="0C56E87F" w14:textId="77777777" w:rsidTr="00BA68C1">
                              <w:trPr>
                                <w:trHeight w:val="328"/>
                              </w:trPr>
                              <w:tc>
                                <w:tcPr>
                                  <w:tcW w:w="1121" w:type="dxa"/>
                                  <w:tcBorders>
                                    <w:top w:val="nil"/>
                                    <w:left w:val="single" w:sz="4" w:space="0" w:color="auto"/>
                                    <w:bottom w:val="nil"/>
                                    <w:right w:val="single" w:sz="4" w:space="0" w:color="auto"/>
                                  </w:tcBorders>
                                  <w:shd w:val="clear" w:color="auto" w:fill="auto"/>
                                  <w:noWrap/>
                                  <w:vAlign w:val="bottom"/>
                                  <w:hideMark/>
                                </w:tcPr>
                                <w:p w14:paraId="75837026"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ROE</w:t>
                                  </w:r>
                                </w:p>
                              </w:tc>
                              <w:tc>
                                <w:tcPr>
                                  <w:tcW w:w="624" w:type="dxa"/>
                                  <w:tcBorders>
                                    <w:top w:val="nil"/>
                                    <w:left w:val="nil"/>
                                    <w:bottom w:val="nil"/>
                                    <w:right w:val="single" w:sz="4" w:space="0" w:color="auto"/>
                                  </w:tcBorders>
                                  <w:shd w:val="clear" w:color="auto" w:fill="auto"/>
                                  <w:noWrap/>
                                  <w:vAlign w:val="bottom"/>
                                  <w:hideMark/>
                                </w:tcPr>
                                <w:p w14:paraId="4E724935"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39.6%</w:t>
                                  </w:r>
                                </w:p>
                              </w:tc>
                              <w:tc>
                                <w:tcPr>
                                  <w:tcW w:w="649" w:type="dxa"/>
                                  <w:tcBorders>
                                    <w:top w:val="nil"/>
                                    <w:left w:val="nil"/>
                                    <w:bottom w:val="nil"/>
                                    <w:right w:val="single" w:sz="4" w:space="0" w:color="auto"/>
                                  </w:tcBorders>
                                  <w:shd w:val="clear" w:color="auto" w:fill="auto"/>
                                  <w:noWrap/>
                                  <w:vAlign w:val="bottom"/>
                                  <w:hideMark/>
                                </w:tcPr>
                                <w:p w14:paraId="116F4EBF"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42.9%</w:t>
                                  </w:r>
                                </w:p>
                              </w:tc>
                              <w:tc>
                                <w:tcPr>
                                  <w:tcW w:w="649" w:type="dxa"/>
                                  <w:tcBorders>
                                    <w:top w:val="nil"/>
                                    <w:left w:val="nil"/>
                                    <w:bottom w:val="nil"/>
                                    <w:right w:val="single" w:sz="4" w:space="0" w:color="auto"/>
                                  </w:tcBorders>
                                  <w:shd w:val="clear" w:color="auto" w:fill="auto"/>
                                  <w:noWrap/>
                                  <w:vAlign w:val="bottom"/>
                                  <w:hideMark/>
                                </w:tcPr>
                                <w:p w14:paraId="762CBCB7"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42.2%</w:t>
                                  </w:r>
                                </w:p>
                              </w:tc>
                              <w:tc>
                                <w:tcPr>
                                  <w:tcW w:w="698" w:type="dxa"/>
                                  <w:tcBorders>
                                    <w:top w:val="nil"/>
                                    <w:left w:val="nil"/>
                                    <w:bottom w:val="nil"/>
                                    <w:right w:val="single" w:sz="4" w:space="0" w:color="auto"/>
                                  </w:tcBorders>
                                  <w:shd w:val="clear" w:color="auto" w:fill="auto"/>
                                  <w:noWrap/>
                                  <w:vAlign w:val="bottom"/>
                                  <w:hideMark/>
                                </w:tcPr>
                                <w:p w14:paraId="2D50B5B0"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41.5%</w:t>
                                  </w:r>
                                </w:p>
                              </w:tc>
                            </w:tr>
                            <w:tr w:rsidR="00BA68C1" w:rsidRPr="00BA68C1" w14:paraId="1CFB6032" w14:textId="77777777" w:rsidTr="00BA68C1">
                              <w:trPr>
                                <w:trHeight w:val="328"/>
                              </w:trPr>
                              <w:tc>
                                <w:tcPr>
                                  <w:tcW w:w="1121" w:type="dxa"/>
                                  <w:tcBorders>
                                    <w:top w:val="nil"/>
                                    <w:left w:val="single" w:sz="4" w:space="0" w:color="auto"/>
                                    <w:bottom w:val="nil"/>
                                    <w:right w:val="single" w:sz="4" w:space="0" w:color="auto"/>
                                  </w:tcBorders>
                                  <w:shd w:val="clear" w:color="auto" w:fill="auto"/>
                                  <w:noWrap/>
                                  <w:vAlign w:val="bottom"/>
                                  <w:hideMark/>
                                </w:tcPr>
                                <w:p w14:paraId="7D221584"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P/E</w:t>
                                  </w:r>
                                </w:p>
                              </w:tc>
                              <w:tc>
                                <w:tcPr>
                                  <w:tcW w:w="624" w:type="dxa"/>
                                  <w:tcBorders>
                                    <w:top w:val="nil"/>
                                    <w:left w:val="nil"/>
                                    <w:bottom w:val="nil"/>
                                    <w:right w:val="single" w:sz="4" w:space="0" w:color="auto"/>
                                  </w:tcBorders>
                                  <w:shd w:val="clear" w:color="auto" w:fill="auto"/>
                                  <w:noWrap/>
                                  <w:vAlign w:val="bottom"/>
                                  <w:hideMark/>
                                </w:tcPr>
                                <w:p w14:paraId="1FA070CD"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30.83</w:t>
                                  </w:r>
                                </w:p>
                              </w:tc>
                              <w:tc>
                                <w:tcPr>
                                  <w:tcW w:w="649" w:type="dxa"/>
                                  <w:tcBorders>
                                    <w:top w:val="nil"/>
                                    <w:left w:val="nil"/>
                                    <w:bottom w:val="nil"/>
                                    <w:right w:val="single" w:sz="4" w:space="0" w:color="auto"/>
                                  </w:tcBorders>
                                  <w:shd w:val="clear" w:color="auto" w:fill="auto"/>
                                  <w:noWrap/>
                                  <w:vAlign w:val="bottom"/>
                                  <w:hideMark/>
                                </w:tcPr>
                                <w:p w14:paraId="69142816"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26.04</w:t>
                                  </w:r>
                                </w:p>
                              </w:tc>
                              <w:tc>
                                <w:tcPr>
                                  <w:tcW w:w="649" w:type="dxa"/>
                                  <w:tcBorders>
                                    <w:top w:val="nil"/>
                                    <w:left w:val="nil"/>
                                    <w:bottom w:val="nil"/>
                                    <w:right w:val="single" w:sz="4" w:space="0" w:color="auto"/>
                                  </w:tcBorders>
                                  <w:shd w:val="clear" w:color="auto" w:fill="auto"/>
                                  <w:noWrap/>
                                  <w:vAlign w:val="bottom"/>
                                  <w:hideMark/>
                                </w:tcPr>
                                <w:p w14:paraId="4552B600"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26.29</w:t>
                                  </w:r>
                                </w:p>
                              </w:tc>
                              <w:tc>
                                <w:tcPr>
                                  <w:tcW w:w="698" w:type="dxa"/>
                                  <w:tcBorders>
                                    <w:top w:val="nil"/>
                                    <w:left w:val="nil"/>
                                    <w:bottom w:val="nil"/>
                                    <w:right w:val="single" w:sz="4" w:space="0" w:color="auto"/>
                                  </w:tcBorders>
                                  <w:shd w:val="clear" w:color="auto" w:fill="auto"/>
                                  <w:noWrap/>
                                  <w:vAlign w:val="bottom"/>
                                  <w:hideMark/>
                                </w:tcPr>
                                <w:p w14:paraId="111CE7F5"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26.55</w:t>
                                  </w:r>
                                </w:p>
                              </w:tc>
                            </w:tr>
                            <w:tr w:rsidR="00BA68C1" w:rsidRPr="00BA68C1" w14:paraId="5197113C" w14:textId="77777777" w:rsidTr="00BA68C1">
                              <w:trPr>
                                <w:trHeight w:val="328"/>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72A62EDC"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EV/EBITDA</w:t>
                                  </w:r>
                                </w:p>
                              </w:tc>
                              <w:tc>
                                <w:tcPr>
                                  <w:tcW w:w="624" w:type="dxa"/>
                                  <w:tcBorders>
                                    <w:top w:val="nil"/>
                                    <w:left w:val="nil"/>
                                    <w:bottom w:val="single" w:sz="4" w:space="0" w:color="auto"/>
                                    <w:right w:val="single" w:sz="4" w:space="0" w:color="auto"/>
                                  </w:tcBorders>
                                  <w:shd w:val="clear" w:color="auto" w:fill="auto"/>
                                  <w:noWrap/>
                                  <w:vAlign w:val="bottom"/>
                                  <w:hideMark/>
                                </w:tcPr>
                                <w:p w14:paraId="6C609FCF"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24.00</w:t>
                                  </w:r>
                                </w:p>
                              </w:tc>
                              <w:tc>
                                <w:tcPr>
                                  <w:tcW w:w="649" w:type="dxa"/>
                                  <w:tcBorders>
                                    <w:top w:val="nil"/>
                                    <w:left w:val="nil"/>
                                    <w:bottom w:val="single" w:sz="4" w:space="0" w:color="auto"/>
                                    <w:right w:val="single" w:sz="4" w:space="0" w:color="auto"/>
                                  </w:tcBorders>
                                  <w:shd w:val="clear" w:color="auto" w:fill="auto"/>
                                  <w:noWrap/>
                                  <w:vAlign w:val="bottom"/>
                                  <w:hideMark/>
                                </w:tcPr>
                                <w:p w14:paraId="51DFCBFF"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16.48</w:t>
                                  </w:r>
                                </w:p>
                              </w:tc>
                              <w:tc>
                                <w:tcPr>
                                  <w:tcW w:w="649" w:type="dxa"/>
                                  <w:tcBorders>
                                    <w:top w:val="nil"/>
                                    <w:left w:val="nil"/>
                                    <w:bottom w:val="single" w:sz="4" w:space="0" w:color="auto"/>
                                    <w:right w:val="single" w:sz="4" w:space="0" w:color="auto"/>
                                  </w:tcBorders>
                                  <w:shd w:val="clear" w:color="auto" w:fill="auto"/>
                                  <w:noWrap/>
                                  <w:vAlign w:val="bottom"/>
                                  <w:hideMark/>
                                </w:tcPr>
                                <w:p w14:paraId="11A1E2F6"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17.41</w:t>
                                  </w:r>
                                </w:p>
                              </w:tc>
                              <w:tc>
                                <w:tcPr>
                                  <w:tcW w:w="698" w:type="dxa"/>
                                  <w:tcBorders>
                                    <w:top w:val="nil"/>
                                    <w:left w:val="nil"/>
                                    <w:bottom w:val="single" w:sz="4" w:space="0" w:color="auto"/>
                                    <w:right w:val="single" w:sz="4" w:space="0" w:color="auto"/>
                                  </w:tcBorders>
                                  <w:shd w:val="clear" w:color="auto" w:fill="auto"/>
                                  <w:noWrap/>
                                  <w:vAlign w:val="bottom"/>
                                  <w:hideMark/>
                                </w:tcPr>
                                <w:p w14:paraId="0A8CAB5F"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17.85</w:t>
                                  </w:r>
                                </w:p>
                              </w:tc>
                            </w:tr>
                            <w:tr w:rsidR="00BA68C1" w:rsidRPr="00BA68C1" w14:paraId="7F4A06F7" w14:textId="77777777" w:rsidTr="00BA68C1">
                              <w:trPr>
                                <w:trHeight w:val="328"/>
                              </w:trPr>
                              <w:tc>
                                <w:tcPr>
                                  <w:tcW w:w="1121" w:type="dxa"/>
                                  <w:tcBorders>
                                    <w:top w:val="nil"/>
                                    <w:left w:val="single" w:sz="4" w:space="0" w:color="auto"/>
                                    <w:bottom w:val="single" w:sz="4" w:space="0" w:color="auto"/>
                                    <w:right w:val="single" w:sz="4" w:space="0" w:color="auto"/>
                                  </w:tcBorders>
                                  <w:shd w:val="clear" w:color="auto" w:fill="002060"/>
                                  <w:noWrap/>
                                  <w:vAlign w:val="bottom"/>
                                  <w:hideMark/>
                                </w:tcPr>
                                <w:p w14:paraId="428518EC" w14:textId="77777777" w:rsidR="00BA68C1" w:rsidRPr="00BA68C1" w:rsidRDefault="00BA68C1" w:rsidP="00BA68C1">
                                  <w:pPr>
                                    <w:spacing w:after="0" w:line="240" w:lineRule="auto"/>
                                    <w:rPr>
                                      <w:rFonts w:ascii="Calibri" w:eastAsia="Times New Roman" w:hAnsi="Calibri" w:cs="Calibri"/>
                                      <w:b/>
                                      <w:bCs/>
                                      <w:color w:val="FFFFFF" w:themeColor="background1"/>
                                      <w:sz w:val="14"/>
                                      <w:szCs w:val="14"/>
                                      <w:lang w:val="en-GB" w:eastAsia="en-GB"/>
                                    </w:rPr>
                                  </w:pPr>
                                  <w:r w:rsidRPr="00BA68C1">
                                    <w:rPr>
                                      <w:rFonts w:ascii="Calibri" w:eastAsia="Times New Roman" w:hAnsi="Calibri" w:cs="Calibri"/>
                                      <w:b/>
                                      <w:bCs/>
                                      <w:color w:val="FFFFFF" w:themeColor="background1"/>
                                      <w:sz w:val="14"/>
                                      <w:szCs w:val="14"/>
                                      <w:lang w:val="en-GB" w:eastAsia="en-GB"/>
                                    </w:rPr>
                                    <w:t> </w:t>
                                  </w:r>
                                </w:p>
                              </w:tc>
                              <w:tc>
                                <w:tcPr>
                                  <w:tcW w:w="624" w:type="dxa"/>
                                  <w:tcBorders>
                                    <w:top w:val="nil"/>
                                    <w:left w:val="nil"/>
                                    <w:bottom w:val="single" w:sz="4" w:space="0" w:color="auto"/>
                                    <w:right w:val="single" w:sz="4" w:space="0" w:color="auto"/>
                                  </w:tcBorders>
                                  <w:shd w:val="clear" w:color="auto" w:fill="002060"/>
                                  <w:noWrap/>
                                  <w:vAlign w:val="bottom"/>
                                  <w:hideMark/>
                                </w:tcPr>
                                <w:p w14:paraId="0719F5B9" w14:textId="77777777" w:rsidR="00BA68C1" w:rsidRPr="00BA68C1" w:rsidRDefault="00BA68C1" w:rsidP="00BA68C1">
                                  <w:pPr>
                                    <w:spacing w:after="0" w:line="240" w:lineRule="auto"/>
                                    <w:jc w:val="right"/>
                                    <w:rPr>
                                      <w:rFonts w:ascii="Calibri" w:eastAsia="Times New Roman" w:hAnsi="Calibri" w:cs="Calibri"/>
                                      <w:b/>
                                      <w:bCs/>
                                      <w:color w:val="FFFFFF" w:themeColor="background1"/>
                                      <w:sz w:val="14"/>
                                      <w:szCs w:val="14"/>
                                      <w:lang w:val="en-GB" w:eastAsia="en-GB"/>
                                    </w:rPr>
                                  </w:pPr>
                                  <w:r w:rsidRPr="00BA68C1">
                                    <w:rPr>
                                      <w:rFonts w:ascii="Calibri" w:eastAsia="Times New Roman" w:hAnsi="Calibri" w:cs="Calibri"/>
                                      <w:b/>
                                      <w:bCs/>
                                      <w:color w:val="FFFFFF" w:themeColor="background1"/>
                                      <w:sz w:val="14"/>
                                      <w:szCs w:val="14"/>
                                      <w:lang w:val="en-GB" w:eastAsia="en-GB"/>
                                    </w:rPr>
                                    <w:t>2022</w:t>
                                  </w:r>
                                </w:p>
                              </w:tc>
                              <w:tc>
                                <w:tcPr>
                                  <w:tcW w:w="649" w:type="dxa"/>
                                  <w:tcBorders>
                                    <w:top w:val="nil"/>
                                    <w:left w:val="nil"/>
                                    <w:bottom w:val="single" w:sz="4" w:space="0" w:color="auto"/>
                                    <w:right w:val="single" w:sz="4" w:space="0" w:color="auto"/>
                                  </w:tcBorders>
                                  <w:shd w:val="clear" w:color="auto" w:fill="002060"/>
                                  <w:noWrap/>
                                  <w:vAlign w:val="bottom"/>
                                  <w:hideMark/>
                                </w:tcPr>
                                <w:p w14:paraId="09F46179" w14:textId="77777777" w:rsidR="00BA68C1" w:rsidRPr="00BA68C1" w:rsidRDefault="00BA68C1" w:rsidP="00BA68C1">
                                  <w:pPr>
                                    <w:spacing w:after="0" w:line="240" w:lineRule="auto"/>
                                    <w:jc w:val="right"/>
                                    <w:rPr>
                                      <w:rFonts w:ascii="Calibri" w:eastAsia="Times New Roman" w:hAnsi="Calibri" w:cs="Calibri"/>
                                      <w:b/>
                                      <w:bCs/>
                                      <w:color w:val="FFFFFF" w:themeColor="background1"/>
                                      <w:sz w:val="14"/>
                                      <w:szCs w:val="14"/>
                                      <w:lang w:val="en-GB" w:eastAsia="en-GB"/>
                                    </w:rPr>
                                  </w:pPr>
                                  <w:r w:rsidRPr="00BA68C1">
                                    <w:rPr>
                                      <w:rFonts w:ascii="Calibri" w:eastAsia="Times New Roman" w:hAnsi="Calibri" w:cs="Calibri"/>
                                      <w:b/>
                                      <w:bCs/>
                                      <w:color w:val="FFFFFF" w:themeColor="background1"/>
                                      <w:sz w:val="14"/>
                                      <w:szCs w:val="14"/>
                                      <w:lang w:val="en-GB" w:eastAsia="en-GB"/>
                                    </w:rPr>
                                    <w:t>2023E</w:t>
                                  </w:r>
                                </w:p>
                              </w:tc>
                              <w:tc>
                                <w:tcPr>
                                  <w:tcW w:w="649" w:type="dxa"/>
                                  <w:tcBorders>
                                    <w:top w:val="nil"/>
                                    <w:left w:val="nil"/>
                                    <w:bottom w:val="single" w:sz="4" w:space="0" w:color="auto"/>
                                    <w:right w:val="single" w:sz="4" w:space="0" w:color="auto"/>
                                  </w:tcBorders>
                                  <w:shd w:val="clear" w:color="auto" w:fill="002060"/>
                                  <w:noWrap/>
                                  <w:vAlign w:val="bottom"/>
                                  <w:hideMark/>
                                </w:tcPr>
                                <w:p w14:paraId="7F4C1953" w14:textId="77777777" w:rsidR="00BA68C1" w:rsidRPr="00BA68C1" w:rsidRDefault="00BA68C1" w:rsidP="00BA68C1">
                                  <w:pPr>
                                    <w:spacing w:after="0" w:line="240" w:lineRule="auto"/>
                                    <w:jc w:val="right"/>
                                    <w:rPr>
                                      <w:rFonts w:ascii="Calibri" w:eastAsia="Times New Roman" w:hAnsi="Calibri" w:cs="Calibri"/>
                                      <w:b/>
                                      <w:bCs/>
                                      <w:color w:val="FFFFFF" w:themeColor="background1"/>
                                      <w:sz w:val="14"/>
                                      <w:szCs w:val="14"/>
                                      <w:lang w:val="en-GB" w:eastAsia="en-GB"/>
                                    </w:rPr>
                                  </w:pPr>
                                  <w:r w:rsidRPr="00BA68C1">
                                    <w:rPr>
                                      <w:rFonts w:ascii="Calibri" w:eastAsia="Times New Roman" w:hAnsi="Calibri" w:cs="Calibri"/>
                                      <w:b/>
                                      <w:bCs/>
                                      <w:color w:val="FFFFFF" w:themeColor="background1"/>
                                      <w:sz w:val="14"/>
                                      <w:szCs w:val="14"/>
                                      <w:lang w:val="en-GB" w:eastAsia="en-GB"/>
                                    </w:rPr>
                                    <w:t>2024E</w:t>
                                  </w:r>
                                </w:p>
                              </w:tc>
                              <w:tc>
                                <w:tcPr>
                                  <w:tcW w:w="698" w:type="dxa"/>
                                  <w:tcBorders>
                                    <w:top w:val="nil"/>
                                    <w:left w:val="nil"/>
                                    <w:bottom w:val="single" w:sz="4" w:space="0" w:color="auto"/>
                                    <w:right w:val="single" w:sz="4" w:space="0" w:color="auto"/>
                                  </w:tcBorders>
                                  <w:shd w:val="clear" w:color="auto" w:fill="002060"/>
                                  <w:noWrap/>
                                  <w:vAlign w:val="bottom"/>
                                  <w:hideMark/>
                                </w:tcPr>
                                <w:p w14:paraId="2574721A" w14:textId="77777777" w:rsidR="00BA68C1" w:rsidRPr="00BA68C1" w:rsidRDefault="00BA68C1" w:rsidP="00BA68C1">
                                  <w:pPr>
                                    <w:spacing w:after="0" w:line="240" w:lineRule="auto"/>
                                    <w:jc w:val="right"/>
                                    <w:rPr>
                                      <w:rFonts w:ascii="Calibri" w:eastAsia="Times New Roman" w:hAnsi="Calibri" w:cs="Calibri"/>
                                      <w:b/>
                                      <w:bCs/>
                                      <w:color w:val="FFFFFF" w:themeColor="background1"/>
                                      <w:sz w:val="14"/>
                                      <w:szCs w:val="14"/>
                                      <w:lang w:val="en-GB" w:eastAsia="en-GB"/>
                                    </w:rPr>
                                  </w:pPr>
                                  <w:r w:rsidRPr="00BA68C1">
                                    <w:rPr>
                                      <w:rFonts w:ascii="Calibri" w:eastAsia="Times New Roman" w:hAnsi="Calibri" w:cs="Calibri"/>
                                      <w:b/>
                                      <w:bCs/>
                                      <w:color w:val="FFFFFF" w:themeColor="background1"/>
                                      <w:sz w:val="14"/>
                                      <w:szCs w:val="14"/>
                                      <w:lang w:val="en-GB" w:eastAsia="en-GB"/>
                                    </w:rPr>
                                    <w:t>2025E</w:t>
                                  </w:r>
                                </w:p>
                              </w:tc>
                            </w:tr>
                            <w:tr w:rsidR="00BA68C1" w:rsidRPr="00BA68C1" w14:paraId="476999A2" w14:textId="77777777" w:rsidTr="00BA68C1">
                              <w:trPr>
                                <w:trHeight w:val="328"/>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55FA226C"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Sales growth (%)</w:t>
                                  </w:r>
                                </w:p>
                              </w:tc>
                              <w:tc>
                                <w:tcPr>
                                  <w:tcW w:w="624" w:type="dxa"/>
                                  <w:tcBorders>
                                    <w:top w:val="nil"/>
                                    <w:left w:val="nil"/>
                                    <w:bottom w:val="single" w:sz="4" w:space="0" w:color="auto"/>
                                    <w:right w:val="single" w:sz="4" w:space="0" w:color="auto"/>
                                  </w:tcBorders>
                                  <w:shd w:val="clear" w:color="auto" w:fill="auto"/>
                                  <w:noWrap/>
                                  <w:vAlign w:val="bottom"/>
                                  <w:hideMark/>
                                </w:tcPr>
                                <w:p w14:paraId="78076A43"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4.9%</w:t>
                                  </w:r>
                                </w:p>
                              </w:tc>
                              <w:tc>
                                <w:tcPr>
                                  <w:tcW w:w="649" w:type="dxa"/>
                                  <w:tcBorders>
                                    <w:top w:val="nil"/>
                                    <w:left w:val="nil"/>
                                    <w:bottom w:val="single" w:sz="4" w:space="0" w:color="auto"/>
                                    <w:right w:val="single" w:sz="4" w:space="0" w:color="auto"/>
                                  </w:tcBorders>
                                  <w:shd w:val="clear" w:color="auto" w:fill="auto"/>
                                  <w:noWrap/>
                                  <w:vAlign w:val="bottom"/>
                                  <w:hideMark/>
                                </w:tcPr>
                                <w:p w14:paraId="4F849529"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4.9%</w:t>
                                  </w:r>
                                </w:p>
                              </w:tc>
                              <w:tc>
                                <w:tcPr>
                                  <w:tcW w:w="649" w:type="dxa"/>
                                  <w:tcBorders>
                                    <w:top w:val="nil"/>
                                    <w:left w:val="nil"/>
                                    <w:bottom w:val="single" w:sz="4" w:space="0" w:color="auto"/>
                                    <w:right w:val="single" w:sz="4" w:space="0" w:color="auto"/>
                                  </w:tcBorders>
                                  <w:shd w:val="clear" w:color="auto" w:fill="auto"/>
                                  <w:noWrap/>
                                  <w:vAlign w:val="bottom"/>
                                  <w:hideMark/>
                                </w:tcPr>
                                <w:p w14:paraId="2C5B134C"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4.9%</w:t>
                                  </w:r>
                                </w:p>
                              </w:tc>
                              <w:tc>
                                <w:tcPr>
                                  <w:tcW w:w="698" w:type="dxa"/>
                                  <w:tcBorders>
                                    <w:top w:val="nil"/>
                                    <w:left w:val="nil"/>
                                    <w:bottom w:val="single" w:sz="4" w:space="0" w:color="auto"/>
                                    <w:right w:val="single" w:sz="4" w:space="0" w:color="auto"/>
                                  </w:tcBorders>
                                  <w:shd w:val="clear" w:color="auto" w:fill="auto"/>
                                  <w:noWrap/>
                                  <w:vAlign w:val="bottom"/>
                                  <w:hideMark/>
                                </w:tcPr>
                                <w:p w14:paraId="3D001670"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4.9%</w:t>
                                  </w:r>
                                </w:p>
                              </w:tc>
                            </w:tr>
                            <w:tr w:rsidR="00BA68C1" w:rsidRPr="00BA68C1" w14:paraId="363F5738" w14:textId="77777777" w:rsidTr="00BA68C1">
                              <w:trPr>
                                <w:trHeight w:val="328"/>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3937B89D"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EBIT growth (%)</w:t>
                                  </w:r>
                                </w:p>
                              </w:tc>
                              <w:tc>
                                <w:tcPr>
                                  <w:tcW w:w="624" w:type="dxa"/>
                                  <w:tcBorders>
                                    <w:top w:val="nil"/>
                                    <w:left w:val="nil"/>
                                    <w:bottom w:val="single" w:sz="4" w:space="0" w:color="auto"/>
                                    <w:right w:val="single" w:sz="4" w:space="0" w:color="auto"/>
                                  </w:tcBorders>
                                  <w:shd w:val="clear" w:color="auto" w:fill="auto"/>
                                  <w:noWrap/>
                                  <w:vAlign w:val="bottom"/>
                                  <w:hideMark/>
                                </w:tcPr>
                                <w:p w14:paraId="29B233EE"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-1.0%</w:t>
                                  </w:r>
                                </w:p>
                              </w:tc>
                              <w:tc>
                                <w:tcPr>
                                  <w:tcW w:w="649" w:type="dxa"/>
                                  <w:tcBorders>
                                    <w:top w:val="nil"/>
                                    <w:left w:val="nil"/>
                                    <w:bottom w:val="single" w:sz="4" w:space="0" w:color="auto"/>
                                    <w:right w:val="single" w:sz="4" w:space="0" w:color="auto"/>
                                  </w:tcBorders>
                                  <w:shd w:val="clear" w:color="auto" w:fill="auto"/>
                                  <w:noWrap/>
                                  <w:vAlign w:val="bottom"/>
                                  <w:hideMark/>
                                </w:tcPr>
                                <w:p w14:paraId="347F0395"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-1.0%</w:t>
                                  </w:r>
                                </w:p>
                              </w:tc>
                              <w:tc>
                                <w:tcPr>
                                  <w:tcW w:w="649" w:type="dxa"/>
                                  <w:tcBorders>
                                    <w:top w:val="nil"/>
                                    <w:left w:val="nil"/>
                                    <w:bottom w:val="single" w:sz="4" w:space="0" w:color="auto"/>
                                    <w:right w:val="single" w:sz="4" w:space="0" w:color="auto"/>
                                  </w:tcBorders>
                                  <w:shd w:val="clear" w:color="auto" w:fill="auto"/>
                                  <w:noWrap/>
                                  <w:vAlign w:val="bottom"/>
                                  <w:hideMark/>
                                </w:tcPr>
                                <w:p w14:paraId="07B947F8"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-1.0%</w:t>
                                  </w:r>
                                </w:p>
                              </w:tc>
                              <w:tc>
                                <w:tcPr>
                                  <w:tcW w:w="698" w:type="dxa"/>
                                  <w:tcBorders>
                                    <w:top w:val="nil"/>
                                    <w:left w:val="nil"/>
                                    <w:bottom w:val="single" w:sz="4" w:space="0" w:color="auto"/>
                                    <w:right w:val="single" w:sz="4" w:space="0" w:color="auto"/>
                                  </w:tcBorders>
                                  <w:shd w:val="clear" w:color="auto" w:fill="auto"/>
                                  <w:noWrap/>
                                  <w:vAlign w:val="bottom"/>
                                  <w:hideMark/>
                                </w:tcPr>
                                <w:p w14:paraId="6A0AAA97"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-1.0%</w:t>
                                  </w:r>
                                </w:p>
                              </w:tc>
                            </w:tr>
                            <w:tr w:rsidR="00BA68C1" w:rsidRPr="00BA68C1" w14:paraId="6C7C4C4E" w14:textId="77777777" w:rsidTr="00BA68C1">
                              <w:trPr>
                                <w:trHeight w:val="328"/>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3701DC8E"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Net profit growth (%)</w:t>
                                  </w:r>
                                </w:p>
                              </w:tc>
                              <w:tc>
                                <w:tcPr>
                                  <w:tcW w:w="624" w:type="dxa"/>
                                  <w:tcBorders>
                                    <w:top w:val="nil"/>
                                    <w:left w:val="nil"/>
                                    <w:bottom w:val="single" w:sz="4" w:space="0" w:color="auto"/>
                                    <w:right w:val="single" w:sz="4" w:space="0" w:color="auto"/>
                                  </w:tcBorders>
                                  <w:shd w:val="clear" w:color="auto" w:fill="auto"/>
                                  <w:noWrap/>
                                  <w:vAlign w:val="bottom"/>
                                  <w:hideMark/>
                                </w:tcPr>
                                <w:p w14:paraId="5D770BED"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5.57%</w:t>
                                  </w:r>
                                </w:p>
                              </w:tc>
                              <w:tc>
                                <w:tcPr>
                                  <w:tcW w:w="649" w:type="dxa"/>
                                  <w:tcBorders>
                                    <w:top w:val="nil"/>
                                    <w:left w:val="nil"/>
                                    <w:bottom w:val="single" w:sz="4" w:space="0" w:color="auto"/>
                                    <w:right w:val="single" w:sz="4" w:space="0" w:color="auto"/>
                                  </w:tcBorders>
                                  <w:shd w:val="clear" w:color="auto" w:fill="auto"/>
                                  <w:noWrap/>
                                  <w:vAlign w:val="bottom"/>
                                  <w:hideMark/>
                                </w:tcPr>
                                <w:p w14:paraId="3B1162DB"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-15.56%</w:t>
                                  </w:r>
                                </w:p>
                              </w:tc>
                              <w:tc>
                                <w:tcPr>
                                  <w:tcW w:w="649" w:type="dxa"/>
                                  <w:tcBorders>
                                    <w:top w:val="nil"/>
                                    <w:left w:val="nil"/>
                                    <w:bottom w:val="single" w:sz="4" w:space="0" w:color="auto"/>
                                    <w:right w:val="single" w:sz="4" w:space="0" w:color="auto"/>
                                  </w:tcBorders>
                                  <w:shd w:val="clear" w:color="auto" w:fill="auto"/>
                                  <w:noWrap/>
                                  <w:vAlign w:val="bottom"/>
                                  <w:hideMark/>
                                </w:tcPr>
                                <w:p w14:paraId="250A4AA5"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-0.98%</w:t>
                                  </w:r>
                                </w:p>
                              </w:tc>
                              <w:tc>
                                <w:tcPr>
                                  <w:tcW w:w="698" w:type="dxa"/>
                                  <w:tcBorders>
                                    <w:top w:val="nil"/>
                                    <w:left w:val="nil"/>
                                    <w:bottom w:val="single" w:sz="4" w:space="0" w:color="auto"/>
                                    <w:right w:val="single" w:sz="4" w:space="0" w:color="auto"/>
                                  </w:tcBorders>
                                  <w:shd w:val="clear" w:color="auto" w:fill="auto"/>
                                  <w:noWrap/>
                                  <w:vAlign w:val="bottom"/>
                                  <w:hideMark/>
                                </w:tcPr>
                                <w:p w14:paraId="16DE62AD"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-0.99%</w:t>
                                  </w:r>
                                </w:p>
                              </w:tc>
                            </w:tr>
                            <w:tr w:rsidR="00BA68C1" w:rsidRPr="00BA68C1" w14:paraId="0B379FA1" w14:textId="77777777" w:rsidTr="00BA68C1">
                              <w:trPr>
                                <w:trHeight w:val="328"/>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778834C8"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EPS growth (%)</w:t>
                                  </w:r>
                                </w:p>
                              </w:tc>
                              <w:tc>
                                <w:tcPr>
                                  <w:tcW w:w="624" w:type="dxa"/>
                                  <w:tcBorders>
                                    <w:top w:val="nil"/>
                                    <w:left w:val="nil"/>
                                    <w:bottom w:val="single" w:sz="4" w:space="0" w:color="auto"/>
                                    <w:right w:val="single" w:sz="4" w:space="0" w:color="auto"/>
                                  </w:tcBorders>
                                  <w:shd w:val="clear" w:color="auto" w:fill="auto"/>
                                  <w:noWrap/>
                                  <w:vAlign w:val="bottom"/>
                                  <w:hideMark/>
                                </w:tcPr>
                                <w:p w14:paraId="3F5DE4CD"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5.34%</w:t>
                                  </w:r>
                                </w:p>
                              </w:tc>
                              <w:tc>
                                <w:tcPr>
                                  <w:tcW w:w="649" w:type="dxa"/>
                                  <w:tcBorders>
                                    <w:top w:val="nil"/>
                                    <w:left w:val="nil"/>
                                    <w:bottom w:val="single" w:sz="4" w:space="0" w:color="auto"/>
                                    <w:right w:val="single" w:sz="4" w:space="0" w:color="auto"/>
                                  </w:tcBorders>
                                  <w:shd w:val="clear" w:color="auto" w:fill="auto"/>
                                  <w:noWrap/>
                                  <w:vAlign w:val="bottom"/>
                                  <w:hideMark/>
                                </w:tcPr>
                                <w:p w14:paraId="101F67F7"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-15.47%</w:t>
                                  </w:r>
                                </w:p>
                              </w:tc>
                              <w:tc>
                                <w:tcPr>
                                  <w:tcW w:w="649" w:type="dxa"/>
                                  <w:tcBorders>
                                    <w:top w:val="nil"/>
                                    <w:left w:val="nil"/>
                                    <w:bottom w:val="single" w:sz="4" w:space="0" w:color="auto"/>
                                    <w:right w:val="single" w:sz="4" w:space="0" w:color="auto"/>
                                  </w:tcBorders>
                                  <w:shd w:val="clear" w:color="auto" w:fill="auto"/>
                                  <w:noWrap/>
                                  <w:vAlign w:val="bottom"/>
                                  <w:hideMark/>
                                </w:tcPr>
                                <w:p w14:paraId="1FE419E4"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-0.95%</w:t>
                                  </w:r>
                                </w:p>
                              </w:tc>
                              <w:tc>
                                <w:tcPr>
                                  <w:tcW w:w="698" w:type="dxa"/>
                                  <w:tcBorders>
                                    <w:top w:val="nil"/>
                                    <w:left w:val="nil"/>
                                    <w:bottom w:val="single" w:sz="4" w:space="0" w:color="auto"/>
                                    <w:right w:val="single" w:sz="4" w:space="0" w:color="auto"/>
                                  </w:tcBorders>
                                  <w:shd w:val="clear" w:color="auto" w:fill="auto"/>
                                  <w:noWrap/>
                                  <w:vAlign w:val="bottom"/>
                                  <w:hideMark/>
                                </w:tcPr>
                                <w:p w14:paraId="0CC20B49"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-0.96%</w:t>
                                  </w:r>
                                </w:p>
                              </w:tc>
                            </w:tr>
                            <w:tr w:rsidR="00BA68C1" w:rsidRPr="00BA68C1" w14:paraId="26CCC617" w14:textId="77777777" w:rsidTr="00BA68C1">
                              <w:trPr>
                                <w:trHeight w:val="328"/>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6FF38820"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EBITDA margin (%)</w:t>
                                  </w:r>
                                </w:p>
                              </w:tc>
                              <w:tc>
                                <w:tcPr>
                                  <w:tcW w:w="624" w:type="dxa"/>
                                  <w:tcBorders>
                                    <w:top w:val="nil"/>
                                    <w:left w:val="nil"/>
                                    <w:bottom w:val="single" w:sz="4" w:space="0" w:color="auto"/>
                                    <w:right w:val="single" w:sz="4" w:space="0" w:color="auto"/>
                                  </w:tcBorders>
                                  <w:shd w:val="clear" w:color="auto" w:fill="auto"/>
                                  <w:noWrap/>
                                  <w:vAlign w:val="bottom"/>
                                  <w:hideMark/>
                                </w:tcPr>
                                <w:p w14:paraId="6CBA2D02"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16.21%</w:t>
                                  </w:r>
                                </w:p>
                              </w:tc>
                              <w:tc>
                                <w:tcPr>
                                  <w:tcW w:w="649" w:type="dxa"/>
                                  <w:tcBorders>
                                    <w:top w:val="nil"/>
                                    <w:left w:val="nil"/>
                                    <w:bottom w:val="single" w:sz="4" w:space="0" w:color="auto"/>
                                    <w:right w:val="single" w:sz="4" w:space="0" w:color="auto"/>
                                  </w:tcBorders>
                                  <w:shd w:val="clear" w:color="auto" w:fill="auto"/>
                                  <w:noWrap/>
                                  <w:vAlign w:val="bottom"/>
                                  <w:hideMark/>
                                </w:tcPr>
                                <w:p w14:paraId="3D5D8975"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15.27%</w:t>
                                  </w:r>
                                </w:p>
                              </w:tc>
                              <w:tc>
                                <w:tcPr>
                                  <w:tcW w:w="649" w:type="dxa"/>
                                  <w:tcBorders>
                                    <w:top w:val="nil"/>
                                    <w:left w:val="nil"/>
                                    <w:bottom w:val="single" w:sz="4" w:space="0" w:color="auto"/>
                                    <w:right w:val="single" w:sz="4" w:space="0" w:color="auto"/>
                                  </w:tcBorders>
                                  <w:shd w:val="clear" w:color="auto" w:fill="auto"/>
                                  <w:noWrap/>
                                  <w:vAlign w:val="bottom"/>
                                  <w:hideMark/>
                                </w:tcPr>
                                <w:p w14:paraId="486F1E5A"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14.38%</w:t>
                                  </w:r>
                                </w:p>
                              </w:tc>
                              <w:tc>
                                <w:tcPr>
                                  <w:tcW w:w="698" w:type="dxa"/>
                                  <w:tcBorders>
                                    <w:top w:val="nil"/>
                                    <w:left w:val="nil"/>
                                    <w:bottom w:val="single" w:sz="4" w:space="0" w:color="auto"/>
                                    <w:right w:val="single" w:sz="4" w:space="0" w:color="auto"/>
                                  </w:tcBorders>
                                  <w:shd w:val="clear" w:color="auto" w:fill="auto"/>
                                  <w:noWrap/>
                                  <w:vAlign w:val="bottom"/>
                                  <w:hideMark/>
                                </w:tcPr>
                                <w:p w14:paraId="69EC3C28"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13.55%</w:t>
                                  </w:r>
                                </w:p>
                              </w:tc>
                            </w:tr>
                            <w:tr w:rsidR="00BA68C1" w:rsidRPr="00BA68C1" w14:paraId="2F310B08" w14:textId="77777777" w:rsidTr="00BA68C1">
                              <w:trPr>
                                <w:trHeight w:val="328"/>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18D827FD"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EBIT margin (%)</w:t>
                                  </w:r>
                                </w:p>
                              </w:tc>
                              <w:tc>
                                <w:tcPr>
                                  <w:tcW w:w="624" w:type="dxa"/>
                                  <w:tcBorders>
                                    <w:top w:val="nil"/>
                                    <w:left w:val="nil"/>
                                    <w:bottom w:val="single" w:sz="4" w:space="0" w:color="auto"/>
                                    <w:right w:val="single" w:sz="4" w:space="0" w:color="auto"/>
                                  </w:tcBorders>
                                  <w:shd w:val="clear" w:color="auto" w:fill="auto"/>
                                  <w:noWrap/>
                                  <w:vAlign w:val="bottom"/>
                                  <w:hideMark/>
                                </w:tcPr>
                                <w:p w14:paraId="3782E143"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14.68%</w:t>
                                  </w:r>
                                </w:p>
                              </w:tc>
                              <w:tc>
                                <w:tcPr>
                                  <w:tcW w:w="649" w:type="dxa"/>
                                  <w:tcBorders>
                                    <w:top w:val="nil"/>
                                    <w:left w:val="nil"/>
                                    <w:bottom w:val="single" w:sz="4" w:space="0" w:color="auto"/>
                                    <w:right w:val="single" w:sz="4" w:space="0" w:color="auto"/>
                                  </w:tcBorders>
                                  <w:shd w:val="clear" w:color="auto" w:fill="auto"/>
                                  <w:noWrap/>
                                  <w:vAlign w:val="bottom"/>
                                  <w:hideMark/>
                                </w:tcPr>
                                <w:p w14:paraId="3308A4B4"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13.86%</w:t>
                                  </w:r>
                                </w:p>
                              </w:tc>
                              <w:tc>
                                <w:tcPr>
                                  <w:tcW w:w="649" w:type="dxa"/>
                                  <w:tcBorders>
                                    <w:top w:val="nil"/>
                                    <w:left w:val="nil"/>
                                    <w:bottom w:val="single" w:sz="4" w:space="0" w:color="auto"/>
                                    <w:right w:val="single" w:sz="4" w:space="0" w:color="auto"/>
                                  </w:tcBorders>
                                  <w:shd w:val="clear" w:color="auto" w:fill="auto"/>
                                  <w:noWrap/>
                                  <w:vAlign w:val="bottom"/>
                                  <w:hideMark/>
                                </w:tcPr>
                                <w:p w14:paraId="6DA34D4D"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13.09%</w:t>
                                  </w:r>
                                </w:p>
                              </w:tc>
                              <w:tc>
                                <w:tcPr>
                                  <w:tcW w:w="698" w:type="dxa"/>
                                  <w:tcBorders>
                                    <w:top w:val="nil"/>
                                    <w:left w:val="nil"/>
                                    <w:bottom w:val="single" w:sz="4" w:space="0" w:color="auto"/>
                                    <w:right w:val="single" w:sz="4" w:space="0" w:color="auto"/>
                                  </w:tcBorders>
                                  <w:shd w:val="clear" w:color="auto" w:fill="auto"/>
                                  <w:noWrap/>
                                  <w:vAlign w:val="bottom"/>
                                  <w:hideMark/>
                                </w:tcPr>
                                <w:p w14:paraId="2CD980DB"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12.35%</w:t>
                                  </w:r>
                                </w:p>
                              </w:tc>
                            </w:tr>
                            <w:tr w:rsidR="00BA68C1" w:rsidRPr="00BA68C1" w14:paraId="5BDCE27B" w14:textId="77777777" w:rsidTr="00BA68C1">
                              <w:trPr>
                                <w:trHeight w:val="328"/>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0780F199"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Net margin (%)</w:t>
                                  </w:r>
                                </w:p>
                              </w:tc>
                              <w:tc>
                                <w:tcPr>
                                  <w:tcW w:w="624" w:type="dxa"/>
                                  <w:tcBorders>
                                    <w:top w:val="nil"/>
                                    <w:left w:val="nil"/>
                                    <w:bottom w:val="single" w:sz="4" w:space="0" w:color="auto"/>
                                    <w:right w:val="single" w:sz="4" w:space="0" w:color="auto"/>
                                  </w:tcBorders>
                                  <w:shd w:val="clear" w:color="auto" w:fill="auto"/>
                                  <w:noWrap/>
                                  <w:vAlign w:val="bottom"/>
                                  <w:hideMark/>
                                </w:tcPr>
                                <w:p w14:paraId="78C13D31"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12.94%</w:t>
                                  </w:r>
                                </w:p>
                              </w:tc>
                              <w:tc>
                                <w:tcPr>
                                  <w:tcW w:w="649" w:type="dxa"/>
                                  <w:tcBorders>
                                    <w:top w:val="nil"/>
                                    <w:left w:val="nil"/>
                                    <w:bottom w:val="single" w:sz="4" w:space="0" w:color="auto"/>
                                    <w:right w:val="single" w:sz="4" w:space="0" w:color="auto"/>
                                  </w:tcBorders>
                                  <w:shd w:val="clear" w:color="auto" w:fill="auto"/>
                                  <w:noWrap/>
                                  <w:vAlign w:val="bottom"/>
                                  <w:hideMark/>
                                </w:tcPr>
                                <w:p w14:paraId="28556D00"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10.42%</w:t>
                                  </w:r>
                                </w:p>
                              </w:tc>
                              <w:tc>
                                <w:tcPr>
                                  <w:tcW w:w="649" w:type="dxa"/>
                                  <w:tcBorders>
                                    <w:top w:val="nil"/>
                                    <w:left w:val="nil"/>
                                    <w:bottom w:val="single" w:sz="4" w:space="0" w:color="auto"/>
                                    <w:right w:val="single" w:sz="4" w:space="0" w:color="auto"/>
                                  </w:tcBorders>
                                  <w:shd w:val="clear" w:color="auto" w:fill="auto"/>
                                  <w:noWrap/>
                                  <w:vAlign w:val="bottom"/>
                                  <w:hideMark/>
                                </w:tcPr>
                                <w:p w14:paraId="70435790"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9.83%</w:t>
                                  </w:r>
                                </w:p>
                              </w:tc>
                              <w:tc>
                                <w:tcPr>
                                  <w:tcW w:w="698" w:type="dxa"/>
                                  <w:tcBorders>
                                    <w:top w:val="nil"/>
                                    <w:left w:val="nil"/>
                                    <w:bottom w:val="single" w:sz="4" w:space="0" w:color="auto"/>
                                    <w:right w:val="single" w:sz="4" w:space="0" w:color="auto"/>
                                  </w:tcBorders>
                                  <w:shd w:val="clear" w:color="auto" w:fill="auto"/>
                                  <w:noWrap/>
                                  <w:vAlign w:val="bottom"/>
                                  <w:hideMark/>
                                </w:tcPr>
                                <w:p w14:paraId="628322DA"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9.28%</w:t>
                                  </w:r>
                                </w:p>
                              </w:tc>
                            </w:tr>
                          </w:tbl>
                          <w:p w14:paraId="03E9278E" w14:textId="77777777" w:rsidR="00851AB3" w:rsidRDefault="00851AB3">
                            <w:pPr>
                              <w:spacing w:before="880" w:after="240" w:line="240" w:lineRule="auto"/>
                              <w:rPr>
                                <w:rFonts w:asciiTheme="majorHAnsi" w:eastAsiaTheme="majorEastAsia" w:hAnsiTheme="majorHAnsi" w:cstheme="majorBidi"/>
                                <w:sz w:val="28"/>
                                <w:szCs w:val="28"/>
                              </w:rPr>
                            </w:pPr>
                          </w:p>
                          <w:p w14:paraId="71F6D82E" w14:textId="77777777" w:rsidR="00BA68C1" w:rsidRPr="00B92FD6" w:rsidRDefault="00BA68C1">
                            <w:pPr>
                              <w:spacing w:before="880" w:after="240" w:line="240" w:lineRule="auto"/>
                              <w:rPr>
                                <w:rFonts w:asciiTheme="majorHAnsi" w:eastAsiaTheme="majorEastAsia" w:hAnsiTheme="majorHAnsi" w:cstheme="majorBidi"/>
                                <w:sz w:val="28"/>
                                <w:szCs w:val="28"/>
                              </w:rPr>
                            </w:pPr>
                          </w:p>
                        </w:txbxContent>
                      </wps:txbx>
                      <wps:bodyPr rot="0" vert="horz" wrap="square" lIns="180000" tIns="457200" rIns="18000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27" style="position:absolute;margin-left:.55pt;margin-top:124.6pt;width:218.2pt;height:59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" fillcolor="white [3212]" strokecolor="#747070 [1614]" strokeweight="1.25pt">
                <v:textbox inset="5mm,36pt,5mm,5.76pt">
                  <w:txbxContent>
                    <w:p w14:paraId="7AA25971" w14:textId="627CA585" w:rsidR="00017B2B" w:rsidRDefault="00851AB3">
                      <w:pPr>
                        <w:spacing w:before="880" w:after="240" w:line="240" w:lineRule="auto"/>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w:drawing>
                          <wp:inline distT="0" distB="0" distL="0" distR="0" wp14:anchorId="62E6DB2C" wp14:editId="43CD60C7">
                            <wp:extent cx="2395220" cy="805180"/>
                            <wp:effectExtent l="0" t="0" r="5080" b="0"/>
                            <wp:docPr id="1375018216" name="Picture 7" descr="A green line graph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78305" name="Picture 7" descr="A green line graph with a whit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95220" cy="805180"/>
                                    </a:xfrm>
                                    <a:prstGeom prst="rect">
                                      <a:avLst/>
                                    </a:prstGeom>
                                  </pic:spPr>
                                </pic:pic>
                              </a:graphicData>
                            </a:graphic>
                          </wp:inline>
                        </w:drawing>
                      </w:r>
                    </w:p>
                    <w:p w14:paraId="493B1D0B" w14:textId="608EBC12" w:rsidR="00851AB3" w:rsidRDefault="00851AB3">
                      <w:pPr>
                        <w:spacing w:before="880" w:after="240" w:line="240" w:lineRule="auto"/>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w:drawing>
                          <wp:inline distT="0" distB="0" distL="0" distR="0" wp14:anchorId="5ED1EDE2" wp14:editId="526690ED">
                            <wp:extent cx="2395220" cy="1271270"/>
                            <wp:effectExtent l="0" t="0" r="5080" b="0"/>
                            <wp:docPr id="1080596084" name="Picture 8" descr="A graph showing the growth of the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9485" name="Picture 8" descr="A graph showing the growth of the stock marke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95220" cy="1271270"/>
                                    </a:xfrm>
                                    <a:prstGeom prst="rect">
                                      <a:avLst/>
                                    </a:prstGeom>
                                  </pic:spPr>
                                </pic:pic>
                              </a:graphicData>
                            </a:graphic>
                          </wp:inline>
                        </w:drawing>
                      </w:r>
                    </w:p>
                    <w:tbl>
                      <w:tblPr>
                        <w:tblW w:w="3741" w:type="dxa"/>
                        <w:tblLook w:val="04A0" w:firstRow="1" w:lastRow="0" w:firstColumn="1" w:lastColumn="0" w:noHBand="0" w:noVBand="1"/>
                      </w:tblPr>
                      <w:tblGrid>
                        <w:gridCol w:w="1121"/>
                        <w:gridCol w:w="636"/>
                        <w:gridCol w:w="649"/>
                        <w:gridCol w:w="649"/>
                        <w:gridCol w:w="698"/>
                      </w:tblGrid>
                      <w:tr w:rsidR="00BA68C1" w:rsidRPr="00BA68C1" w14:paraId="76419442" w14:textId="77777777" w:rsidTr="00BA68C1">
                        <w:trPr>
                          <w:trHeight w:val="328"/>
                        </w:trPr>
                        <w:tc>
                          <w:tcPr>
                            <w:tcW w:w="1121" w:type="dxa"/>
                            <w:tcBorders>
                              <w:top w:val="single" w:sz="4" w:space="0" w:color="auto"/>
                              <w:left w:val="single" w:sz="4" w:space="0" w:color="auto"/>
                              <w:bottom w:val="nil"/>
                              <w:right w:val="single" w:sz="4" w:space="0" w:color="auto"/>
                            </w:tcBorders>
                            <w:shd w:val="clear" w:color="000000" w:fill="002060"/>
                            <w:noWrap/>
                            <w:vAlign w:val="bottom"/>
                            <w:hideMark/>
                          </w:tcPr>
                          <w:p w14:paraId="75CFBC84" w14:textId="77777777" w:rsidR="00BA68C1" w:rsidRPr="00BA68C1" w:rsidRDefault="00BA68C1" w:rsidP="00BA68C1">
                            <w:pPr>
                              <w:spacing w:after="0" w:line="240" w:lineRule="auto"/>
                              <w:jc w:val="right"/>
                              <w:rPr>
                                <w:rFonts w:ascii="Calibri" w:eastAsia="Times New Roman" w:hAnsi="Calibri" w:cs="Calibri"/>
                                <w:b/>
                                <w:bCs/>
                                <w:color w:val="FFFFFF"/>
                                <w:sz w:val="14"/>
                                <w:szCs w:val="14"/>
                                <w:lang w:val="en-GB" w:eastAsia="en-GB"/>
                              </w:rPr>
                            </w:pPr>
                            <w:r w:rsidRPr="00BA68C1">
                              <w:rPr>
                                <w:rFonts w:ascii="Calibri" w:eastAsia="Times New Roman" w:hAnsi="Calibri" w:cs="Calibri"/>
                                <w:b/>
                                <w:bCs/>
                                <w:color w:val="FFFFFF"/>
                                <w:sz w:val="14"/>
                                <w:szCs w:val="14"/>
                                <w:lang w:val="en-GB" w:eastAsia="en-GB"/>
                              </w:rPr>
                              <w:t> </w:t>
                            </w:r>
                          </w:p>
                        </w:tc>
                        <w:tc>
                          <w:tcPr>
                            <w:tcW w:w="624" w:type="dxa"/>
                            <w:tcBorders>
                              <w:top w:val="single" w:sz="4" w:space="0" w:color="auto"/>
                              <w:left w:val="nil"/>
                              <w:bottom w:val="nil"/>
                              <w:right w:val="single" w:sz="4" w:space="0" w:color="auto"/>
                            </w:tcBorders>
                            <w:shd w:val="clear" w:color="000000" w:fill="002060"/>
                            <w:noWrap/>
                            <w:vAlign w:val="bottom"/>
                            <w:hideMark/>
                          </w:tcPr>
                          <w:p w14:paraId="3D800206" w14:textId="77777777" w:rsidR="00BA68C1" w:rsidRPr="00BA68C1" w:rsidRDefault="00BA68C1" w:rsidP="00BA68C1">
                            <w:pPr>
                              <w:spacing w:after="0" w:line="240" w:lineRule="auto"/>
                              <w:jc w:val="right"/>
                              <w:rPr>
                                <w:rFonts w:ascii="Calibri" w:eastAsia="Times New Roman" w:hAnsi="Calibri" w:cs="Calibri"/>
                                <w:b/>
                                <w:bCs/>
                                <w:color w:val="FFFFFF"/>
                                <w:sz w:val="14"/>
                                <w:szCs w:val="14"/>
                                <w:lang w:val="en-GB" w:eastAsia="en-GB"/>
                              </w:rPr>
                            </w:pPr>
                            <w:r w:rsidRPr="00BA68C1">
                              <w:rPr>
                                <w:rFonts w:ascii="Calibri" w:eastAsia="Times New Roman" w:hAnsi="Calibri" w:cs="Calibri"/>
                                <w:b/>
                                <w:bCs/>
                                <w:color w:val="FFFFFF"/>
                                <w:sz w:val="14"/>
                                <w:szCs w:val="14"/>
                                <w:lang w:val="en-GB" w:eastAsia="en-GB"/>
                              </w:rPr>
                              <w:t>2022</w:t>
                            </w:r>
                          </w:p>
                        </w:tc>
                        <w:tc>
                          <w:tcPr>
                            <w:tcW w:w="649" w:type="dxa"/>
                            <w:tcBorders>
                              <w:top w:val="single" w:sz="4" w:space="0" w:color="auto"/>
                              <w:left w:val="nil"/>
                              <w:bottom w:val="nil"/>
                              <w:right w:val="single" w:sz="4" w:space="0" w:color="auto"/>
                            </w:tcBorders>
                            <w:shd w:val="clear" w:color="000000" w:fill="002060"/>
                            <w:noWrap/>
                            <w:vAlign w:val="bottom"/>
                            <w:hideMark/>
                          </w:tcPr>
                          <w:p w14:paraId="72DA7392" w14:textId="77777777" w:rsidR="00BA68C1" w:rsidRPr="00BA68C1" w:rsidRDefault="00BA68C1" w:rsidP="00BA68C1">
                            <w:pPr>
                              <w:spacing w:after="0" w:line="240" w:lineRule="auto"/>
                              <w:jc w:val="right"/>
                              <w:rPr>
                                <w:rFonts w:ascii="Calibri" w:eastAsia="Times New Roman" w:hAnsi="Calibri" w:cs="Calibri"/>
                                <w:b/>
                                <w:bCs/>
                                <w:color w:val="FFFFFF"/>
                                <w:sz w:val="14"/>
                                <w:szCs w:val="14"/>
                                <w:lang w:val="en-GB" w:eastAsia="en-GB"/>
                              </w:rPr>
                            </w:pPr>
                            <w:r w:rsidRPr="00BA68C1">
                              <w:rPr>
                                <w:rFonts w:ascii="Calibri" w:eastAsia="Times New Roman" w:hAnsi="Calibri" w:cs="Calibri"/>
                                <w:b/>
                                <w:bCs/>
                                <w:color w:val="FFFFFF"/>
                                <w:sz w:val="14"/>
                                <w:szCs w:val="14"/>
                                <w:lang w:val="en-GB" w:eastAsia="en-GB"/>
                              </w:rPr>
                              <w:t>2023E</w:t>
                            </w:r>
                          </w:p>
                        </w:tc>
                        <w:tc>
                          <w:tcPr>
                            <w:tcW w:w="649" w:type="dxa"/>
                            <w:tcBorders>
                              <w:top w:val="single" w:sz="4" w:space="0" w:color="auto"/>
                              <w:left w:val="nil"/>
                              <w:bottom w:val="nil"/>
                              <w:right w:val="single" w:sz="4" w:space="0" w:color="auto"/>
                            </w:tcBorders>
                            <w:shd w:val="clear" w:color="000000" w:fill="002060"/>
                            <w:noWrap/>
                            <w:vAlign w:val="bottom"/>
                            <w:hideMark/>
                          </w:tcPr>
                          <w:p w14:paraId="4190AE9C" w14:textId="77777777" w:rsidR="00BA68C1" w:rsidRPr="00BA68C1" w:rsidRDefault="00BA68C1" w:rsidP="00BA68C1">
                            <w:pPr>
                              <w:spacing w:after="0" w:line="240" w:lineRule="auto"/>
                              <w:jc w:val="right"/>
                              <w:rPr>
                                <w:rFonts w:ascii="Calibri" w:eastAsia="Times New Roman" w:hAnsi="Calibri" w:cs="Calibri"/>
                                <w:b/>
                                <w:bCs/>
                                <w:color w:val="FFFFFF"/>
                                <w:sz w:val="14"/>
                                <w:szCs w:val="14"/>
                                <w:lang w:val="en-GB" w:eastAsia="en-GB"/>
                              </w:rPr>
                            </w:pPr>
                            <w:r w:rsidRPr="00BA68C1">
                              <w:rPr>
                                <w:rFonts w:ascii="Calibri" w:eastAsia="Times New Roman" w:hAnsi="Calibri" w:cs="Calibri"/>
                                <w:b/>
                                <w:bCs/>
                                <w:color w:val="FFFFFF"/>
                                <w:sz w:val="14"/>
                                <w:szCs w:val="14"/>
                                <w:lang w:val="en-GB" w:eastAsia="en-GB"/>
                              </w:rPr>
                              <w:t>2024E</w:t>
                            </w:r>
                          </w:p>
                        </w:tc>
                        <w:tc>
                          <w:tcPr>
                            <w:tcW w:w="698" w:type="dxa"/>
                            <w:tcBorders>
                              <w:top w:val="single" w:sz="4" w:space="0" w:color="auto"/>
                              <w:left w:val="nil"/>
                              <w:bottom w:val="nil"/>
                              <w:right w:val="single" w:sz="4" w:space="0" w:color="auto"/>
                            </w:tcBorders>
                            <w:shd w:val="clear" w:color="000000" w:fill="002060"/>
                            <w:noWrap/>
                            <w:vAlign w:val="bottom"/>
                            <w:hideMark/>
                          </w:tcPr>
                          <w:p w14:paraId="66877933" w14:textId="77777777" w:rsidR="00BA68C1" w:rsidRPr="00BA68C1" w:rsidRDefault="00BA68C1" w:rsidP="00BA68C1">
                            <w:pPr>
                              <w:spacing w:after="0" w:line="240" w:lineRule="auto"/>
                              <w:jc w:val="right"/>
                              <w:rPr>
                                <w:rFonts w:ascii="Calibri" w:eastAsia="Times New Roman" w:hAnsi="Calibri" w:cs="Calibri"/>
                                <w:b/>
                                <w:bCs/>
                                <w:color w:val="FFFFFF"/>
                                <w:sz w:val="14"/>
                                <w:szCs w:val="14"/>
                                <w:lang w:val="en-GB" w:eastAsia="en-GB"/>
                              </w:rPr>
                            </w:pPr>
                            <w:r w:rsidRPr="00BA68C1">
                              <w:rPr>
                                <w:rFonts w:ascii="Calibri" w:eastAsia="Times New Roman" w:hAnsi="Calibri" w:cs="Calibri"/>
                                <w:b/>
                                <w:bCs/>
                                <w:color w:val="FFFFFF"/>
                                <w:sz w:val="14"/>
                                <w:szCs w:val="14"/>
                                <w:lang w:val="en-GB" w:eastAsia="en-GB"/>
                              </w:rPr>
                              <w:t>2025E</w:t>
                            </w:r>
                          </w:p>
                        </w:tc>
                      </w:tr>
                      <w:tr w:rsidR="00BA68C1" w:rsidRPr="00BA68C1" w14:paraId="5502E778" w14:textId="77777777" w:rsidTr="00BA68C1">
                        <w:trPr>
                          <w:trHeight w:val="328"/>
                        </w:trPr>
                        <w:tc>
                          <w:tcPr>
                            <w:tcW w:w="1121" w:type="dxa"/>
                            <w:tcBorders>
                              <w:top w:val="nil"/>
                              <w:left w:val="single" w:sz="4" w:space="0" w:color="auto"/>
                              <w:bottom w:val="nil"/>
                              <w:right w:val="single" w:sz="4" w:space="0" w:color="auto"/>
                            </w:tcBorders>
                            <w:shd w:val="clear" w:color="auto" w:fill="auto"/>
                            <w:noWrap/>
                            <w:vAlign w:val="bottom"/>
                            <w:hideMark/>
                          </w:tcPr>
                          <w:p w14:paraId="4CE1960C"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Revenue</w:t>
                            </w:r>
                          </w:p>
                        </w:tc>
                        <w:tc>
                          <w:tcPr>
                            <w:tcW w:w="624" w:type="dxa"/>
                            <w:tcBorders>
                              <w:top w:val="nil"/>
                              <w:left w:val="nil"/>
                              <w:bottom w:val="nil"/>
                              <w:right w:val="single" w:sz="4" w:space="0" w:color="auto"/>
                            </w:tcBorders>
                            <w:shd w:val="clear" w:color="auto" w:fill="auto"/>
                            <w:noWrap/>
                            <w:vAlign w:val="bottom"/>
                            <w:hideMark/>
                          </w:tcPr>
                          <w:p w14:paraId="05461DC2"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46,710</w:t>
                            </w:r>
                          </w:p>
                        </w:tc>
                        <w:tc>
                          <w:tcPr>
                            <w:tcW w:w="649" w:type="dxa"/>
                            <w:tcBorders>
                              <w:top w:val="nil"/>
                              <w:left w:val="nil"/>
                              <w:bottom w:val="nil"/>
                              <w:right w:val="single" w:sz="4" w:space="0" w:color="auto"/>
                            </w:tcBorders>
                            <w:shd w:val="clear" w:color="auto" w:fill="auto"/>
                            <w:noWrap/>
                            <w:vAlign w:val="bottom"/>
                            <w:hideMark/>
                          </w:tcPr>
                          <w:p w14:paraId="6DF05552"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48,999</w:t>
                            </w:r>
                          </w:p>
                        </w:tc>
                        <w:tc>
                          <w:tcPr>
                            <w:tcW w:w="649" w:type="dxa"/>
                            <w:tcBorders>
                              <w:top w:val="nil"/>
                              <w:left w:val="nil"/>
                              <w:bottom w:val="nil"/>
                              <w:right w:val="single" w:sz="4" w:space="0" w:color="auto"/>
                            </w:tcBorders>
                            <w:shd w:val="clear" w:color="auto" w:fill="auto"/>
                            <w:noWrap/>
                            <w:vAlign w:val="bottom"/>
                            <w:hideMark/>
                          </w:tcPr>
                          <w:p w14:paraId="38060D52"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51,400</w:t>
                            </w:r>
                          </w:p>
                        </w:tc>
                        <w:tc>
                          <w:tcPr>
                            <w:tcW w:w="698" w:type="dxa"/>
                            <w:tcBorders>
                              <w:top w:val="nil"/>
                              <w:left w:val="nil"/>
                              <w:bottom w:val="nil"/>
                              <w:right w:val="single" w:sz="4" w:space="0" w:color="auto"/>
                            </w:tcBorders>
                            <w:shd w:val="clear" w:color="auto" w:fill="auto"/>
                            <w:noWrap/>
                            <w:vAlign w:val="bottom"/>
                            <w:hideMark/>
                          </w:tcPr>
                          <w:p w14:paraId="5B39D73B"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53,918</w:t>
                            </w:r>
                          </w:p>
                        </w:tc>
                      </w:tr>
                      <w:tr w:rsidR="00BA68C1" w:rsidRPr="00BA68C1" w14:paraId="2DDC6A27" w14:textId="77777777" w:rsidTr="00BA68C1">
                        <w:trPr>
                          <w:trHeight w:val="328"/>
                        </w:trPr>
                        <w:tc>
                          <w:tcPr>
                            <w:tcW w:w="1121" w:type="dxa"/>
                            <w:tcBorders>
                              <w:top w:val="nil"/>
                              <w:left w:val="single" w:sz="4" w:space="0" w:color="auto"/>
                              <w:bottom w:val="nil"/>
                              <w:right w:val="single" w:sz="4" w:space="0" w:color="auto"/>
                            </w:tcBorders>
                            <w:shd w:val="clear" w:color="auto" w:fill="auto"/>
                            <w:noWrap/>
                            <w:vAlign w:val="bottom"/>
                            <w:hideMark/>
                          </w:tcPr>
                          <w:p w14:paraId="6B76DC27"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EBITDA</w:t>
                            </w:r>
                          </w:p>
                        </w:tc>
                        <w:tc>
                          <w:tcPr>
                            <w:tcW w:w="624" w:type="dxa"/>
                            <w:tcBorders>
                              <w:top w:val="nil"/>
                              <w:left w:val="nil"/>
                              <w:bottom w:val="nil"/>
                              <w:right w:val="single" w:sz="4" w:space="0" w:color="auto"/>
                            </w:tcBorders>
                            <w:shd w:val="clear" w:color="auto" w:fill="auto"/>
                            <w:noWrap/>
                            <w:vAlign w:val="bottom"/>
                            <w:hideMark/>
                          </w:tcPr>
                          <w:p w14:paraId="49E8C425"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7,573</w:t>
                            </w:r>
                          </w:p>
                        </w:tc>
                        <w:tc>
                          <w:tcPr>
                            <w:tcW w:w="649" w:type="dxa"/>
                            <w:tcBorders>
                              <w:top w:val="nil"/>
                              <w:left w:val="nil"/>
                              <w:bottom w:val="nil"/>
                              <w:right w:val="single" w:sz="4" w:space="0" w:color="auto"/>
                            </w:tcBorders>
                            <w:shd w:val="clear" w:color="auto" w:fill="auto"/>
                            <w:noWrap/>
                            <w:vAlign w:val="bottom"/>
                            <w:hideMark/>
                          </w:tcPr>
                          <w:p w14:paraId="01B9A293"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7,482</w:t>
                            </w:r>
                          </w:p>
                        </w:tc>
                        <w:tc>
                          <w:tcPr>
                            <w:tcW w:w="649" w:type="dxa"/>
                            <w:tcBorders>
                              <w:top w:val="nil"/>
                              <w:left w:val="nil"/>
                              <w:bottom w:val="nil"/>
                              <w:right w:val="single" w:sz="4" w:space="0" w:color="auto"/>
                            </w:tcBorders>
                            <w:shd w:val="clear" w:color="auto" w:fill="auto"/>
                            <w:noWrap/>
                            <w:vAlign w:val="bottom"/>
                            <w:hideMark/>
                          </w:tcPr>
                          <w:p w14:paraId="499EA0CB"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7,392</w:t>
                            </w:r>
                          </w:p>
                        </w:tc>
                        <w:tc>
                          <w:tcPr>
                            <w:tcW w:w="698" w:type="dxa"/>
                            <w:tcBorders>
                              <w:top w:val="nil"/>
                              <w:left w:val="nil"/>
                              <w:bottom w:val="nil"/>
                              <w:right w:val="single" w:sz="4" w:space="0" w:color="auto"/>
                            </w:tcBorders>
                            <w:shd w:val="clear" w:color="auto" w:fill="auto"/>
                            <w:noWrap/>
                            <w:vAlign w:val="bottom"/>
                            <w:hideMark/>
                          </w:tcPr>
                          <w:p w14:paraId="658B58D9"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7,304</w:t>
                            </w:r>
                          </w:p>
                        </w:tc>
                      </w:tr>
                      <w:tr w:rsidR="00BA68C1" w:rsidRPr="00BA68C1" w14:paraId="487EB767" w14:textId="77777777" w:rsidTr="00BA68C1">
                        <w:trPr>
                          <w:trHeight w:val="328"/>
                        </w:trPr>
                        <w:tc>
                          <w:tcPr>
                            <w:tcW w:w="1121" w:type="dxa"/>
                            <w:tcBorders>
                              <w:top w:val="nil"/>
                              <w:left w:val="single" w:sz="4" w:space="0" w:color="auto"/>
                              <w:bottom w:val="nil"/>
                              <w:right w:val="single" w:sz="4" w:space="0" w:color="auto"/>
                            </w:tcBorders>
                            <w:shd w:val="clear" w:color="auto" w:fill="auto"/>
                            <w:noWrap/>
                            <w:vAlign w:val="bottom"/>
                            <w:hideMark/>
                          </w:tcPr>
                          <w:p w14:paraId="7BE13487"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EPS</w:t>
                            </w:r>
                          </w:p>
                        </w:tc>
                        <w:tc>
                          <w:tcPr>
                            <w:tcW w:w="624" w:type="dxa"/>
                            <w:tcBorders>
                              <w:top w:val="nil"/>
                              <w:left w:val="nil"/>
                              <w:bottom w:val="nil"/>
                              <w:right w:val="single" w:sz="4" w:space="0" w:color="auto"/>
                            </w:tcBorders>
                            <w:shd w:val="clear" w:color="auto" w:fill="auto"/>
                            <w:noWrap/>
                            <w:vAlign w:val="bottom"/>
                            <w:hideMark/>
                          </w:tcPr>
                          <w:p w14:paraId="09A9217F"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3.75</w:t>
                            </w:r>
                          </w:p>
                        </w:tc>
                        <w:tc>
                          <w:tcPr>
                            <w:tcW w:w="649" w:type="dxa"/>
                            <w:tcBorders>
                              <w:top w:val="nil"/>
                              <w:left w:val="nil"/>
                              <w:bottom w:val="nil"/>
                              <w:right w:val="single" w:sz="4" w:space="0" w:color="auto"/>
                            </w:tcBorders>
                            <w:shd w:val="clear" w:color="auto" w:fill="auto"/>
                            <w:noWrap/>
                            <w:vAlign w:val="bottom"/>
                            <w:hideMark/>
                          </w:tcPr>
                          <w:p w14:paraId="3876C1C1"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3.17</w:t>
                            </w:r>
                          </w:p>
                        </w:tc>
                        <w:tc>
                          <w:tcPr>
                            <w:tcW w:w="649" w:type="dxa"/>
                            <w:tcBorders>
                              <w:top w:val="nil"/>
                              <w:left w:val="nil"/>
                              <w:bottom w:val="nil"/>
                              <w:right w:val="single" w:sz="4" w:space="0" w:color="auto"/>
                            </w:tcBorders>
                            <w:shd w:val="clear" w:color="auto" w:fill="auto"/>
                            <w:noWrap/>
                            <w:vAlign w:val="bottom"/>
                            <w:hideMark/>
                          </w:tcPr>
                          <w:p w14:paraId="3EF3E0EE"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3.14</w:t>
                            </w:r>
                          </w:p>
                        </w:tc>
                        <w:tc>
                          <w:tcPr>
                            <w:tcW w:w="698" w:type="dxa"/>
                            <w:tcBorders>
                              <w:top w:val="nil"/>
                              <w:left w:val="nil"/>
                              <w:bottom w:val="nil"/>
                              <w:right w:val="single" w:sz="4" w:space="0" w:color="auto"/>
                            </w:tcBorders>
                            <w:shd w:val="clear" w:color="auto" w:fill="auto"/>
                            <w:noWrap/>
                            <w:vAlign w:val="bottom"/>
                            <w:hideMark/>
                          </w:tcPr>
                          <w:p w14:paraId="2D08DFCE"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3.11</w:t>
                            </w:r>
                          </w:p>
                        </w:tc>
                      </w:tr>
                      <w:tr w:rsidR="00BA68C1" w:rsidRPr="00BA68C1" w14:paraId="2DF22356" w14:textId="77777777" w:rsidTr="00BA68C1">
                        <w:trPr>
                          <w:trHeight w:val="328"/>
                        </w:trPr>
                        <w:tc>
                          <w:tcPr>
                            <w:tcW w:w="1121" w:type="dxa"/>
                            <w:tcBorders>
                              <w:top w:val="nil"/>
                              <w:left w:val="single" w:sz="4" w:space="0" w:color="auto"/>
                              <w:bottom w:val="nil"/>
                              <w:right w:val="single" w:sz="4" w:space="0" w:color="auto"/>
                            </w:tcBorders>
                            <w:shd w:val="clear" w:color="auto" w:fill="auto"/>
                            <w:noWrap/>
                            <w:vAlign w:val="bottom"/>
                            <w:hideMark/>
                          </w:tcPr>
                          <w:p w14:paraId="404ED4E4"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Net debt (cash)</w:t>
                            </w:r>
                          </w:p>
                        </w:tc>
                        <w:tc>
                          <w:tcPr>
                            <w:tcW w:w="624" w:type="dxa"/>
                            <w:tcBorders>
                              <w:top w:val="nil"/>
                              <w:left w:val="nil"/>
                              <w:bottom w:val="nil"/>
                              <w:right w:val="single" w:sz="4" w:space="0" w:color="auto"/>
                            </w:tcBorders>
                            <w:shd w:val="clear" w:color="auto" w:fill="auto"/>
                            <w:noWrap/>
                            <w:vAlign w:val="bottom"/>
                            <w:hideMark/>
                          </w:tcPr>
                          <w:p w14:paraId="2B4A0CF1"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-3,935</w:t>
                            </w:r>
                          </w:p>
                        </w:tc>
                        <w:tc>
                          <w:tcPr>
                            <w:tcW w:w="649" w:type="dxa"/>
                            <w:tcBorders>
                              <w:top w:val="nil"/>
                              <w:left w:val="nil"/>
                              <w:bottom w:val="nil"/>
                              <w:right w:val="single" w:sz="4" w:space="0" w:color="auto"/>
                            </w:tcBorders>
                            <w:shd w:val="clear" w:color="auto" w:fill="auto"/>
                            <w:noWrap/>
                            <w:vAlign w:val="bottom"/>
                            <w:hideMark/>
                          </w:tcPr>
                          <w:p w14:paraId="52DF326C"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-2,522</w:t>
                            </w:r>
                          </w:p>
                        </w:tc>
                        <w:tc>
                          <w:tcPr>
                            <w:tcW w:w="649" w:type="dxa"/>
                            <w:tcBorders>
                              <w:top w:val="nil"/>
                              <w:left w:val="nil"/>
                              <w:bottom w:val="nil"/>
                              <w:right w:val="single" w:sz="4" w:space="0" w:color="auto"/>
                            </w:tcBorders>
                            <w:shd w:val="clear" w:color="auto" w:fill="auto"/>
                            <w:noWrap/>
                            <w:vAlign w:val="bottom"/>
                            <w:hideMark/>
                          </w:tcPr>
                          <w:p w14:paraId="579E2DE7"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183</w:t>
                            </w:r>
                          </w:p>
                        </w:tc>
                        <w:tc>
                          <w:tcPr>
                            <w:tcW w:w="698" w:type="dxa"/>
                            <w:tcBorders>
                              <w:top w:val="nil"/>
                              <w:left w:val="nil"/>
                              <w:bottom w:val="nil"/>
                              <w:right w:val="single" w:sz="4" w:space="0" w:color="auto"/>
                            </w:tcBorders>
                            <w:shd w:val="clear" w:color="auto" w:fill="auto"/>
                            <w:noWrap/>
                            <w:vAlign w:val="bottom"/>
                            <w:hideMark/>
                          </w:tcPr>
                          <w:p w14:paraId="6A53DA7F"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1,021</w:t>
                            </w:r>
                          </w:p>
                        </w:tc>
                      </w:tr>
                      <w:tr w:rsidR="00BA68C1" w:rsidRPr="00BA68C1" w14:paraId="0131FB54" w14:textId="77777777" w:rsidTr="00BA68C1">
                        <w:trPr>
                          <w:trHeight w:val="328"/>
                        </w:trPr>
                        <w:tc>
                          <w:tcPr>
                            <w:tcW w:w="1121" w:type="dxa"/>
                            <w:tcBorders>
                              <w:top w:val="nil"/>
                              <w:left w:val="single" w:sz="4" w:space="0" w:color="auto"/>
                              <w:bottom w:val="nil"/>
                              <w:right w:val="single" w:sz="4" w:space="0" w:color="auto"/>
                            </w:tcBorders>
                            <w:shd w:val="clear" w:color="auto" w:fill="auto"/>
                            <w:noWrap/>
                            <w:vAlign w:val="bottom"/>
                            <w:hideMark/>
                          </w:tcPr>
                          <w:p w14:paraId="3D4274FB"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FCFF</w:t>
                            </w:r>
                          </w:p>
                        </w:tc>
                        <w:tc>
                          <w:tcPr>
                            <w:tcW w:w="624" w:type="dxa"/>
                            <w:tcBorders>
                              <w:top w:val="nil"/>
                              <w:left w:val="nil"/>
                              <w:bottom w:val="nil"/>
                              <w:right w:val="single" w:sz="4" w:space="0" w:color="auto"/>
                            </w:tcBorders>
                            <w:shd w:val="clear" w:color="auto" w:fill="auto"/>
                            <w:noWrap/>
                            <w:vAlign w:val="bottom"/>
                            <w:hideMark/>
                          </w:tcPr>
                          <w:p w14:paraId="398E99C0"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6,537</w:t>
                            </w:r>
                          </w:p>
                        </w:tc>
                        <w:tc>
                          <w:tcPr>
                            <w:tcW w:w="649" w:type="dxa"/>
                            <w:tcBorders>
                              <w:top w:val="nil"/>
                              <w:left w:val="nil"/>
                              <w:bottom w:val="nil"/>
                              <w:right w:val="single" w:sz="4" w:space="0" w:color="auto"/>
                            </w:tcBorders>
                            <w:shd w:val="clear" w:color="auto" w:fill="auto"/>
                            <w:noWrap/>
                            <w:vAlign w:val="bottom"/>
                            <w:hideMark/>
                          </w:tcPr>
                          <w:p w14:paraId="2EAD290D"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7,121</w:t>
                            </w:r>
                          </w:p>
                        </w:tc>
                        <w:tc>
                          <w:tcPr>
                            <w:tcW w:w="649" w:type="dxa"/>
                            <w:tcBorders>
                              <w:top w:val="nil"/>
                              <w:left w:val="nil"/>
                              <w:bottom w:val="nil"/>
                              <w:right w:val="single" w:sz="4" w:space="0" w:color="auto"/>
                            </w:tcBorders>
                            <w:shd w:val="clear" w:color="auto" w:fill="auto"/>
                            <w:noWrap/>
                            <w:vAlign w:val="bottom"/>
                            <w:hideMark/>
                          </w:tcPr>
                          <w:p w14:paraId="440CAA72"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7,322</w:t>
                            </w:r>
                          </w:p>
                        </w:tc>
                        <w:tc>
                          <w:tcPr>
                            <w:tcW w:w="698" w:type="dxa"/>
                            <w:tcBorders>
                              <w:top w:val="nil"/>
                              <w:left w:val="nil"/>
                              <w:bottom w:val="nil"/>
                              <w:right w:val="single" w:sz="4" w:space="0" w:color="auto"/>
                            </w:tcBorders>
                            <w:shd w:val="clear" w:color="auto" w:fill="auto"/>
                            <w:noWrap/>
                            <w:vAlign w:val="bottom"/>
                            <w:hideMark/>
                          </w:tcPr>
                          <w:p w14:paraId="34F39F45"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7,522</w:t>
                            </w:r>
                          </w:p>
                        </w:tc>
                      </w:tr>
                      <w:tr w:rsidR="00BA68C1" w:rsidRPr="00BA68C1" w14:paraId="0C56E87F" w14:textId="77777777" w:rsidTr="00BA68C1">
                        <w:trPr>
                          <w:trHeight w:val="328"/>
                        </w:trPr>
                        <w:tc>
                          <w:tcPr>
                            <w:tcW w:w="1121" w:type="dxa"/>
                            <w:tcBorders>
                              <w:top w:val="nil"/>
                              <w:left w:val="single" w:sz="4" w:space="0" w:color="auto"/>
                              <w:bottom w:val="nil"/>
                              <w:right w:val="single" w:sz="4" w:space="0" w:color="auto"/>
                            </w:tcBorders>
                            <w:shd w:val="clear" w:color="auto" w:fill="auto"/>
                            <w:noWrap/>
                            <w:vAlign w:val="bottom"/>
                            <w:hideMark/>
                          </w:tcPr>
                          <w:p w14:paraId="75837026"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ROE</w:t>
                            </w:r>
                          </w:p>
                        </w:tc>
                        <w:tc>
                          <w:tcPr>
                            <w:tcW w:w="624" w:type="dxa"/>
                            <w:tcBorders>
                              <w:top w:val="nil"/>
                              <w:left w:val="nil"/>
                              <w:bottom w:val="nil"/>
                              <w:right w:val="single" w:sz="4" w:space="0" w:color="auto"/>
                            </w:tcBorders>
                            <w:shd w:val="clear" w:color="auto" w:fill="auto"/>
                            <w:noWrap/>
                            <w:vAlign w:val="bottom"/>
                            <w:hideMark/>
                          </w:tcPr>
                          <w:p w14:paraId="4E724935"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39.6%</w:t>
                            </w:r>
                          </w:p>
                        </w:tc>
                        <w:tc>
                          <w:tcPr>
                            <w:tcW w:w="649" w:type="dxa"/>
                            <w:tcBorders>
                              <w:top w:val="nil"/>
                              <w:left w:val="nil"/>
                              <w:bottom w:val="nil"/>
                              <w:right w:val="single" w:sz="4" w:space="0" w:color="auto"/>
                            </w:tcBorders>
                            <w:shd w:val="clear" w:color="auto" w:fill="auto"/>
                            <w:noWrap/>
                            <w:vAlign w:val="bottom"/>
                            <w:hideMark/>
                          </w:tcPr>
                          <w:p w14:paraId="116F4EBF"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42.9%</w:t>
                            </w:r>
                          </w:p>
                        </w:tc>
                        <w:tc>
                          <w:tcPr>
                            <w:tcW w:w="649" w:type="dxa"/>
                            <w:tcBorders>
                              <w:top w:val="nil"/>
                              <w:left w:val="nil"/>
                              <w:bottom w:val="nil"/>
                              <w:right w:val="single" w:sz="4" w:space="0" w:color="auto"/>
                            </w:tcBorders>
                            <w:shd w:val="clear" w:color="auto" w:fill="auto"/>
                            <w:noWrap/>
                            <w:vAlign w:val="bottom"/>
                            <w:hideMark/>
                          </w:tcPr>
                          <w:p w14:paraId="762CBCB7"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42.2%</w:t>
                            </w:r>
                          </w:p>
                        </w:tc>
                        <w:tc>
                          <w:tcPr>
                            <w:tcW w:w="698" w:type="dxa"/>
                            <w:tcBorders>
                              <w:top w:val="nil"/>
                              <w:left w:val="nil"/>
                              <w:bottom w:val="nil"/>
                              <w:right w:val="single" w:sz="4" w:space="0" w:color="auto"/>
                            </w:tcBorders>
                            <w:shd w:val="clear" w:color="auto" w:fill="auto"/>
                            <w:noWrap/>
                            <w:vAlign w:val="bottom"/>
                            <w:hideMark/>
                          </w:tcPr>
                          <w:p w14:paraId="2D50B5B0"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41.5%</w:t>
                            </w:r>
                          </w:p>
                        </w:tc>
                      </w:tr>
                      <w:tr w:rsidR="00BA68C1" w:rsidRPr="00BA68C1" w14:paraId="1CFB6032" w14:textId="77777777" w:rsidTr="00BA68C1">
                        <w:trPr>
                          <w:trHeight w:val="328"/>
                        </w:trPr>
                        <w:tc>
                          <w:tcPr>
                            <w:tcW w:w="1121" w:type="dxa"/>
                            <w:tcBorders>
                              <w:top w:val="nil"/>
                              <w:left w:val="single" w:sz="4" w:space="0" w:color="auto"/>
                              <w:bottom w:val="nil"/>
                              <w:right w:val="single" w:sz="4" w:space="0" w:color="auto"/>
                            </w:tcBorders>
                            <w:shd w:val="clear" w:color="auto" w:fill="auto"/>
                            <w:noWrap/>
                            <w:vAlign w:val="bottom"/>
                            <w:hideMark/>
                          </w:tcPr>
                          <w:p w14:paraId="7D221584"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P/E</w:t>
                            </w:r>
                          </w:p>
                        </w:tc>
                        <w:tc>
                          <w:tcPr>
                            <w:tcW w:w="624" w:type="dxa"/>
                            <w:tcBorders>
                              <w:top w:val="nil"/>
                              <w:left w:val="nil"/>
                              <w:bottom w:val="nil"/>
                              <w:right w:val="single" w:sz="4" w:space="0" w:color="auto"/>
                            </w:tcBorders>
                            <w:shd w:val="clear" w:color="auto" w:fill="auto"/>
                            <w:noWrap/>
                            <w:vAlign w:val="bottom"/>
                            <w:hideMark/>
                          </w:tcPr>
                          <w:p w14:paraId="1FA070CD"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30.83</w:t>
                            </w:r>
                          </w:p>
                        </w:tc>
                        <w:tc>
                          <w:tcPr>
                            <w:tcW w:w="649" w:type="dxa"/>
                            <w:tcBorders>
                              <w:top w:val="nil"/>
                              <w:left w:val="nil"/>
                              <w:bottom w:val="nil"/>
                              <w:right w:val="single" w:sz="4" w:space="0" w:color="auto"/>
                            </w:tcBorders>
                            <w:shd w:val="clear" w:color="auto" w:fill="auto"/>
                            <w:noWrap/>
                            <w:vAlign w:val="bottom"/>
                            <w:hideMark/>
                          </w:tcPr>
                          <w:p w14:paraId="69142816"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26.04</w:t>
                            </w:r>
                          </w:p>
                        </w:tc>
                        <w:tc>
                          <w:tcPr>
                            <w:tcW w:w="649" w:type="dxa"/>
                            <w:tcBorders>
                              <w:top w:val="nil"/>
                              <w:left w:val="nil"/>
                              <w:bottom w:val="nil"/>
                              <w:right w:val="single" w:sz="4" w:space="0" w:color="auto"/>
                            </w:tcBorders>
                            <w:shd w:val="clear" w:color="auto" w:fill="auto"/>
                            <w:noWrap/>
                            <w:vAlign w:val="bottom"/>
                            <w:hideMark/>
                          </w:tcPr>
                          <w:p w14:paraId="4552B600"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26.29</w:t>
                            </w:r>
                          </w:p>
                        </w:tc>
                        <w:tc>
                          <w:tcPr>
                            <w:tcW w:w="698" w:type="dxa"/>
                            <w:tcBorders>
                              <w:top w:val="nil"/>
                              <w:left w:val="nil"/>
                              <w:bottom w:val="nil"/>
                              <w:right w:val="single" w:sz="4" w:space="0" w:color="auto"/>
                            </w:tcBorders>
                            <w:shd w:val="clear" w:color="auto" w:fill="auto"/>
                            <w:noWrap/>
                            <w:vAlign w:val="bottom"/>
                            <w:hideMark/>
                          </w:tcPr>
                          <w:p w14:paraId="111CE7F5"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26.55</w:t>
                            </w:r>
                          </w:p>
                        </w:tc>
                      </w:tr>
                      <w:tr w:rsidR="00BA68C1" w:rsidRPr="00BA68C1" w14:paraId="5197113C" w14:textId="77777777" w:rsidTr="00BA68C1">
                        <w:trPr>
                          <w:trHeight w:val="328"/>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72A62EDC"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EV/EBITDA</w:t>
                            </w:r>
                          </w:p>
                        </w:tc>
                        <w:tc>
                          <w:tcPr>
                            <w:tcW w:w="624" w:type="dxa"/>
                            <w:tcBorders>
                              <w:top w:val="nil"/>
                              <w:left w:val="nil"/>
                              <w:bottom w:val="single" w:sz="4" w:space="0" w:color="auto"/>
                              <w:right w:val="single" w:sz="4" w:space="0" w:color="auto"/>
                            </w:tcBorders>
                            <w:shd w:val="clear" w:color="auto" w:fill="auto"/>
                            <w:noWrap/>
                            <w:vAlign w:val="bottom"/>
                            <w:hideMark/>
                          </w:tcPr>
                          <w:p w14:paraId="6C609FCF"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24.00</w:t>
                            </w:r>
                          </w:p>
                        </w:tc>
                        <w:tc>
                          <w:tcPr>
                            <w:tcW w:w="649" w:type="dxa"/>
                            <w:tcBorders>
                              <w:top w:val="nil"/>
                              <w:left w:val="nil"/>
                              <w:bottom w:val="single" w:sz="4" w:space="0" w:color="auto"/>
                              <w:right w:val="single" w:sz="4" w:space="0" w:color="auto"/>
                            </w:tcBorders>
                            <w:shd w:val="clear" w:color="auto" w:fill="auto"/>
                            <w:noWrap/>
                            <w:vAlign w:val="bottom"/>
                            <w:hideMark/>
                          </w:tcPr>
                          <w:p w14:paraId="51DFCBFF"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16.48</w:t>
                            </w:r>
                          </w:p>
                        </w:tc>
                        <w:tc>
                          <w:tcPr>
                            <w:tcW w:w="649" w:type="dxa"/>
                            <w:tcBorders>
                              <w:top w:val="nil"/>
                              <w:left w:val="nil"/>
                              <w:bottom w:val="single" w:sz="4" w:space="0" w:color="auto"/>
                              <w:right w:val="single" w:sz="4" w:space="0" w:color="auto"/>
                            </w:tcBorders>
                            <w:shd w:val="clear" w:color="auto" w:fill="auto"/>
                            <w:noWrap/>
                            <w:vAlign w:val="bottom"/>
                            <w:hideMark/>
                          </w:tcPr>
                          <w:p w14:paraId="11A1E2F6"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17.41</w:t>
                            </w:r>
                          </w:p>
                        </w:tc>
                        <w:tc>
                          <w:tcPr>
                            <w:tcW w:w="698" w:type="dxa"/>
                            <w:tcBorders>
                              <w:top w:val="nil"/>
                              <w:left w:val="nil"/>
                              <w:bottom w:val="single" w:sz="4" w:space="0" w:color="auto"/>
                              <w:right w:val="single" w:sz="4" w:space="0" w:color="auto"/>
                            </w:tcBorders>
                            <w:shd w:val="clear" w:color="auto" w:fill="auto"/>
                            <w:noWrap/>
                            <w:vAlign w:val="bottom"/>
                            <w:hideMark/>
                          </w:tcPr>
                          <w:p w14:paraId="0A8CAB5F"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17.85</w:t>
                            </w:r>
                          </w:p>
                        </w:tc>
                      </w:tr>
                      <w:tr w:rsidR="00BA68C1" w:rsidRPr="00BA68C1" w14:paraId="7F4A06F7" w14:textId="77777777" w:rsidTr="00BA68C1">
                        <w:trPr>
                          <w:trHeight w:val="328"/>
                        </w:trPr>
                        <w:tc>
                          <w:tcPr>
                            <w:tcW w:w="1121" w:type="dxa"/>
                            <w:tcBorders>
                              <w:top w:val="nil"/>
                              <w:left w:val="single" w:sz="4" w:space="0" w:color="auto"/>
                              <w:bottom w:val="single" w:sz="4" w:space="0" w:color="auto"/>
                              <w:right w:val="single" w:sz="4" w:space="0" w:color="auto"/>
                            </w:tcBorders>
                            <w:shd w:val="clear" w:color="auto" w:fill="002060"/>
                            <w:noWrap/>
                            <w:vAlign w:val="bottom"/>
                            <w:hideMark/>
                          </w:tcPr>
                          <w:p w14:paraId="428518EC" w14:textId="77777777" w:rsidR="00BA68C1" w:rsidRPr="00BA68C1" w:rsidRDefault="00BA68C1" w:rsidP="00BA68C1">
                            <w:pPr>
                              <w:spacing w:after="0" w:line="240" w:lineRule="auto"/>
                              <w:rPr>
                                <w:rFonts w:ascii="Calibri" w:eastAsia="Times New Roman" w:hAnsi="Calibri" w:cs="Calibri"/>
                                <w:b/>
                                <w:bCs/>
                                <w:color w:val="FFFFFF" w:themeColor="background1"/>
                                <w:sz w:val="14"/>
                                <w:szCs w:val="14"/>
                                <w:lang w:val="en-GB" w:eastAsia="en-GB"/>
                              </w:rPr>
                            </w:pPr>
                            <w:r w:rsidRPr="00BA68C1">
                              <w:rPr>
                                <w:rFonts w:ascii="Calibri" w:eastAsia="Times New Roman" w:hAnsi="Calibri" w:cs="Calibri"/>
                                <w:b/>
                                <w:bCs/>
                                <w:color w:val="FFFFFF" w:themeColor="background1"/>
                                <w:sz w:val="14"/>
                                <w:szCs w:val="14"/>
                                <w:lang w:val="en-GB" w:eastAsia="en-GB"/>
                              </w:rPr>
                              <w:t> </w:t>
                            </w:r>
                          </w:p>
                        </w:tc>
                        <w:tc>
                          <w:tcPr>
                            <w:tcW w:w="624" w:type="dxa"/>
                            <w:tcBorders>
                              <w:top w:val="nil"/>
                              <w:left w:val="nil"/>
                              <w:bottom w:val="single" w:sz="4" w:space="0" w:color="auto"/>
                              <w:right w:val="single" w:sz="4" w:space="0" w:color="auto"/>
                            </w:tcBorders>
                            <w:shd w:val="clear" w:color="auto" w:fill="002060"/>
                            <w:noWrap/>
                            <w:vAlign w:val="bottom"/>
                            <w:hideMark/>
                          </w:tcPr>
                          <w:p w14:paraId="0719F5B9" w14:textId="77777777" w:rsidR="00BA68C1" w:rsidRPr="00BA68C1" w:rsidRDefault="00BA68C1" w:rsidP="00BA68C1">
                            <w:pPr>
                              <w:spacing w:after="0" w:line="240" w:lineRule="auto"/>
                              <w:jc w:val="right"/>
                              <w:rPr>
                                <w:rFonts w:ascii="Calibri" w:eastAsia="Times New Roman" w:hAnsi="Calibri" w:cs="Calibri"/>
                                <w:b/>
                                <w:bCs/>
                                <w:color w:val="FFFFFF" w:themeColor="background1"/>
                                <w:sz w:val="14"/>
                                <w:szCs w:val="14"/>
                                <w:lang w:val="en-GB" w:eastAsia="en-GB"/>
                              </w:rPr>
                            </w:pPr>
                            <w:r w:rsidRPr="00BA68C1">
                              <w:rPr>
                                <w:rFonts w:ascii="Calibri" w:eastAsia="Times New Roman" w:hAnsi="Calibri" w:cs="Calibri"/>
                                <w:b/>
                                <w:bCs/>
                                <w:color w:val="FFFFFF" w:themeColor="background1"/>
                                <w:sz w:val="14"/>
                                <w:szCs w:val="14"/>
                                <w:lang w:val="en-GB" w:eastAsia="en-GB"/>
                              </w:rPr>
                              <w:t>2022</w:t>
                            </w:r>
                          </w:p>
                        </w:tc>
                        <w:tc>
                          <w:tcPr>
                            <w:tcW w:w="649" w:type="dxa"/>
                            <w:tcBorders>
                              <w:top w:val="nil"/>
                              <w:left w:val="nil"/>
                              <w:bottom w:val="single" w:sz="4" w:space="0" w:color="auto"/>
                              <w:right w:val="single" w:sz="4" w:space="0" w:color="auto"/>
                            </w:tcBorders>
                            <w:shd w:val="clear" w:color="auto" w:fill="002060"/>
                            <w:noWrap/>
                            <w:vAlign w:val="bottom"/>
                            <w:hideMark/>
                          </w:tcPr>
                          <w:p w14:paraId="09F46179" w14:textId="77777777" w:rsidR="00BA68C1" w:rsidRPr="00BA68C1" w:rsidRDefault="00BA68C1" w:rsidP="00BA68C1">
                            <w:pPr>
                              <w:spacing w:after="0" w:line="240" w:lineRule="auto"/>
                              <w:jc w:val="right"/>
                              <w:rPr>
                                <w:rFonts w:ascii="Calibri" w:eastAsia="Times New Roman" w:hAnsi="Calibri" w:cs="Calibri"/>
                                <w:b/>
                                <w:bCs/>
                                <w:color w:val="FFFFFF" w:themeColor="background1"/>
                                <w:sz w:val="14"/>
                                <w:szCs w:val="14"/>
                                <w:lang w:val="en-GB" w:eastAsia="en-GB"/>
                              </w:rPr>
                            </w:pPr>
                            <w:r w:rsidRPr="00BA68C1">
                              <w:rPr>
                                <w:rFonts w:ascii="Calibri" w:eastAsia="Times New Roman" w:hAnsi="Calibri" w:cs="Calibri"/>
                                <w:b/>
                                <w:bCs/>
                                <w:color w:val="FFFFFF" w:themeColor="background1"/>
                                <w:sz w:val="14"/>
                                <w:szCs w:val="14"/>
                                <w:lang w:val="en-GB" w:eastAsia="en-GB"/>
                              </w:rPr>
                              <w:t>2023E</w:t>
                            </w:r>
                          </w:p>
                        </w:tc>
                        <w:tc>
                          <w:tcPr>
                            <w:tcW w:w="649" w:type="dxa"/>
                            <w:tcBorders>
                              <w:top w:val="nil"/>
                              <w:left w:val="nil"/>
                              <w:bottom w:val="single" w:sz="4" w:space="0" w:color="auto"/>
                              <w:right w:val="single" w:sz="4" w:space="0" w:color="auto"/>
                            </w:tcBorders>
                            <w:shd w:val="clear" w:color="auto" w:fill="002060"/>
                            <w:noWrap/>
                            <w:vAlign w:val="bottom"/>
                            <w:hideMark/>
                          </w:tcPr>
                          <w:p w14:paraId="7F4C1953" w14:textId="77777777" w:rsidR="00BA68C1" w:rsidRPr="00BA68C1" w:rsidRDefault="00BA68C1" w:rsidP="00BA68C1">
                            <w:pPr>
                              <w:spacing w:after="0" w:line="240" w:lineRule="auto"/>
                              <w:jc w:val="right"/>
                              <w:rPr>
                                <w:rFonts w:ascii="Calibri" w:eastAsia="Times New Roman" w:hAnsi="Calibri" w:cs="Calibri"/>
                                <w:b/>
                                <w:bCs/>
                                <w:color w:val="FFFFFF" w:themeColor="background1"/>
                                <w:sz w:val="14"/>
                                <w:szCs w:val="14"/>
                                <w:lang w:val="en-GB" w:eastAsia="en-GB"/>
                              </w:rPr>
                            </w:pPr>
                            <w:r w:rsidRPr="00BA68C1">
                              <w:rPr>
                                <w:rFonts w:ascii="Calibri" w:eastAsia="Times New Roman" w:hAnsi="Calibri" w:cs="Calibri"/>
                                <w:b/>
                                <w:bCs/>
                                <w:color w:val="FFFFFF" w:themeColor="background1"/>
                                <w:sz w:val="14"/>
                                <w:szCs w:val="14"/>
                                <w:lang w:val="en-GB" w:eastAsia="en-GB"/>
                              </w:rPr>
                              <w:t>2024E</w:t>
                            </w:r>
                          </w:p>
                        </w:tc>
                        <w:tc>
                          <w:tcPr>
                            <w:tcW w:w="698" w:type="dxa"/>
                            <w:tcBorders>
                              <w:top w:val="nil"/>
                              <w:left w:val="nil"/>
                              <w:bottom w:val="single" w:sz="4" w:space="0" w:color="auto"/>
                              <w:right w:val="single" w:sz="4" w:space="0" w:color="auto"/>
                            </w:tcBorders>
                            <w:shd w:val="clear" w:color="auto" w:fill="002060"/>
                            <w:noWrap/>
                            <w:vAlign w:val="bottom"/>
                            <w:hideMark/>
                          </w:tcPr>
                          <w:p w14:paraId="2574721A" w14:textId="77777777" w:rsidR="00BA68C1" w:rsidRPr="00BA68C1" w:rsidRDefault="00BA68C1" w:rsidP="00BA68C1">
                            <w:pPr>
                              <w:spacing w:after="0" w:line="240" w:lineRule="auto"/>
                              <w:jc w:val="right"/>
                              <w:rPr>
                                <w:rFonts w:ascii="Calibri" w:eastAsia="Times New Roman" w:hAnsi="Calibri" w:cs="Calibri"/>
                                <w:b/>
                                <w:bCs/>
                                <w:color w:val="FFFFFF" w:themeColor="background1"/>
                                <w:sz w:val="14"/>
                                <w:szCs w:val="14"/>
                                <w:lang w:val="en-GB" w:eastAsia="en-GB"/>
                              </w:rPr>
                            </w:pPr>
                            <w:r w:rsidRPr="00BA68C1">
                              <w:rPr>
                                <w:rFonts w:ascii="Calibri" w:eastAsia="Times New Roman" w:hAnsi="Calibri" w:cs="Calibri"/>
                                <w:b/>
                                <w:bCs/>
                                <w:color w:val="FFFFFF" w:themeColor="background1"/>
                                <w:sz w:val="14"/>
                                <w:szCs w:val="14"/>
                                <w:lang w:val="en-GB" w:eastAsia="en-GB"/>
                              </w:rPr>
                              <w:t>2025E</w:t>
                            </w:r>
                          </w:p>
                        </w:tc>
                      </w:tr>
                      <w:tr w:rsidR="00BA68C1" w:rsidRPr="00BA68C1" w14:paraId="476999A2" w14:textId="77777777" w:rsidTr="00BA68C1">
                        <w:trPr>
                          <w:trHeight w:val="328"/>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55FA226C"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Sales growth (%)</w:t>
                            </w:r>
                          </w:p>
                        </w:tc>
                        <w:tc>
                          <w:tcPr>
                            <w:tcW w:w="624" w:type="dxa"/>
                            <w:tcBorders>
                              <w:top w:val="nil"/>
                              <w:left w:val="nil"/>
                              <w:bottom w:val="single" w:sz="4" w:space="0" w:color="auto"/>
                              <w:right w:val="single" w:sz="4" w:space="0" w:color="auto"/>
                            </w:tcBorders>
                            <w:shd w:val="clear" w:color="auto" w:fill="auto"/>
                            <w:noWrap/>
                            <w:vAlign w:val="bottom"/>
                            <w:hideMark/>
                          </w:tcPr>
                          <w:p w14:paraId="78076A43"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4.9%</w:t>
                            </w:r>
                          </w:p>
                        </w:tc>
                        <w:tc>
                          <w:tcPr>
                            <w:tcW w:w="649" w:type="dxa"/>
                            <w:tcBorders>
                              <w:top w:val="nil"/>
                              <w:left w:val="nil"/>
                              <w:bottom w:val="single" w:sz="4" w:space="0" w:color="auto"/>
                              <w:right w:val="single" w:sz="4" w:space="0" w:color="auto"/>
                            </w:tcBorders>
                            <w:shd w:val="clear" w:color="auto" w:fill="auto"/>
                            <w:noWrap/>
                            <w:vAlign w:val="bottom"/>
                            <w:hideMark/>
                          </w:tcPr>
                          <w:p w14:paraId="4F849529"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4.9%</w:t>
                            </w:r>
                          </w:p>
                        </w:tc>
                        <w:tc>
                          <w:tcPr>
                            <w:tcW w:w="649" w:type="dxa"/>
                            <w:tcBorders>
                              <w:top w:val="nil"/>
                              <w:left w:val="nil"/>
                              <w:bottom w:val="single" w:sz="4" w:space="0" w:color="auto"/>
                              <w:right w:val="single" w:sz="4" w:space="0" w:color="auto"/>
                            </w:tcBorders>
                            <w:shd w:val="clear" w:color="auto" w:fill="auto"/>
                            <w:noWrap/>
                            <w:vAlign w:val="bottom"/>
                            <w:hideMark/>
                          </w:tcPr>
                          <w:p w14:paraId="2C5B134C"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4.9%</w:t>
                            </w:r>
                          </w:p>
                        </w:tc>
                        <w:tc>
                          <w:tcPr>
                            <w:tcW w:w="698" w:type="dxa"/>
                            <w:tcBorders>
                              <w:top w:val="nil"/>
                              <w:left w:val="nil"/>
                              <w:bottom w:val="single" w:sz="4" w:space="0" w:color="auto"/>
                              <w:right w:val="single" w:sz="4" w:space="0" w:color="auto"/>
                            </w:tcBorders>
                            <w:shd w:val="clear" w:color="auto" w:fill="auto"/>
                            <w:noWrap/>
                            <w:vAlign w:val="bottom"/>
                            <w:hideMark/>
                          </w:tcPr>
                          <w:p w14:paraId="3D001670"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4.9%</w:t>
                            </w:r>
                          </w:p>
                        </w:tc>
                      </w:tr>
                      <w:tr w:rsidR="00BA68C1" w:rsidRPr="00BA68C1" w14:paraId="363F5738" w14:textId="77777777" w:rsidTr="00BA68C1">
                        <w:trPr>
                          <w:trHeight w:val="328"/>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3937B89D"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EBIT growth (%)</w:t>
                            </w:r>
                          </w:p>
                        </w:tc>
                        <w:tc>
                          <w:tcPr>
                            <w:tcW w:w="624" w:type="dxa"/>
                            <w:tcBorders>
                              <w:top w:val="nil"/>
                              <w:left w:val="nil"/>
                              <w:bottom w:val="single" w:sz="4" w:space="0" w:color="auto"/>
                              <w:right w:val="single" w:sz="4" w:space="0" w:color="auto"/>
                            </w:tcBorders>
                            <w:shd w:val="clear" w:color="auto" w:fill="auto"/>
                            <w:noWrap/>
                            <w:vAlign w:val="bottom"/>
                            <w:hideMark/>
                          </w:tcPr>
                          <w:p w14:paraId="29B233EE"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-1.0%</w:t>
                            </w:r>
                          </w:p>
                        </w:tc>
                        <w:tc>
                          <w:tcPr>
                            <w:tcW w:w="649" w:type="dxa"/>
                            <w:tcBorders>
                              <w:top w:val="nil"/>
                              <w:left w:val="nil"/>
                              <w:bottom w:val="single" w:sz="4" w:space="0" w:color="auto"/>
                              <w:right w:val="single" w:sz="4" w:space="0" w:color="auto"/>
                            </w:tcBorders>
                            <w:shd w:val="clear" w:color="auto" w:fill="auto"/>
                            <w:noWrap/>
                            <w:vAlign w:val="bottom"/>
                            <w:hideMark/>
                          </w:tcPr>
                          <w:p w14:paraId="347F0395"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-1.0%</w:t>
                            </w:r>
                          </w:p>
                        </w:tc>
                        <w:tc>
                          <w:tcPr>
                            <w:tcW w:w="649" w:type="dxa"/>
                            <w:tcBorders>
                              <w:top w:val="nil"/>
                              <w:left w:val="nil"/>
                              <w:bottom w:val="single" w:sz="4" w:space="0" w:color="auto"/>
                              <w:right w:val="single" w:sz="4" w:space="0" w:color="auto"/>
                            </w:tcBorders>
                            <w:shd w:val="clear" w:color="auto" w:fill="auto"/>
                            <w:noWrap/>
                            <w:vAlign w:val="bottom"/>
                            <w:hideMark/>
                          </w:tcPr>
                          <w:p w14:paraId="07B947F8"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-1.0%</w:t>
                            </w:r>
                          </w:p>
                        </w:tc>
                        <w:tc>
                          <w:tcPr>
                            <w:tcW w:w="698" w:type="dxa"/>
                            <w:tcBorders>
                              <w:top w:val="nil"/>
                              <w:left w:val="nil"/>
                              <w:bottom w:val="single" w:sz="4" w:space="0" w:color="auto"/>
                              <w:right w:val="single" w:sz="4" w:space="0" w:color="auto"/>
                            </w:tcBorders>
                            <w:shd w:val="clear" w:color="auto" w:fill="auto"/>
                            <w:noWrap/>
                            <w:vAlign w:val="bottom"/>
                            <w:hideMark/>
                          </w:tcPr>
                          <w:p w14:paraId="6A0AAA97"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-1.0%</w:t>
                            </w:r>
                          </w:p>
                        </w:tc>
                      </w:tr>
                      <w:tr w:rsidR="00BA68C1" w:rsidRPr="00BA68C1" w14:paraId="6C7C4C4E" w14:textId="77777777" w:rsidTr="00BA68C1">
                        <w:trPr>
                          <w:trHeight w:val="328"/>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3701DC8E"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Net profit growth (%)</w:t>
                            </w:r>
                          </w:p>
                        </w:tc>
                        <w:tc>
                          <w:tcPr>
                            <w:tcW w:w="624" w:type="dxa"/>
                            <w:tcBorders>
                              <w:top w:val="nil"/>
                              <w:left w:val="nil"/>
                              <w:bottom w:val="single" w:sz="4" w:space="0" w:color="auto"/>
                              <w:right w:val="single" w:sz="4" w:space="0" w:color="auto"/>
                            </w:tcBorders>
                            <w:shd w:val="clear" w:color="auto" w:fill="auto"/>
                            <w:noWrap/>
                            <w:vAlign w:val="bottom"/>
                            <w:hideMark/>
                          </w:tcPr>
                          <w:p w14:paraId="5D770BED"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5.57%</w:t>
                            </w:r>
                          </w:p>
                        </w:tc>
                        <w:tc>
                          <w:tcPr>
                            <w:tcW w:w="649" w:type="dxa"/>
                            <w:tcBorders>
                              <w:top w:val="nil"/>
                              <w:left w:val="nil"/>
                              <w:bottom w:val="single" w:sz="4" w:space="0" w:color="auto"/>
                              <w:right w:val="single" w:sz="4" w:space="0" w:color="auto"/>
                            </w:tcBorders>
                            <w:shd w:val="clear" w:color="auto" w:fill="auto"/>
                            <w:noWrap/>
                            <w:vAlign w:val="bottom"/>
                            <w:hideMark/>
                          </w:tcPr>
                          <w:p w14:paraId="3B1162DB"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-15.56%</w:t>
                            </w:r>
                          </w:p>
                        </w:tc>
                        <w:tc>
                          <w:tcPr>
                            <w:tcW w:w="649" w:type="dxa"/>
                            <w:tcBorders>
                              <w:top w:val="nil"/>
                              <w:left w:val="nil"/>
                              <w:bottom w:val="single" w:sz="4" w:space="0" w:color="auto"/>
                              <w:right w:val="single" w:sz="4" w:space="0" w:color="auto"/>
                            </w:tcBorders>
                            <w:shd w:val="clear" w:color="auto" w:fill="auto"/>
                            <w:noWrap/>
                            <w:vAlign w:val="bottom"/>
                            <w:hideMark/>
                          </w:tcPr>
                          <w:p w14:paraId="250A4AA5"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-0.98%</w:t>
                            </w:r>
                          </w:p>
                        </w:tc>
                        <w:tc>
                          <w:tcPr>
                            <w:tcW w:w="698" w:type="dxa"/>
                            <w:tcBorders>
                              <w:top w:val="nil"/>
                              <w:left w:val="nil"/>
                              <w:bottom w:val="single" w:sz="4" w:space="0" w:color="auto"/>
                              <w:right w:val="single" w:sz="4" w:space="0" w:color="auto"/>
                            </w:tcBorders>
                            <w:shd w:val="clear" w:color="auto" w:fill="auto"/>
                            <w:noWrap/>
                            <w:vAlign w:val="bottom"/>
                            <w:hideMark/>
                          </w:tcPr>
                          <w:p w14:paraId="16DE62AD"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-0.99%</w:t>
                            </w:r>
                          </w:p>
                        </w:tc>
                      </w:tr>
                      <w:tr w:rsidR="00BA68C1" w:rsidRPr="00BA68C1" w14:paraId="0B379FA1" w14:textId="77777777" w:rsidTr="00BA68C1">
                        <w:trPr>
                          <w:trHeight w:val="328"/>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778834C8"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EPS growth (%)</w:t>
                            </w:r>
                          </w:p>
                        </w:tc>
                        <w:tc>
                          <w:tcPr>
                            <w:tcW w:w="624" w:type="dxa"/>
                            <w:tcBorders>
                              <w:top w:val="nil"/>
                              <w:left w:val="nil"/>
                              <w:bottom w:val="single" w:sz="4" w:space="0" w:color="auto"/>
                              <w:right w:val="single" w:sz="4" w:space="0" w:color="auto"/>
                            </w:tcBorders>
                            <w:shd w:val="clear" w:color="auto" w:fill="auto"/>
                            <w:noWrap/>
                            <w:vAlign w:val="bottom"/>
                            <w:hideMark/>
                          </w:tcPr>
                          <w:p w14:paraId="3F5DE4CD"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5.34%</w:t>
                            </w:r>
                          </w:p>
                        </w:tc>
                        <w:tc>
                          <w:tcPr>
                            <w:tcW w:w="649" w:type="dxa"/>
                            <w:tcBorders>
                              <w:top w:val="nil"/>
                              <w:left w:val="nil"/>
                              <w:bottom w:val="single" w:sz="4" w:space="0" w:color="auto"/>
                              <w:right w:val="single" w:sz="4" w:space="0" w:color="auto"/>
                            </w:tcBorders>
                            <w:shd w:val="clear" w:color="auto" w:fill="auto"/>
                            <w:noWrap/>
                            <w:vAlign w:val="bottom"/>
                            <w:hideMark/>
                          </w:tcPr>
                          <w:p w14:paraId="101F67F7"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-15.47%</w:t>
                            </w:r>
                          </w:p>
                        </w:tc>
                        <w:tc>
                          <w:tcPr>
                            <w:tcW w:w="649" w:type="dxa"/>
                            <w:tcBorders>
                              <w:top w:val="nil"/>
                              <w:left w:val="nil"/>
                              <w:bottom w:val="single" w:sz="4" w:space="0" w:color="auto"/>
                              <w:right w:val="single" w:sz="4" w:space="0" w:color="auto"/>
                            </w:tcBorders>
                            <w:shd w:val="clear" w:color="auto" w:fill="auto"/>
                            <w:noWrap/>
                            <w:vAlign w:val="bottom"/>
                            <w:hideMark/>
                          </w:tcPr>
                          <w:p w14:paraId="1FE419E4"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-0.95%</w:t>
                            </w:r>
                          </w:p>
                        </w:tc>
                        <w:tc>
                          <w:tcPr>
                            <w:tcW w:w="698" w:type="dxa"/>
                            <w:tcBorders>
                              <w:top w:val="nil"/>
                              <w:left w:val="nil"/>
                              <w:bottom w:val="single" w:sz="4" w:space="0" w:color="auto"/>
                              <w:right w:val="single" w:sz="4" w:space="0" w:color="auto"/>
                            </w:tcBorders>
                            <w:shd w:val="clear" w:color="auto" w:fill="auto"/>
                            <w:noWrap/>
                            <w:vAlign w:val="bottom"/>
                            <w:hideMark/>
                          </w:tcPr>
                          <w:p w14:paraId="0CC20B49"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-0.96%</w:t>
                            </w:r>
                          </w:p>
                        </w:tc>
                      </w:tr>
                      <w:tr w:rsidR="00BA68C1" w:rsidRPr="00BA68C1" w14:paraId="26CCC617" w14:textId="77777777" w:rsidTr="00BA68C1">
                        <w:trPr>
                          <w:trHeight w:val="328"/>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6FF38820"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EBITDA margin (%)</w:t>
                            </w:r>
                          </w:p>
                        </w:tc>
                        <w:tc>
                          <w:tcPr>
                            <w:tcW w:w="624" w:type="dxa"/>
                            <w:tcBorders>
                              <w:top w:val="nil"/>
                              <w:left w:val="nil"/>
                              <w:bottom w:val="single" w:sz="4" w:space="0" w:color="auto"/>
                              <w:right w:val="single" w:sz="4" w:space="0" w:color="auto"/>
                            </w:tcBorders>
                            <w:shd w:val="clear" w:color="auto" w:fill="auto"/>
                            <w:noWrap/>
                            <w:vAlign w:val="bottom"/>
                            <w:hideMark/>
                          </w:tcPr>
                          <w:p w14:paraId="6CBA2D02"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16.21%</w:t>
                            </w:r>
                          </w:p>
                        </w:tc>
                        <w:tc>
                          <w:tcPr>
                            <w:tcW w:w="649" w:type="dxa"/>
                            <w:tcBorders>
                              <w:top w:val="nil"/>
                              <w:left w:val="nil"/>
                              <w:bottom w:val="single" w:sz="4" w:space="0" w:color="auto"/>
                              <w:right w:val="single" w:sz="4" w:space="0" w:color="auto"/>
                            </w:tcBorders>
                            <w:shd w:val="clear" w:color="auto" w:fill="auto"/>
                            <w:noWrap/>
                            <w:vAlign w:val="bottom"/>
                            <w:hideMark/>
                          </w:tcPr>
                          <w:p w14:paraId="3D5D8975"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15.27%</w:t>
                            </w:r>
                          </w:p>
                        </w:tc>
                        <w:tc>
                          <w:tcPr>
                            <w:tcW w:w="649" w:type="dxa"/>
                            <w:tcBorders>
                              <w:top w:val="nil"/>
                              <w:left w:val="nil"/>
                              <w:bottom w:val="single" w:sz="4" w:space="0" w:color="auto"/>
                              <w:right w:val="single" w:sz="4" w:space="0" w:color="auto"/>
                            </w:tcBorders>
                            <w:shd w:val="clear" w:color="auto" w:fill="auto"/>
                            <w:noWrap/>
                            <w:vAlign w:val="bottom"/>
                            <w:hideMark/>
                          </w:tcPr>
                          <w:p w14:paraId="486F1E5A"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14.38%</w:t>
                            </w:r>
                          </w:p>
                        </w:tc>
                        <w:tc>
                          <w:tcPr>
                            <w:tcW w:w="698" w:type="dxa"/>
                            <w:tcBorders>
                              <w:top w:val="nil"/>
                              <w:left w:val="nil"/>
                              <w:bottom w:val="single" w:sz="4" w:space="0" w:color="auto"/>
                              <w:right w:val="single" w:sz="4" w:space="0" w:color="auto"/>
                            </w:tcBorders>
                            <w:shd w:val="clear" w:color="auto" w:fill="auto"/>
                            <w:noWrap/>
                            <w:vAlign w:val="bottom"/>
                            <w:hideMark/>
                          </w:tcPr>
                          <w:p w14:paraId="69EC3C28"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13.55%</w:t>
                            </w:r>
                          </w:p>
                        </w:tc>
                      </w:tr>
                      <w:tr w:rsidR="00BA68C1" w:rsidRPr="00BA68C1" w14:paraId="2F310B08" w14:textId="77777777" w:rsidTr="00BA68C1">
                        <w:trPr>
                          <w:trHeight w:val="328"/>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18D827FD"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EBIT margin (%)</w:t>
                            </w:r>
                          </w:p>
                        </w:tc>
                        <w:tc>
                          <w:tcPr>
                            <w:tcW w:w="624" w:type="dxa"/>
                            <w:tcBorders>
                              <w:top w:val="nil"/>
                              <w:left w:val="nil"/>
                              <w:bottom w:val="single" w:sz="4" w:space="0" w:color="auto"/>
                              <w:right w:val="single" w:sz="4" w:space="0" w:color="auto"/>
                            </w:tcBorders>
                            <w:shd w:val="clear" w:color="auto" w:fill="auto"/>
                            <w:noWrap/>
                            <w:vAlign w:val="bottom"/>
                            <w:hideMark/>
                          </w:tcPr>
                          <w:p w14:paraId="3782E143"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14.68%</w:t>
                            </w:r>
                          </w:p>
                        </w:tc>
                        <w:tc>
                          <w:tcPr>
                            <w:tcW w:w="649" w:type="dxa"/>
                            <w:tcBorders>
                              <w:top w:val="nil"/>
                              <w:left w:val="nil"/>
                              <w:bottom w:val="single" w:sz="4" w:space="0" w:color="auto"/>
                              <w:right w:val="single" w:sz="4" w:space="0" w:color="auto"/>
                            </w:tcBorders>
                            <w:shd w:val="clear" w:color="auto" w:fill="auto"/>
                            <w:noWrap/>
                            <w:vAlign w:val="bottom"/>
                            <w:hideMark/>
                          </w:tcPr>
                          <w:p w14:paraId="3308A4B4"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13.86%</w:t>
                            </w:r>
                          </w:p>
                        </w:tc>
                        <w:tc>
                          <w:tcPr>
                            <w:tcW w:w="649" w:type="dxa"/>
                            <w:tcBorders>
                              <w:top w:val="nil"/>
                              <w:left w:val="nil"/>
                              <w:bottom w:val="single" w:sz="4" w:space="0" w:color="auto"/>
                              <w:right w:val="single" w:sz="4" w:space="0" w:color="auto"/>
                            </w:tcBorders>
                            <w:shd w:val="clear" w:color="auto" w:fill="auto"/>
                            <w:noWrap/>
                            <w:vAlign w:val="bottom"/>
                            <w:hideMark/>
                          </w:tcPr>
                          <w:p w14:paraId="6DA34D4D"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13.09%</w:t>
                            </w:r>
                          </w:p>
                        </w:tc>
                        <w:tc>
                          <w:tcPr>
                            <w:tcW w:w="698" w:type="dxa"/>
                            <w:tcBorders>
                              <w:top w:val="nil"/>
                              <w:left w:val="nil"/>
                              <w:bottom w:val="single" w:sz="4" w:space="0" w:color="auto"/>
                              <w:right w:val="single" w:sz="4" w:space="0" w:color="auto"/>
                            </w:tcBorders>
                            <w:shd w:val="clear" w:color="auto" w:fill="auto"/>
                            <w:noWrap/>
                            <w:vAlign w:val="bottom"/>
                            <w:hideMark/>
                          </w:tcPr>
                          <w:p w14:paraId="2CD980DB"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12.35%</w:t>
                            </w:r>
                          </w:p>
                        </w:tc>
                      </w:tr>
                      <w:tr w:rsidR="00BA68C1" w:rsidRPr="00BA68C1" w14:paraId="5BDCE27B" w14:textId="77777777" w:rsidTr="00BA68C1">
                        <w:trPr>
                          <w:trHeight w:val="328"/>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14:paraId="0780F199" w14:textId="77777777" w:rsidR="00BA68C1" w:rsidRPr="00BA68C1" w:rsidRDefault="00BA68C1" w:rsidP="00BA68C1">
                            <w:pPr>
                              <w:spacing w:after="0" w:line="240" w:lineRule="auto"/>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Net margin (%)</w:t>
                            </w:r>
                          </w:p>
                        </w:tc>
                        <w:tc>
                          <w:tcPr>
                            <w:tcW w:w="624" w:type="dxa"/>
                            <w:tcBorders>
                              <w:top w:val="nil"/>
                              <w:left w:val="nil"/>
                              <w:bottom w:val="single" w:sz="4" w:space="0" w:color="auto"/>
                              <w:right w:val="single" w:sz="4" w:space="0" w:color="auto"/>
                            </w:tcBorders>
                            <w:shd w:val="clear" w:color="auto" w:fill="auto"/>
                            <w:noWrap/>
                            <w:vAlign w:val="bottom"/>
                            <w:hideMark/>
                          </w:tcPr>
                          <w:p w14:paraId="78C13D31"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12.94%</w:t>
                            </w:r>
                          </w:p>
                        </w:tc>
                        <w:tc>
                          <w:tcPr>
                            <w:tcW w:w="649" w:type="dxa"/>
                            <w:tcBorders>
                              <w:top w:val="nil"/>
                              <w:left w:val="nil"/>
                              <w:bottom w:val="single" w:sz="4" w:space="0" w:color="auto"/>
                              <w:right w:val="single" w:sz="4" w:space="0" w:color="auto"/>
                            </w:tcBorders>
                            <w:shd w:val="clear" w:color="auto" w:fill="auto"/>
                            <w:noWrap/>
                            <w:vAlign w:val="bottom"/>
                            <w:hideMark/>
                          </w:tcPr>
                          <w:p w14:paraId="28556D00"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10.42%</w:t>
                            </w:r>
                          </w:p>
                        </w:tc>
                        <w:tc>
                          <w:tcPr>
                            <w:tcW w:w="649" w:type="dxa"/>
                            <w:tcBorders>
                              <w:top w:val="nil"/>
                              <w:left w:val="nil"/>
                              <w:bottom w:val="single" w:sz="4" w:space="0" w:color="auto"/>
                              <w:right w:val="single" w:sz="4" w:space="0" w:color="auto"/>
                            </w:tcBorders>
                            <w:shd w:val="clear" w:color="auto" w:fill="auto"/>
                            <w:noWrap/>
                            <w:vAlign w:val="bottom"/>
                            <w:hideMark/>
                          </w:tcPr>
                          <w:p w14:paraId="70435790"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9.83%</w:t>
                            </w:r>
                          </w:p>
                        </w:tc>
                        <w:tc>
                          <w:tcPr>
                            <w:tcW w:w="698" w:type="dxa"/>
                            <w:tcBorders>
                              <w:top w:val="nil"/>
                              <w:left w:val="nil"/>
                              <w:bottom w:val="single" w:sz="4" w:space="0" w:color="auto"/>
                              <w:right w:val="single" w:sz="4" w:space="0" w:color="auto"/>
                            </w:tcBorders>
                            <w:shd w:val="clear" w:color="auto" w:fill="auto"/>
                            <w:noWrap/>
                            <w:vAlign w:val="bottom"/>
                            <w:hideMark/>
                          </w:tcPr>
                          <w:p w14:paraId="628322DA" w14:textId="77777777" w:rsidR="00BA68C1" w:rsidRPr="00BA68C1" w:rsidRDefault="00BA68C1" w:rsidP="00BA68C1">
                            <w:pPr>
                              <w:spacing w:after="0" w:line="240" w:lineRule="auto"/>
                              <w:jc w:val="right"/>
                              <w:rPr>
                                <w:rFonts w:ascii="Calibri" w:eastAsia="Times New Roman" w:hAnsi="Calibri" w:cs="Calibri"/>
                                <w:color w:val="000000"/>
                                <w:sz w:val="14"/>
                                <w:szCs w:val="14"/>
                                <w:lang w:val="en-GB" w:eastAsia="en-GB"/>
                              </w:rPr>
                            </w:pPr>
                            <w:r w:rsidRPr="00BA68C1">
                              <w:rPr>
                                <w:rFonts w:ascii="Calibri" w:eastAsia="Times New Roman" w:hAnsi="Calibri" w:cs="Calibri"/>
                                <w:color w:val="000000"/>
                                <w:sz w:val="14"/>
                                <w:szCs w:val="14"/>
                                <w:lang w:val="en-GB" w:eastAsia="en-GB"/>
                              </w:rPr>
                              <w:t>9.28%</w:t>
                            </w:r>
                          </w:p>
                        </w:tc>
                      </w:tr>
                    </w:tbl>
                    <w:p w14:paraId="03E9278E" w14:textId="77777777" w:rsidR="00851AB3" w:rsidRDefault="00851AB3">
                      <w:pPr>
                        <w:spacing w:before="880" w:after="240" w:line="240" w:lineRule="auto"/>
                        <w:rPr>
                          <w:rFonts w:asciiTheme="majorHAnsi" w:eastAsiaTheme="majorEastAsia" w:hAnsiTheme="majorHAnsi" w:cstheme="majorBidi"/>
                          <w:sz w:val="28"/>
                          <w:szCs w:val="28"/>
                        </w:rPr>
                      </w:pPr>
                    </w:p>
                    <w:p w14:paraId="71F6D82E" w14:textId="77777777" w:rsidR="00BA68C1" w:rsidRPr="00B92FD6" w:rsidRDefault="00BA68C1">
                      <w:pPr>
                        <w:spacing w:before="880" w:after="240" w:line="240" w:lineRule="auto"/>
                        <w:rPr>
                          <w:rFonts w:asciiTheme="majorHAnsi" w:eastAsiaTheme="majorEastAsia" w:hAnsiTheme="majorHAnsi" w:cstheme="majorBidi"/>
                          <w:sz w:val="28"/>
                          <w:szCs w:val="28"/>
                        </w:rPr>
                      </w:pPr>
                    </w:p>
                  </w:txbxContent>
                </v:textbox>
                <w10:wrap type="square" anchorx="margin"/>
              </v:rect>
            </w:pict>
          </mc:Fallback>
        </mc:AlternateContent>
      </w:r>
      <w:r w:rsidR="00851AB3">
        <w:rPr>
          <w:noProof/>
        </w:rPr>
        <mc:AlternateContent>
          <mc:Choice Requires="wps">
            <w:drawing>
              <wp:anchor distT="45720" distB="45720" distL="114300" distR="114300" simplePos="0" relativeHeight="251668480" behindDoc="0" locked="0" layoutInCell="1" allowOverlap="1" wp14:anchorId="384FE0A7" wp14:editId="48DFDBD2">
                <wp:simplePos x="0" y="0"/>
                <wp:positionH relativeFrom="margin">
                  <wp:posOffset>2933065</wp:posOffset>
                </wp:positionH>
                <wp:positionV relativeFrom="paragraph">
                  <wp:posOffset>2468880</wp:posOffset>
                </wp:positionV>
                <wp:extent cx="3939540" cy="2574290"/>
                <wp:effectExtent l="0" t="0" r="10160" b="165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574290"/>
                        </a:xfrm>
                        <a:prstGeom prst="rect">
                          <a:avLst/>
                        </a:prstGeom>
                        <a:solidFill>
                          <a:srgbClr val="FFFFFF"/>
                        </a:solidFill>
                        <a:ln w="9525">
                          <a:solidFill>
                            <a:srgbClr val="000000"/>
                          </a:solidFill>
                          <a:miter lim="800000"/>
                          <a:headEnd/>
                          <a:tailEnd/>
                        </a:ln>
                      </wps:spPr>
                      <wps:txbx>
                        <w:txbxContent>
                          <w:p w14:paraId="4E7916A3" w14:textId="6301BC61" w:rsidR="00B92FD6" w:rsidRPr="00851AB3" w:rsidRDefault="00B92FD6" w:rsidP="00B92FD6">
                            <w:pPr>
                              <w:rPr>
                                <w:sz w:val="17"/>
                                <w:szCs w:val="17"/>
                              </w:rPr>
                            </w:pPr>
                            <w:r w:rsidRPr="00017B2B">
                              <w:rPr>
                                <w:b/>
                                <w:bCs/>
                              </w:rPr>
                              <w:t xml:space="preserve">Point </w:t>
                            </w:r>
                            <w:r>
                              <w:rPr>
                                <w:b/>
                                <w:bCs/>
                              </w:rPr>
                              <w:t>1</w:t>
                            </w:r>
                            <w:r w:rsidRPr="00017B2B">
                              <w:rPr>
                                <w:b/>
                                <w:bCs/>
                              </w:rPr>
                              <w:t>:</w:t>
                            </w:r>
                            <w:r>
                              <w:rPr>
                                <w:b/>
                                <w:bCs/>
                              </w:rPr>
                              <w:t xml:space="preserve"> </w:t>
                            </w:r>
                            <w:r w:rsidR="00DF3D6F" w:rsidRPr="00851AB3">
                              <w:rPr>
                                <w:sz w:val="17"/>
                                <w:szCs w:val="17"/>
                              </w:rPr>
                              <w:t>The revenue growth expectation is 4.9% per year based on historical performance with 2022 being the end year. NIKE’s main segment is North America, and its main product is athletic footwear. As of 2022 NIKE’s group revenue is 46.71 billion USD. By 2027 this is expected to grow to 59.332 billion USD.</w:t>
                            </w:r>
                          </w:p>
                          <w:p w14:paraId="448FDB1E" w14:textId="77777777" w:rsidR="00851AB3" w:rsidRPr="00851AB3" w:rsidRDefault="00851AB3" w:rsidP="00B92FD6">
                            <w:pPr>
                              <w:rPr>
                                <w:sz w:val="17"/>
                                <w:szCs w:val="17"/>
                              </w:rPr>
                            </w:pPr>
                          </w:p>
                          <w:p w14:paraId="061F437C" w14:textId="43A19568" w:rsidR="00851AB3" w:rsidRPr="00851AB3" w:rsidRDefault="00851AB3" w:rsidP="00851AB3">
                            <w:pPr>
                              <w:rPr>
                                <w:sz w:val="17"/>
                                <w:szCs w:val="17"/>
                              </w:rPr>
                            </w:pPr>
                            <w:r w:rsidRPr="00851AB3">
                              <w:rPr>
                                <w:sz w:val="17"/>
                                <w:szCs w:val="17"/>
                              </w:rPr>
                              <w:t xml:space="preserve">The main products that are key for NIKE’s growth are footwear, mainly ‘Air Force One’. </w:t>
                            </w:r>
                            <w:proofErr w:type="gramStart"/>
                            <w:r w:rsidRPr="00851AB3">
                              <w:rPr>
                                <w:sz w:val="17"/>
                                <w:szCs w:val="17"/>
                              </w:rPr>
                              <w:t xml:space="preserve">And </w:t>
                            </w:r>
                            <w:r w:rsidR="00BA68C1" w:rsidRPr="00851AB3">
                              <w:rPr>
                                <w:sz w:val="17"/>
                                <w:szCs w:val="17"/>
                              </w:rPr>
                              <w:t>also</w:t>
                            </w:r>
                            <w:proofErr w:type="gramEnd"/>
                            <w:r w:rsidR="00BA68C1" w:rsidRPr="00851AB3">
                              <w:rPr>
                                <w:sz w:val="17"/>
                                <w:szCs w:val="17"/>
                              </w:rPr>
                              <w:t>,</w:t>
                            </w:r>
                            <w:r w:rsidRPr="00851AB3">
                              <w:rPr>
                                <w:sz w:val="17"/>
                                <w:szCs w:val="17"/>
                              </w:rPr>
                              <w:t xml:space="preserve"> apparel, mainly ‘athletic apparel’.</w:t>
                            </w:r>
                          </w:p>
                          <w:p w14:paraId="786CB001" w14:textId="77777777" w:rsidR="00851AB3" w:rsidRPr="00851AB3" w:rsidRDefault="00851AB3" w:rsidP="00851AB3">
                            <w:pPr>
                              <w:rPr>
                                <w:sz w:val="17"/>
                                <w:szCs w:val="17"/>
                              </w:rPr>
                            </w:pPr>
                            <w:r w:rsidRPr="00851AB3">
                              <w:rPr>
                                <w:sz w:val="17"/>
                                <w:szCs w:val="17"/>
                              </w:rPr>
                              <w:t>The main trend is that they are increasing their revenue particularly in Asia and Middle East segment.</w:t>
                            </w:r>
                          </w:p>
                          <w:p w14:paraId="7CA90CE5" w14:textId="77777777" w:rsidR="00851AB3" w:rsidRPr="00851AB3" w:rsidRDefault="00851AB3" w:rsidP="00851AB3">
                            <w:pPr>
                              <w:rPr>
                                <w:sz w:val="17"/>
                                <w:szCs w:val="17"/>
                              </w:rPr>
                            </w:pPr>
                            <w:r w:rsidRPr="00851AB3">
                              <w:rPr>
                                <w:sz w:val="17"/>
                                <w:szCs w:val="17"/>
                              </w:rPr>
                              <w:t xml:space="preserve">The Olympics and Euro 2024 will increase brand awareness leading to increased sales. </w:t>
                            </w:r>
                          </w:p>
                          <w:p w14:paraId="7C60BB07" w14:textId="77777777" w:rsidR="00851AB3" w:rsidRPr="00851AB3" w:rsidRDefault="00851AB3" w:rsidP="00851AB3">
                            <w:pPr>
                              <w:rPr>
                                <w:sz w:val="17"/>
                                <w:szCs w:val="17"/>
                              </w:rPr>
                            </w:pPr>
                            <w:r w:rsidRPr="00851AB3">
                              <w:rPr>
                                <w:sz w:val="17"/>
                                <w:szCs w:val="17"/>
                              </w:rPr>
                              <w:t>This will in turn drive up the share price of NIKE to our Forecasted Price of 130.46.</w:t>
                            </w:r>
                          </w:p>
                          <w:p w14:paraId="70B26024" w14:textId="77777777" w:rsidR="00851AB3" w:rsidRPr="00B92FD6" w:rsidRDefault="00851AB3" w:rsidP="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8" type="#_x0000_t202" style="position:absolute;margin-left:230.95pt;margin-top:194.4pt;width:310.2pt;height:202.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">
                <v:textbox>
                  <w:txbxContent>
                    <w:p w14:paraId="4E7916A3" w14:textId="6301BC61" w:rsidR="00B92FD6" w:rsidRPr="00851AB3" w:rsidRDefault="00B92FD6" w:rsidP="00B92FD6">
                      <w:pPr>
                        <w:rPr>
                          <w:sz w:val="17"/>
                          <w:szCs w:val="17"/>
                        </w:rPr>
                      </w:pPr>
                      <w:r w:rsidRPr="00017B2B">
                        <w:rPr>
                          <w:b/>
                          <w:bCs/>
                        </w:rPr>
                        <w:t xml:space="preserve">Point </w:t>
                      </w:r>
                      <w:r>
                        <w:rPr>
                          <w:b/>
                          <w:bCs/>
                        </w:rPr>
                        <w:t>1</w:t>
                      </w:r>
                      <w:r w:rsidRPr="00017B2B">
                        <w:rPr>
                          <w:b/>
                          <w:bCs/>
                        </w:rPr>
                        <w:t>:</w:t>
                      </w:r>
                      <w:r>
                        <w:rPr>
                          <w:b/>
                          <w:bCs/>
                        </w:rPr>
                        <w:t xml:space="preserve"> </w:t>
                      </w:r>
                      <w:r w:rsidR="00DF3D6F" w:rsidRPr="00851AB3">
                        <w:rPr>
                          <w:sz w:val="17"/>
                          <w:szCs w:val="17"/>
                        </w:rPr>
                        <w:t>The revenue growth expectation is 4.9% per year based on historical performance with 2022 being the end year. NIKE’s main segment is North America, and its main product is athletic footwear. As of 2022 NIKE’s group revenue is 46.71 billion USD. By 2027 this is expected to grow to 59.332 billion USD.</w:t>
                      </w:r>
                    </w:p>
                    <w:p w14:paraId="448FDB1E" w14:textId="77777777" w:rsidR="00851AB3" w:rsidRPr="00851AB3" w:rsidRDefault="00851AB3" w:rsidP="00B92FD6">
                      <w:pPr>
                        <w:rPr>
                          <w:sz w:val="17"/>
                          <w:szCs w:val="17"/>
                        </w:rPr>
                      </w:pPr>
                    </w:p>
                    <w:p w14:paraId="061F437C" w14:textId="43A19568" w:rsidR="00851AB3" w:rsidRPr="00851AB3" w:rsidRDefault="00851AB3" w:rsidP="00851AB3">
                      <w:pPr>
                        <w:rPr>
                          <w:sz w:val="17"/>
                          <w:szCs w:val="17"/>
                        </w:rPr>
                      </w:pPr>
                      <w:r w:rsidRPr="00851AB3">
                        <w:rPr>
                          <w:sz w:val="17"/>
                          <w:szCs w:val="17"/>
                        </w:rPr>
                        <w:t xml:space="preserve">The main products that are key for NIKE’s growth are footwear, mainly ‘Air Force One’. </w:t>
                      </w:r>
                      <w:proofErr w:type="gramStart"/>
                      <w:r w:rsidRPr="00851AB3">
                        <w:rPr>
                          <w:sz w:val="17"/>
                          <w:szCs w:val="17"/>
                        </w:rPr>
                        <w:t xml:space="preserve">And </w:t>
                      </w:r>
                      <w:r w:rsidR="00BA68C1" w:rsidRPr="00851AB3">
                        <w:rPr>
                          <w:sz w:val="17"/>
                          <w:szCs w:val="17"/>
                        </w:rPr>
                        <w:t>also</w:t>
                      </w:r>
                      <w:proofErr w:type="gramEnd"/>
                      <w:r w:rsidR="00BA68C1" w:rsidRPr="00851AB3">
                        <w:rPr>
                          <w:sz w:val="17"/>
                          <w:szCs w:val="17"/>
                        </w:rPr>
                        <w:t>,</w:t>
                      </w:r>
                      <w:r w:rsidRPr="00851AB3">
                        <w:rPr>
                          <w:sz w:val="17"/>
                          <w:szCs w:val="17"/>
                        </w:rPr>
                        <w:t xml:space="preserve"> apparel, mainly ‘athletic apparel’.</w:t>
                      </w:r>
                    </w:p>
                    <w:p w14:paraId="786CB001" w14:textId="77777777" w:rsidR="00851AB3" w:rsidRPr="00851AB3" w:rsidRDefault="00851AB3" w:rsidP="00851AB3">
                      <w:pPr>
                        <w:rPr>
                          <w:sz w:val="17"/>
                          <w:szCs w:val="17"/>
                        </w:rPr>
                      </w:pPr>
                      <w:r w:rsidRPr="00851AB3">
                        <w:rPr>
                          <w:sz w:val="17"/>
                          <w:szCs w:val="17"/>
                        </w:rPr>
                        <w:t>The main trend is that they are increasing their revenue particularly in Asia and Middle East segment.</w:t>
                      </w:r>
                    </w:p>
                    <w:p w14:paraId="7CA90CE5" w14:textId="77777777" w:rsidR="00851AB3" w:rsidRPr="00851AB3" w:rsidRDefault="00851AB3" w:rsidP="00851AB3">
                      <w:pPr>
                        <w:rPr>
                          <w:sz w:val="17"/>
                          <w:szCs w:val="17"/>
                        </w:rPr>
                      </w:pPr>
                      <w:r w:rsidRPr="00851AB3">
                        <w:rPr>
                          <w:sz w:val="17"/>
                          <w:szCs w:val="17"/>
                        </w:rPr>
                        <w:t xml:space="preserve">The Olympics and Euro 2024 will increase brand awareness leading to increased sales. </w:t>
                      </w:r>
                    </w:p>
                    <w:p w14:paraId="7C60BB07" w14:textId="77777777" w:rsidR="00851AB3" w:rsidRPr="00851AB3" w:rsidRDefault="00851AB3" w:rsidP="00851AB3">
                      <w:pPr>
                        <w:rPr>
                          <w:sz w:val="17"/>
                          <w:szCs w:val="17"/>
                        </w:rPr>
                      </w:pPr>
                      <w:r w:rsidRPr="00851AB3">
                        <w:rPr>
                          <w:sz w:val="17"/>
                          <w:szCs w:val="17"/>
                        </w:rPr>
                        <w:t>This will in turn drive up the share price of NIKE to our Forecasted Price of 130.46.</w:t>
                      </w:r>
                    </w:p>
                    <w:p w14:paraId="70B26024" w14:textId="77777777" w:rsidR="00851AB3" w:rsidRPr="00B92FD6" w:rsidRDefault="00851AB3" w:rsidP="00B92FD6"/>
                  </w:txbxContent>
                </v:textbox>
                <w10:wrap type="square" anchorx="margin"/>
              </v:shape>
            </w:pict>
          </mc:Fallback>
        </mc:AlternateContent>
      </w:r>
      <w:r w:rsidR="00851AB3">
        <w:rPr>
          <w:noProof/>
        </w:rPr>
        <mc:AlternateContent>
          <mc:Choice Requires="wps">
            <w:drawing>
              <wp:anchor distT="45720" distB="45720" distL="114300" distR="114300" simplePos="0" relativeHeight="251662336" behindDoc="0" locked="0" layoutInCell="1" allowOverlap="1" wp14:anchorId="08B56C2A" wp14:editId="069E7A42">
                <wp:simplePos x="0" y="0"/>
                <wp:positionH relativeFrom="margin">
                  <wp:posOffset>2933065</wp:posOffset>
                </wp:positionH>
                <wp:positionV relativeFrom="paragraph">
                  <wp:posOffset>1455420</wp:posOffset>
                </wp:positionV>
                <wp:extent cx="3909060" cy="871855"/>
                <wp:effectExtent l="0" t="0" r="15240"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871855"/>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2D4C728" w14:textId="7A59929D" w:rsidR="00017B2B" w:rsidRDefault="00DF3D6F">
                            <w:r>
                              <w:t>The stock is expected to grow to a value of at least 130.46 USD per share. Or by 39.16% within the next year.</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30.95pt;margin-top:114.6pt;width:307.8pt;height:68.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">
                <v:textbox>
                  <w:txbxContent>
                    <w:p w14:paraId="74C4E50C" w14:textId="738FE86E" w:rsidR="00017B2B" w:rsidRDefault="00017B2B">
                      <w:pPr>
                        <w:rPr>
                          <w:b/>
                          <w:bCs/>
                        </w:rPr>
                      </w:pPr>
                      <w:r w:rsidRPr="00017B2B">
                        <w:rPr>
                          <w:b/>
                          <w:bCs/>
                        </w:rPr>
                        <w:t>Investment thesis:</w:t>
                      </w:r>
                    </w:p>
                    <w:p w14:paraId="72D4C728" w14:textId="7A59929D" w:rsidR="00017B2B" w:rsidRDefault="00DF3D6F">
                      <w:r>
                        <w:t>The stock is expected to grow to a value of at least 130.46 USD per share. Or by 39.16% within the next year.</w:t>
                      </w:r>
                    </w:p>
                    <w:p w14:paraId="6DF181F3" w14:textId="77777777" w:rsidR="00B92FD6" w:rsidRPr="00017B2B" w:rsidRDefault="00B92FD6"/>
                  </w:txbxContent>
                </v:textbox>
                <w10:wrap type="square" anchorx="margin"/>
              </v:shape>
            </w:pict>
          </mc:Fallback>
        </mc:AlternateContent>
      </w:r>
      <w:r w:rsidR="00B92FD6">
        <w:rPr>
          <w:noProof/>
        </w:rPr>
        <mc:AlternateContent>
          <mc:Choice Requires="wps">
            <w:drawing>
              <wp:anchor distT="45720" distB="45720" distL="114300" distR="114300" simplePos="0" relativeHeight="251666432" behindDoc="0" locked="0" layoutInCell="1" allowOverlap="1" wp14:anchorId="773CC498" wp14:editId="03D86B7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1B23DB5F" w14:textId="2AD44CE6" w:rsidR="00017B2B" w:rsidRDefault="00017B2B" w:rsidP="00017B2B">
                            <w:r w:rsidRPr="00017B2B">
                              <w:rPr>
                                <w:b/>
                                <w:bCs/>
                              </w:rPr>
                              <w:t>Point 3</w:t>
                            </w:r>
                            <w:r>
                              <w:rPr>
                                <w:b/>
                                <w:bCs/>
                              </w:rPr>
                              <w:t>:</w:t>
                            </w:r>
                            <w:r w:rsidR="00B92FD6">
                              <w:rPr>
                                <w:b/>
                                <w:bCs/>
                              </w:rPr>
                              <w:t xml:space="preserve"> </w:t>
                            </w:r>
                          </w:p>
                          <w:p w14:paraId="2971B358" w14:textId="396CF318" w:rsidR="00B61D01" w:rsidRDefault="00B61D01" w:rsidP="00017B2B">
                            <w:r>
                              <w:t>EPS is expected to reduce 3.17 USD in 2023 to 3.04 USD in 2027.</w:t>
                            </w:r>
                          </w:p>
                          <w:p w14:paraId="32A08424" w14:textId="06AB1AEA" w:rsidR="00B61D01" w:rsidRPr="00B92FD6" w:rsidRDefault="00B61D01" w:rsidP="00017B2B">
                            <w:r>
                              <w:t xml:space="preserve">FCFF is expected to grow from 7.121 billion USD in 2023 to 7.922 billion USD in 2027. CAPEX is expected to grow </w:t>
                            </w:r>
                            <w:r w:rsidR="00102BB6">
                              <w:t xml:space="preserve">from 798 million USD in 2023 to 980 million USD in 2027. In the future NIKE will have to innovate its centerpiece air force one product and develop newer products that older generations can also be happy using. </w:t>
                            </w:r>
                            <w:r w:rsidR="00102BB6">
                              <w:t xml:space="preserve">For </w:t>
                            </w:r>
                            <w:r w:rsidR="00623BFE">
                              <w:t>example,</w:t>
                            </w:r>
                            <w:r w:rsidR="00102BB6">
                              <w:t xml:space="preserve"> NIKE could start a fashion sector for </w:t>
                            </w:r>
                            <w:r w:rsidR="00BA68C1">
                              <w:t>new streams</w:t>
                            </w:r>
                            <w:r w:rsidR="00B5095A">
                              <w:t xml:space="preserve"> of </w:t>
                            </w:r>
                            <w:r w:rsidR="00102BB6">
                              <w:t xml:space="preserve">revenue.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30"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">
                <v:textbox>
                  <w:txbxContent>
                    <w:p w14:paraId="1B23DB5F" w14:textId="2AD44CE6" w:rsidR="00017B2B" w:rsidRDefault="00017B2B" w:rsidP="00017B2B">
                      <w:r w:rsidRPr="00017B2B">
                        <w:rPr>
                          <w:b/>
                          <w:bCs/>
                        </w:rPr>
                        <w:t>Point 3</w:t>
                      </w:r>
                      <w:r>
                        <w:rPr>
                          <w:b/>
                          <w:bCs/>
                        </w:rPr>
                        <w:t>:</w:t>
                      </w:r>
                      <w:r w:rsidR="00B92FD6">
                        <w:rPr>
                          <w:b/>
                          <w:bCs/>
                        </w:rPr>
                        <w:t xml:space="preserve"> </w:t>
                      </w:r>
                    </w:p>
                    <w:p w14:paraId="2971B358" w14:textId="396CF318" w:rsidR="00B61D01" w:rsidRDefault="00B61D01" w:rsidP="00017B2B">
                      <w:r>
                        <w:t>EPS is expected to reduce 3.17 USD in 2023 to 3.04 USD in 2027.</w:t>
                      </w:r>
                    </w:p>
                    <w:p w14:paraId="32A08424" w14:textId="06AB1AEA" w:rsidR="00B61D01" w:rsidRPr="00B92FD6" w:rsidRDefault="00B61D01" w:rsidP="00017B2B">
                      <w:r>
                        <w:t xml:space="preserve">FCFF is expected to grow from 7.121 billion USD in 2023 to 7.922 billion USD in 2027. CAPEX is expected to grow </w:t>
                      </w:r>
                      <w:r w:rsidR="00102BB6">
                        <w:t xml:space="preserve">from 798 million USD in 2023 to 980 million USD in 2027. In the future NIKE will have to innovate its centerpiece air force one product and develop newer products that older generations can also be happy using. </w:t>
                      </w:r>
                      <w:r w:rsidR="00102BB6">
                        <w:t xml:space="preserve">For </w:t>
                      </w:r>
                      <w:r w:rsidR="00623BFE">
                        <w:t>example,</w:t>
                      </w:r>
                      <w:r w:rsidR="00102BB6">
                        <w:t xml:space="preserve"> NIKE could start a fashion sector for </w:t>
                      </w:r>
                      <w:r w:rsidR="00BA68C1">
                        <w:t>new streams</w:t>
                      </w:r>
                      <w:r w:rsidR="00B5095A">
                        <w:t xml:space="preserve"> of </w:t>
                      </w:r>
                      <w:r w:rsidR="00102BB6">
                        <w:t xml:space="preserve">revenue. </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62DDA12A" w:rsidR="00017B2B" w:rsidRDefault="00017B2B">
                            <w:r>
                              <w:t>Company Name</w:t>
                            </w:r>
                            <w:r w:rsidR="002F54E0">
                              <w:t xml:space="preserve">    NIKE</w:t>
                            </w:r>
                          </w:p>
                          <w:p w14:paraId="4696F081" w14:textId="6C955986" w:rsidR="00017B2B" w:rsidRDefault="00017B2B">
                            <w:r>
                              <w:t>Ticker</w:t>
                            </w:r>
                            <w:r w:rsidR="002F54E0">
                              <w:t>.  NKE</w:t>
                            </w:r>
                          </w:p>
                          <w:p w14:paraId="7B155A12" w14:textId="22A218F0" w:rsidR="00017B2B" w:rsidRDefault="00017B2B">
                            <w:r>
                              <w:t xml:space="preserve">Current </w:t>
                            </w:r>
                            <w:r w:rsidR="00B92FD6">
                              <w:t>Share</w:t>
                            </w:r>
                            <w:r>
                              <w:t xml:space="preserve"> </w:t>
                            </w:r>
                            <w:r w:rsidR="00BA68C1">
                              <w:t>Price 93.75</w:t>
                            </w:r>
                            <w:r w:rsidR="002F54E0">
                              <w:t xml:space="preserve"> USD (OPENING PRICE ON 26</w:t>
                            </w:r>
                            <w:r w:rsidR="002F54E0" w:rsidRPr="002F54E0">
                              <w:rPr>
                                <w:vertAlign w:val="superscript"/>
                              </w:rPr>
                              <w:t>TH</w:t>
                            </w:r>
                            <w:r w:rsidR="002F54E0">
                              <w:t xml:space="preserve"> MARCH 2024)</w:t>
                            </w:r>
                          </w:p>
                          <w:p w14:paraId="21DF9163" w14:textId="7F2174AE" w:rsidR="002F54E0" w:rsidRDefault="00B720B0">
                            <w:r>
                              <w:t>Upside/Downside to current share price: ((Forecasted Price – Current Price)/Current Price)</w:t>
                            </w:r>
                            <w:r w:rsidR="002F54E0">
                              <w:t xml:space="preserve"> ((130.46-93.75)/93.</w:t>
                            </w:r>
                            <w:proofErr w:type="gramStart"/>
                            <w:r w:rsidR="002F54E0">
                              <w:t>75 )</w:t>
                            </w:r>
                            <w:proofErr w:type="gramEnd"/>
                            <w:r w:rsidR="002F54E0">
                              <w:t>*100= 39.16%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">
                <v:textbox>
                  <w:txbxContent>
                    <w:p w14:paraId="25CEBCDC" w14:textId="62DDA12A" w:rsidR="00017B2B" w:rsidRDefault="00017B2B">
                      <w:r>
                        <w:t>Company Name</w:t>
                      </w:r>
                      <w:r w:rsidR="002F54E0">
                        <w:t xml:space="preserve">    NIKE</w:t>
                      </w:r>
                    </w:p>
                    <w:p w14:paraId="4696F081" w14:textId="6C955986" w:rsidR="00017B2B" w:rsidRDefault="00017B2B">
                      <w:r>
                        <w:t>Ticker</w:t>
                      </w:r>
                      <w:r w:rsidR="002F54E0">
                        <w:t>.  NKE</w:t>
                      </w:r>
                    </w:p>
                    <w:p w14:paraId="7B155A12" w14:textId="22A218F0" w:rsidR="00017B2B" w:rsidRDefault="00017B2B">
                      <w:r>
                        <w:t xml:space="preserve">Current </w:t>
                      </w:r>
                      <w:r w:rsidR="00B92FD6">
                        <w:t>Share</w:t>
                      </w:r>
                      <w:r>
                        <w:t xml:space="preserve"> </w:t>
                      </w:r>
                      <w:r w:rsidR="00BA68C1">
                        <w:t>Price 93.75</w:t>
                      </w:r>
                      <w:r w:rsidR="002F54E0">
                        <w:t xml:space="preserve"> USD (OPENING PRICE ON 26</w:t>
                      </w:r>
                      <w:r w:rsidR="002F54E0" w:rsidRPr="002F54E0">
                        <w:rPr>
                          <w:vertAlign w:val="superscript"/>
                        </w:rPr>
                        <w:t>TH</w:t>
                      </w:r>
                      <w:r w:rsidR="002F54E0">
                        <w:t xml:space="preserve"> MARCH 2024)</w:t>
                      </w:r>
                    </w:p>
                    <w:p w14:paraId="21DF9163" w14:textId="7F2174AE" w:rsidR="002F54E0" w:rsidRDefault="00B720B0">
                      <w:r>
                        <w:t>Upside/Downside to current share price: ((Forecasted Price – Current Price)/Current Price)</w:t>
                      </w:r>
                      <w:r w:rsidR="002F54E0">
                        <w:t xml:space="preserve"> ((130.46-93.75)/93.</w:t>
                      </w:r>
                      <w:proofErr w:type="gramStart"/>
                      <w:r w:rsidR="002F54E0">
                        <w:t>75 )</w:t>
                      </w:r>
                      <w:proofErr w:type="gramEnd"/>
                      <w:r w:rsidR="002F54E0">
                        <w:t>*100= 39.16%</w:t>
                      </w:r>
                    </w:p>
                  </w:txbxContent>
                </v:textbox>
                <w10:wrap type="square" anchorx="margin"/>
              </v:shape>
            </w:pict>
          </mc:Fallback>
        </mc:AlternateContent>
      </w:r>
    </w:p>
    <w:p w14:paraId="05FF50D4" w14:textId="5ED646A1" w:rsidR="00C5315D" w:rsidRPr="00C5315D" w:rsidRDefault="00C5315D" w:rsidP="00C5315D"/>
    <w:p w14:paraId="74EA82F6" w14:textId="4434583B" w:rsidR="00C5315D" w:rsidRPr="00C5315D" w:rsidRDefault="00C5315D" w:rsidP="00C5315D"/>
    <w:p w14:paraId="4CA70A8D" w14:textId="6A6313A2" w:rsidR="00C5315D" w:rsidRPr="00C5315D" w:rsidRDefault="00C5315D" w:rsidP="00C5315D"/>
    <w:p w14:paraId="78DEE43B" w14:textId="6E3BBAA2" w:rsidR="00C5315D" w:rsidRPr="00C5315D" w:rsidRDefault="00C5315D" w:rsidP="00C5315D"/>
    <w:p w14:paraId="41EBB708" w14:textId="6C8EE75C" w:rsidR="00C5315D" w:rsidRPr="00C5315D" w:rsidRDefault="00C5315D" w:rsidP="00C5315D"/>
    <w:p w14:paraId="57EB8887" w14:textId="4E2E0AB2" w:rsidR="00C5315D" w:rsidRPr="00C5315D" w:rsidRDefault="00C5315D" w:rsidP="00C5315D"/>
    <w:p w14:paraId="46EA68F3" w14:textId="6B198F2A" w:rsidR="00C5315D" w:rsidRPr="00C5315D" w:rsidRDefault="00C5315D" w:rsidP="00C5315D"/>
    <w:p w14:paraId="1F9272B5" w14:textId="7B40911C" w:rsidR="00C5315D" w:rsidRPr="00C5315D" w:rsidRDefault="00C5315D" w:rsidP="00C5315D"/>
    <w:p w14:paraId="59DC3CE5" w14:textId="0252946D" w:rsidR="00C5315D" w:rsidRPr="00C5315D" w:rsidRDefault="00C5315D" w:rsidP="00C5315D"/>
    <w:p w14:paraId="67EBE701" w14:textId="0381B9B4" w:rsidR="00C5315D" w:rsidRPr="00C5315D" w:rsidRDefault="00C5315D" w:rsidP="00C5315D"/>
    <w:p w14:paraId="7AE3D547" w14:textId="431F582D" w:rsidR="00C5315D" w:rsidRPr="00C5315D" w:rsidRDefault="00C5315D" w:rsidP="00C5315D"/>
    <w:p w14:paraId="12382FB6" w14:textId="77777777" w:rsidR="00C5315D" w:rsidRPr="00C5315D" w:rsidRDefault="00C5315D" w:rsidP="00C5315D"/>
    <w:sectPr w:rsidR="00C5315D" w:rsidRPr="00C5315D" w:rsidSect="008A470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43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440D6"/>
    <w:rsid w:val="00102BB6"/>
    <w:rsid w:val="001277AC"/>
    <w:rsid w:val="002242FC"/>
    <w:rsid w:val="002B7889"/>
    <w:rsid w:val="002F54E0"/>
    <w:rsid w:val="00623BFE"/>
    <w:rsid w:val="00851AB3"/>
    <w:rsid w:val="008A4705"/>
    <w:rsid w:val="00A6150D"/>
    <w:rsid w:val="00B2118C"/>
    <w:rsid w:val="00B5095A"/>
    <w:rsid w:val="00B61D01"/>
    <w:rsid w:val="00B720B0"/>
    <w:rsid w:val="00B92FD6"/>
    <w:rsid w:val="00B965E4"/>
    <w:rsid w:val="00BA68C1"/>
    <w:rsid w:val="00C5315D"/>
    <w:rsid w:val="00DF3D6F"/>
    <w:rsid w:val="00F36E54"/>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44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98110">
      <w:bodyDiv w:val="1"/>
      <w:marLeft w:val="0"/>
      <w:marRight w:val="0"/>
      <w:marTop w:val="0"/>
      <w:marBottom w:val="0"/>
      <w:divBdr>
        <w:top w:val="none" w:sz="0" w:space="0" w:color="auto"/>
        <w:left w:val="none" w:sz="0" w:space="0" w:color="auto"/>
        <w:bottom w:val="none" w:sz="0" w:space="0" w:color="auto"/>
        <w:right w:val="none" w:sz="0" w:space="0" w:color="auto"/>
      </w:divBdr>
    </w:div>
    <w:div w:id="1534152863">
      <w:bodyDiv w:val="1"/>
      <w:marLeft w:val="0"/>
      <w:marRight w:val="0"/>
      <w:marTop w:val="0"/>
      <w:marBottom w:val="0"/>
      <w:divBdr>
        <w:top w:val="none" w:sz="0" w:space="0" w:color="auto"/>
        <w:left w:val="none" w:sz="0" w:space="0" w:color="auto"/>
        <w:bottom w:val="none" w:sz="0" w:space="0" w:color="auto"/>
        <w:right w:val="none" w:sz="0" w:space="0" w:color="auto"/>
      </w:divBdr>
    </w:div>
    <w:div w:id="1659573724">
      <w:bodyDiv w:val="1"/>
      <w:marLeft w:val="0"/>
      <w:marRight w:val="0"/>
      <w:marTop w:val="0"/>
      <w:marBottom w:val="0"/>
      <w:divBdr>
        <w:top w:val="none" w:sz="0" w:space="0" w:color="auto"/>
        <w:left w:val="none" w:sz="0" w:space="0" w:color="auto"/>
        <w:bottom w:val="none" w:sz="0" w:space="0" w:color="auto"/>
        <w:right w:val="none" w:sz="0" w:space="0" w:color="auto"/>
      </w:divBdr>
    </w:div>
    <w:div w:id="1801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Sohum Dhir</cp:lastModifiedBy>
  <cp:revision>2</cp:revision>
  <dcterms:created xsi:type="dcterms:W3CDTF">2024-03-29T14:42:00Z</dcterms:created>
  <dcterms:modified xsi:type="dcterms:W3CDTF">2024-03-29T14:42:00Z</dcterms:modified>
</cp:coreProperties>
</file>