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931" w14:textId="3E0CFE24" w:rsidR="00824DCD" w:rsidRDefault="00B659CE" w:rsidP="00B659CE">
      <w:pPr>
        <w:jc w:val="center"/>
        <w:rPr>
          <w:b/>
          <w:bCs/>
          <w:u w:val="single"/>
        </w:rPr>
      </w:pPr>
      <w:r w:rsidRPr="00B659CE">
        <w:rPr>
          <w:b/>
          <w:bCs/>
          <w:u w:val="single"/>
        </w:rPr>
        <w:t>Marriot Inc</w:t>
      </w:r>
    </w:p>
    <w:p w14:paraId="74BB9FB3" w14:textId="2AF78D7A" w:rsidR="00B659CE" w:rsidRPr="00B659CE" w:rsidRDefault="00B659CE" w:rsidP="00B659CE">
      <w:pPr>
        <w:rPr>
          <w:b/>
          <w:bCs/>
        </w:rPr>
      </w:pPr>
      <w:r w:rsidRPr="00B659CE">
        <w:rPr>
          <w:b/>
          <w:bCs/>
        </w:rPr>
        <w:t>Revenue drivers:</w:t>
      </w:r>
    </w:p>
    <w:p w14:paraId="473861D1" w14:textId="17447B1A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Room Revenue:</w:t>
      </w:r>
      <w:r w:rsidRPr="00B659CE">
        <w:t xml:space="preserve"> The primary source of income for hotels comes from renting rooms. Occupancy rates and average daily rates (ADR) are crucial factors influencing room revenue.</w:t>
      </w:r>
    </w:p>
    <w:p w14:paraId="073F3BAF" w14:textId="3AA504F4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Food and Beverage Revenue:</w:t>
      </w:r>
      <w:r w:rsidRPr="00B659CE">
        <w:t xml:space="preserve"> Many hotels have on-site restaurants, bars, and catering services, contributing significantly to overall revenue.</w:t>
      </w:r>
    </w:p>
    <w:p w14:paraId="7063FE2A" w14:textId="7D95958D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Meeting and Event Space Rental:</w:t>
      </w:r>
      <w:r w:rsidRPr="00B659CE">
        <w:t xml:space="preserve"> Revenue from hosting conferences, meetings, and events in hotel facilities.</w:t>
      </w:r>
    </w:p>
    <w:p w14:paraId="4F12CB0F" w14:textId="7123A205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Franchise and Management Fees:</w:t>
      </w:r>
      <w:r w:rsidRPr="00B659CE">
        <w:t xml:space="preserve"> If Marriott operates through a franchise model, it can generate revenue from franchise fees and management fees.</w:t>
      </w:r>
    </w:p>
    <w:p w14:paraId="3C8424B3" w14:textId="09EF22C3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Loyalty Programs:</w:t>
      </w:r>
      <w:r w:rsidRPr="00B659CE">
        <w:t xml:space="preserve"> Hotel loyalty programs encourage repeat business, and the associated memberships can contribute to revenue through room bookings and other services.</w:t>
      </w:r>
    </w:p>
    <w:p w14:paraId="03CCF2DF" w14:textId="115E8E64" w:rsidR="00B659CE" w:rsidRPr="00B659CE" w:rsidRDefault="00B659CE" w:rsidP="00B659CE">
      <w:pPr>
        <w:rPr>
          <w:b/>
          <w:bCs/>
        </w:rPr>
      </w:pPr>
      <w:r w:rsidRPr="00B659CE">
        <w:rPr>
          <w:b/>
          <w:bCs/>
        </w:rPr>
        <w:t>Cost Drivers:</w:t>
      </w:r>
    </w:p>
    <w:p w14:paraId="7780BC63" w14:textId="4891618A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Operating Expenses:</w:t>
      </w:r>
      <w:r w:rsidRPr="00B659CE">
        <w:t xml:space="preserve"> This includes day-to-day costs like utilities, housekeeping, maintenance, and employee salaries.</w:t>
      </w:r>
    </w:p>
    <w:p w14:paraId="6B2AE08E" w14:textId="7A1CF5B1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Marketing and Sales Costs:</w:t>
      </w:r>
      <w:r w:rsidRPr="00B659CE">
        <w:t xml:space="preserve"> Expenditures related to advertising, promotions, and sales efforts to attract guests and fill rooms.</w:t>
      </w:r>
    </w:p>
    <w:p w14:paraId="6692B7BB" w14:textId="64C93900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Property Maintenance and Upgrades:</w:t>
      </w:r>
      <w:r w:rsidRPr="00B659CE">
        <w:t xml:space="preserve"> Regular maintenance and periodic upgrades are essential to keep the property competitive and in good condition.</w:t>
      </w:r>
    </w:p>
    <w:p w14:paraId="2F1A3E7F" w14:textId="53057E99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Employee Expenses:</w:t>
      </w:r>
      <w:r w:rsidRPr="00B659CE">
        <w:t xml:space="preserve"> Labor costs, including salaries, benefits, and training, are significant in the hospitality industry.</w:t>
      </w:r>
    </w:p>
    <w:p w14:paraId="01B877B3" w14:textId="2BEFCC7B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Technology Investments:</w:t>
      </w:r>
      <w:r w:rsidRPr="00B659CE">
        <w:t xml:space="preserve"> Hotels often invest in technology for reservation systems, online booking platforms, and other IT solutions to enhance guest experiences and operational efficiency.</w:t>
      </w:r>
    </w:p>
    <w:p w14:paraId="6E5C9E53" w14:textId="5078CA6A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Utilities:</w:t>
      </w:r>
      <w:r w:rsidRPr="00B659CE">
        <w:t xml:space="preserve"> Costs associated with water, electricity, heating, and cooling can be substantial, especially for larger hotel properties.</w:t>
      </w:r>
    </w:p>
    <w:p w14:paraId="577BECC3" w14:textId="643E0509" w:rsidR="00B659CE" w:rsidRDefault="00B659CE" w:rsidP="00B659CE">
      <w:pPr>
        <w:pStyle w:val="ListParagraph"/>
        <w:numPr>
          <w:ilvl w:val="0"/>
          <w:numId w:val="1"/>
        </w:numPr>
      </w:pPr>
      <w:r w:rsidRPr="00B659CE">
        <w:rPr>
          <w:b/>
          <w:bCs/>
        </w:rPr>
        <w:t>Franchise and Royalty Fees:</w:t>
      </w:r>
      <w:r w:rsidRPr="00B659CE">
        <w:t xml:space="preserve"> If Marriott operates through a franchise model, there may be costs associated with providing support and maintaining brand standards.</w:t>
      </w:r>
    </w:p>
    <w:p w14:paraId="22D54EFF" w14:textId="4CDD78E5" w:rsidR="00B659CE" w:rsidRDefault="00B659CE" w:rsidP="00B262DC">
      <w:pPr>
        <w:rPr>
          <w:b/>
          <w:bCs/>
        </w:rPr>
      </w:pPr>
    </w:p>
    <w:p w14:paraId="3A5882DA" w14:textId="4951F43E" w:rsidR="00B262DC" w:rsidRDefault="004D0E10" w:rsidP="00252D6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813CF7B" wp14:editId="5B0B7D2B">
            <wp:extent cx="4733925" cy="2743200"/>
            <wp:effectExtent l="0" t="0" r="9525" b="0"/>
            <wp:docPr id="11708245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DBF201D-F416-EC0F-C059-B49A4D71E4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F804874" w14:textId="0D6960DD" w:rsidR="00B262DC" w:rsidRDefault="00D72AA8" w:rsidP="00B262DC">
      <w:pPr>
        <w:rPr>
          <w:b/>
          <w:bCs/>
        </w:rPr>
      </w:pPr>
      <w:r w:rsidRPr="00CF6960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BF4B38A" wp14:editId="6DA8423E">
            <wp:simplePos x="0" y="0"/>
            <wp:positionH relativeFrom="margin">
              <wp:align>center</wp:align>
            </wp:positionH>
            <wp:positionV relativeFrom="paragraph">
              <wp:posOffset>132</wp:posOffset>
            </wp:positionV>
            <wp:extent cx="4630420" cy="732922"/>
            <wp:effectExtent l="0" t="0" r="0" b="0"/>
            <wp:wrapSquare wrapText="bothSides"/>
            <wp:docPr id="1992375648" name="Picture 1" descr="A white grid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375648" name="Picture 1" descr="A white grid with black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732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E1A514" w14:textId="58663456" w:rsidR="00B262DC" w:rsidRDefault="00B262DC" w:rsidP="00B262DC">
      <w:pPr>
        <w:rPr>
          <w:b/>
          <w:bCs/>
        </w:rPr>
      </w:pPr>
    </w:p>
    <w:p w14:paraId="58FE28B8" w14:textId="4997309B" w:rsidR="00B262DC" w:rsidRDefault="00B262DC" w:rsidP="00B262DC">
      <w:pPr>
        <w:rPr>
          <w:b/>
          <w:bCs/>
        </w:rPr>
      </w:pPr>
    </w:p>
    <w:p w14:paraId="546C69D0" w14:textId="1EB5C339" w:rsidR="00B262DC" w:rsidRDefault="00D72AA8" w:rsidP="00B262D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FA846A0" wp14:editId="3F1720BE">
            <wp:simplePos x="0" y="0"/>
            <wp:positionH relativeFrom="margin">
              <wp:align>center</wp:align>
            </wp:positionH>
            <wp:positionV relativeFrom="paragraph">
              <wp:posOffset>14341</wp:posOffset>
            </wp:positionV>
            <wp:extent cx="1804670" cy="655320"/>
            <wp:effectExtent l="0" t="0" r="5080" b="0"/>
            <wp:wrapSquare wrapText="bothSides"/>
            <wp:docPr id="1270648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8E389" w14:textId="3B691C02" w:rsidR="00B262DC" w:rsidRDefault="00B262DC" w:rsidP="00B262DC">
      <w:pPr>
        <w:rPr>
          <w:b/>
          <w:bCs/>
        </w:rPr>
      </w:pPr>
    </w:p>
    <w:p w14:paraId="59A3F916" w14:textId="77777777" w:rsidR="00B262DC" w:rsidRDefault="00B262DC" w:rsidP="00B262DC">
      <w:pPr>
        <w:rPr>
          <w:b/>
          <w:bCs/>
        </w:rPr>
      </w:pPr>
    </w:p>
    <w:p w14:paraId="0E749F89" w14:textId="4B8DF901" w:rsidR="00B262DC" w:rsidRDefault="00880BF6" w:rsidP="00B262DC">
      <w:r>
        <w:t>Total re</w:t>
      </w:r>
      <w:r w:rsidR="00CE604F">
        <w:t xml:space="preserve">venue has been increasing greater than that of which Cost of revenue is </w:t>
      </w:r>
      <w:r w:rsidR="00932C8E">
        <w:t xml:space="preserve">increasing this would suggest that the Revenue drivers over the years 2021 and 2022 have been greater than that of </w:t>
      </w:r>
      <w:r w:rsidR="00B52621">
        <w:t xml:space="preserve">the cost drivers for Marriot Inc. </w:t>
      </w:r>
      <w:r w:rsidR="007D5B30">
        <w:t xml:space="preserve">Currently in a </w:t>
      </w:r>
      <w:r w:rsidR="00B31F00">
        <w:t>lawsuit</w:t>
      </w:r>
      <w:r w:rsidR="007D5B30">
        <w:t xml:space="preserve"> </w:t>
      </w:r>
      <w:r w:rsidR="0012168D">
        <w:t xml:space="preserve">which has </w:t>
      </w:r>
      <w:r w:rsidR="00B31F00">
        <w:t>arisen</w:t>
      </w:r>
      <w:r w:rsidR="0012168D">
        <w:t xml:space="preserve"> from an alleged failure to pay employees all wages owed or provide required meal and rest breaks</w:t>
      </w:r>
      <w:r w:rsidR="004B3869">
        <w:t xml:space="preserve">. This may elicit </w:t>
      </w:r>
      <w:r w:rsidR="00701B2F">
        <w:t xml:space="preserve">legal fees which can </w:t>
      </w:r>
      <w:r w:rsidR="00B31F00">
        <w:t>lead to increase in the cost drivers and regulatory fees.</w:t>
      </w:r>
      <w:r w:rsidR="00373F6E">
        <w:t xml:space="preserve"> Early 2021 was a </w:t>
      </w:r>
      <w:r w:rsidR="00EF6A09">
        <w:t xml:space="preserve">distraught period for the company due to the ongoing concerns and risks by the Covid-19 pandemic and caused </w:t>
      </w:r>
      <w:r w:rsidR="006F1117">
        <w:t xml:space="preserve">shortage in demand for hospitality services especially in the hotel business </w:t>
      </w:r>
      <w:r w:rsidR="00A83BB5">
        <w:t>which has impacted the amount of revenue the company was able to generate during this period.</w:t>
      </w:r>
    </w:p>
    <w:p w14:paraId="624059A4" w14:textId="1845A5DC" w:rsidR="00B262DC" w:rsidRDefault="00B262DC" w:rsidP="00B262DC">
      <w:pPr>
        <w:rPr>
          <w:b/>
          <w:bCs/>
        </w:rPr>
      </w:pPr>
    </w:p>
    <w:p w14:paraId="186B1781" w14:textId="07FBF72A" w:rsidR="00B262DC" w:rsidRDefault="00B262DC" w:rsidP="00B262D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Johnson &amp; Johnson</w:t>
      </w:r>
    </w:p>
    <w:p w14:paraId="5407A915" w14:textId="0F7D30CF" w:rsidR="00B262DC" w:rsidRDefault="006F25B9" w:rsidP="006F25B9">
      <w:pPr>
        <w:rPr>
          <w:b/>
          <w:bCs/>
        </w:rPr>
      </w:pPr>
      <w:r w:rsidRPr="006F25B9">
        <w:rPr>
          <w:b/>
          <w:bCs/>
        </w:rPr>
        <w:t>Revenue drivers</w:t>
      </w:r>
      <w:r>
        <w:rPr>
          <w:b/>
          <w:bCs/>
        </w:rPr>
        <w:t>:</w:t>
      </w:r>
    </w:p>
    <w:p w14:paraId="2460C7AE" w14:textId="0E3D9AE0" w:rsidR="008E1C9D" w:rsidRPr="000A18BD" w:rsidRDefault="008E1C9D" w:rsidP="008E1C9D">
      <w:pPr>
        <w:pStyle w:val="ListParagraph"/>
        <w:numPr>
          <w:ilvl w:val="0"/>
          <w:numId w:val="1"/>
        </w:numPr>
        <w:rPr>
          <w:b/>
          <w:bCs/>
        </w:rPr>
      </w:pPr>
      <w:r w:rsidRPr="008E1C9D">
        <w:rPr>
          <w:b/>
          <w:bCs/>
        </w:rPr>
        <w:t>Pharmaceutical Sales:</w:t>
      </w:r>
      <w:r w:rsidRPr="008E1C9D">
        <w:t xml:space="preserve"> A significant portion of revenue often comes from the sales of pharmaceutical products, including prescription drugs and over-the-counter medications.</w:t>
      </w:r>
    </w:p>
    <w:p w14:paraId="0791B4ED" w14:textId="194C1555" w:rsidR="000A18BD" w:rsidRPr="008E1DFC" w:rsidRDefault="000A18BD" w:rsidP="008E1DFC">
      <w:pPr>
        <w:pStyle w:val="ListParagraph"/>
        <w:numPr>
          <w:ilvl w:val="0"/>
          <w:numId w:val="1"/>
        </w:numPr>
        <w:rPr>
          <w:b/>
          <w:bCs/>
        </w:rPr>
      </w:pPr>
      <w:r w:rsidRPr="000A18BD">
        <w:rPr>
          <w:b/>
          <w:bCs/>
        </w:rPr>
        <w:t>Medical Devices:</w:t>
      </w:r>
      <w:r>
        <w:rPr>
          <w:b/>
          <w:bCs/>
        </w:rPr>
        <w:t xml:space="preserve"> </w:t>
      </w:r>
      <w:r w:rsidRPr="000A18BD">
        <w:t>Revenue generated from the sale of medical devices and equipment, ranging from surgical instruments to diagnostic equipment.</w:t>
      </w:r>
    </w:p>
    <w:p w14:paraId="6C528BF2" w14:textId="5969B881" w:rsidR="008E1DFC" w:rsidRPr="001C7C6D" w:rsidRDefault="005C0015" w:rsidP="005C0015">
      <w:pPr>
        <w:pStyle w:val="ListParagraph"/>
        <w:numPr>
          <w:ilvl w:val="0"/>
          <w:numId w:val="1"/>
        </w:numPr>
        <w:rPr>
          <w:b/>
          <w:bCs/>
        </w:rPr>
      </w:pPr>
      <w:r w:rsidRPr="005C0015">
        <w:rPr>
          <w:b/>
          <w:bCs/>
        </w:rPr>
        <w:t>Consumer Health Products:</w:t>
      </w:r>
      <w:r>
        <w:rPr>
          <w:b/>
          <w:bCs/>
        </w:rPr>
        <w:t xml:space="preserve"> </w:t>
      </w:r>
      <w:r w:rsidRPr="005C0015">
        <w:t>Sales of consumer health products, such as skincare, baby care, and over-the-counter medicines, contribute to the overall revenue.</w:t>
      </w:r>
    </w:p>
    <w:p w14:paraId="29F29397" w14:textId="78F4A069" w:rsidR="001C7C6D" w:rsidRDefault="001C7C6D" w:rsidP="001C7C6D">
      <w:pPr>
        <w:pStyle w:val="ListParagraph"/>
        <w:numPr>
          <w:ilvl w:val="0"/>
          <w:numId w:val="1"/>
        </w:numPr>
      </w:pPr>
      <w:r w:rsidRPr="001C7C6D">
        <w:rPr>
          <w:b/>
          <w:bCs/>
        </w:rPr>
        <w:t>Biopharmaceuticals and Vaccines</w:t>
      </w:r>
      <w:r w:rsidRPr="001C7C6D">
        <w:t>: Revenue from biopharmaceutical products, including vaccines and other biological products.</w:t>
      </w:r>
    </w:p>
    <w:p w14:paraId="6766C9CB" w14:textId="7571EB28" w:rsidR="00872FF7" w:rsidRDefault="00872FF7" w:rsidP="00872FF7">
      <w:pPr>
        <w:pStyle w:val="ListParagraph"/>
        <w:numPr>
          <w:ilvl w:val="0"/>
          <w:numId w:val="1"/>
        </w:numPr>
      </w:pPr>
      <w:r w:rsidRPr="00872FF7">
        <w:rPr>
          <w:b/>
          <w:bCs/>
        </w:rPr>
        <w:t>Healthcare Services:</w:t>
      </w:r>
      <w:r>
        <w:t xml:space="preserve"> In some cases, companies like Johnson &amp; Johnson may derive revenue from healthcare services, such as diagnostic services or health management programs.</w:t>
      </w:r>
    </w:p>
    <w:p w14:paraId="34372B75" w14:textId="59168313" w:rsidR="008E16E2" w:rsidRDefault="008E16E2" w:rsidP="008E16E2">
      <w:pPr>
        <w:pStyle w:val="ListParagraph"/>
        <w:numPr>
          <w:ilvl w:val="0"/>
          <w:numId w:val="1"/>
        </w:numPr>
      </w:pPr>
      <w:r w:rsidRPr="008E16E2">
        <w:rPr>
          <w:b/>
          <w:bCs/>
        </w:rPr>
        <w:t>Licensing and Collaborations</w:t>
      </w:r>
      <w:r>
        <w:t>: Revenue generated through licensing agreements and collaborations with other companies or institutions for the development and commercialization of products.</w:t>
      </w:r>
    </w:p>
    <w:p w14:paraId="432BCD5E" w14:textId="1B1356B2" w:rsidR="00BF2944" w:rsidRDefault="002335BE" w:rsidP="00BF2944">
      <w:pPr>
        <w:pStyle w:val="ListParagraph"/>
        <w:numPr>
          <w:ilvl w:val="0"/>
          <w:numId w:val="1"/>
        </w:numPr>
      </w:pPr>
      <w:r w:rsidRPr="002335BE">
        <w:rPr>
          <w:b/>
          <w:bCs/>
        </w:rPr>
        <w:t>Acquisitions:</w:t>
      </w:r>
      <w:r>
        <w:t xml:space="preserve"> Growth through strategic acquisitions of other healthcare companies or innovative technologies.</w:t>
      </w:r>
    </w:p>
    <w:p w14:paraId="18C6440B" w14:textId="585696A2" w:rsidR="00BF2944" w:rsidRPr="00BF2944" w:rsidRDefault="00BF2944" w:rsidP="00BF2944">
      <w:pPr>
        <w:rPr>
          <w:b/>
          <w:bCs/>
        </w:rPr>
      </w:pPr>
      <w:r w:rsidRPr="00BF2944">
        <w:rPr>
          <w:b/>
          <w:bCs/>
        </w:rPr>
        <w:t>Cost Drivers:</w:t>
      </w:r>
    </w:p>
    <w:p w14:paraId="313F8E62" w14:textId="4A95662C" w:rsidR="00BF2944" w:rsidRDefault="00095A27" w:rsidP="00095A27">
      <w:pPr>
        <w:pStyle w:val="ListParagraph"/>
        <w:numPr>
          <w:ilvl w:val="0"/>
          <w:numId w:val="1"/>
        </w:numPr>
      </w:pPr>
      <w:r w:rsidRPr="00095A27">
        <w:rPr>
          <w:b/>
          <w:bCs/>
        </w:rPr>
        <w:t>Research and Development (R&amp;D):</w:t>
      </w:r>
      <w:r>
        <w:t xml:space="preserve"> Investments in R&amp;D for the development of new pharmaceuticals, medical devices, and consumer health products.</w:t>
      </w:r>
    </w:p>
    <w:p w14:paraId="48DFB763" w14:textId="68C15020" w:rsidR="00553DAA" w:rsidRDefault="00553DAA" w:rsidP="00553DAA">
      <w:pPr>
        <w:pStyle w:val="ListParagraph"/>
        <w:numPr>
          <w:ilvl w:val="0"/>
          <w:numId w:val="1"/>
        </w:numPr>
      </w:pPr>
      <w:r w:rsidRPr="00553DAA">
        <w:rPr>
          <w:b/>
          <w:bCs/>
        </w:rPr>
        <w:t>Manufacturing and Production Costs:</w:t>
      </w:r>
      <w:r>
        <w:t xml:space="preserve"> Costs associated with the production of pharmaceuticals, medical devices, and consumer health products, including raw materials, labour, and facilities.</w:t>
      </w:r>
    </w:p>
    <w:p w14:paraId="412DC6AC" w14:textId="6B66AB9E" w:rsidR="0046562D" w:rsidRDefault="0046562D" w:rsidP="0046562D">
      <w:pPr>
        <w:pStyle w:val="ListParagraph"/>
        <w:numPr>
          <w:ilvl w:val="0"/>
          <w:numId w:val="1"/>
        </w:numPr>
      </w:pPr>
      <w:r w:rsidRPr="0046562D">
        <w:rPr>
          <w:b/>
          <w:bCs/>
        </w:rPr>
        <w:t>Regulatory Compliance:</w:t>
      </w:r>
      <w:r>
        <w:t xml:space="preserve"> Expenses related to ensuring compliance with regulatory requirements in various markets, including testing, documentation, and quality control.</w:t>
      </w:r>
    </w:p>
    <w:p w14:paraId="12C58B34" w14:textId="1A32BE33" w:rsidR="00D028E6" w:rsidRDefault="00D028E6" w:rsidP="00D028E6">
      <w:pPr>
        <w:pStyle w:val="ListParagraph"/>
        <w:numPr>
          <w:ilvl w:val="0"/>
          <w:numId w:val="1"/>
        </w:numPr>
      </w:pPr>
      <w:r w:rsidRPr="00D028E6">
        <w:rPr>
          <w:b/>
          <w:bCs/>
        </w:rPr>
        <w:lastRenderedPageBreak/>
        <w:t>Marketing and Sales Expenses:</w:t>
      </w:r>
      <w:r>
        <w:t xml:space="preserve"> Costs associated with marketing campaigns, sales force compensation, and promotional activities to promote and sell products.</w:t>
      </w:r>
    </w:p>
    <w:p w14:paraId="7B3F67B8" w14:textId="7E67BFD0" w:rsidR="006638D4" w:rsidRDefault="006638D4" w:rsidP="006638D4">
      <w:pPr>
        <w:pStyle w:val="ListParagraph"/>
        <w:numPr>
          <w:ilvl w:val="0"/>
          <w:numId w:val="1"/>
        </w:numPr>
      </w:pPr>
      <w:r w:rsidRPr="006638D4">
        <w:rPr>
          <w:b/>
          <w:bCs/>
        </w:rPr>
        <w:t>Distribution and Logistics:</w:t>
      </w:r>
      <w:r>
        <w:t xml:space="preserve"> Costs related to the distribution and transportation of products to various markets and distribution channels.</w:t>
      </w:r>
    </w:p>
    <w:p w14:paraId="581C1B15" w14:textId="47C7C073" w:rsidR="002E3B20" w:rsidRDefault="002E3B20" w:rsidP="002E3B20">
      <w:pPr>
        <w:pStyle w:val="ListParagraph"/>
        <w:numPr>
          <w:ilvl w:val="0"/>
          <w:numId w:val="1"/>
        </w:numPr>
      </w:pPr>
      <w:r w:rsidRPr="002E3B20">
        <w:rPr>
          <w:b/>
          <w:bCs/>
        </w:rPr>
        <w:t>Quality Control and Assurance</w:t>
      </w:r>
      <w:r>
        <w:t>: Investments in quality control processes and systems to ensure the safety and efficacy of products.</w:t>
      </w:r>
    </w:p>
    <w:p w14:paraId="3C14A33B" w14:textId="4798822D" w:rsidR="0094060E" w:rsidRDefault="0094060E" w:rsidP="0094060E">
      <w:pPr>
        <w:pStyle w:val="ListParagraph"/>
        <w:numPr>
          <w:ilvl w:val="0"/>
          <w:numId w:val="1"/>
        </w:numPr>
      </w:pPr>
      <w:r w:rsidRPr="0094060E">
        <w:rPr>
          <w:b/>
          <w:bCs/>
        </w:rPr>
        <w:t>Employee Benefits and Compensation:</w:t>
      </w:r>
      <w:r>
        <w:t xml:space="preserve"> Salaries, benefits, and other compensation-related costs for employees across various functions.</w:t>
      </w:r>
    </w:p>
    <w:p w14:paraId="3810BF30" w14:textId="76577971" w:rsidR="00031DF9" w:rsidRDefault="00031DF9" w:rsidP="00031DF9">
      <w:pPr>
        <w:pStyle w:val="ListParagraph"/>
        <w:numPr>
          <w:ilvl w:val="0"/>
          <w:numId w:val="1"/>
        </w:numPr>
      </w:pPr>
      <w:r w:rsidRPr="00031DF9">
        <w:rPr>
          <w:b/>
          <w:bCs/>
        </w:rPr>
        <w:t>Environmental and Sustainability Initiatives:</w:t>
      </w:r>
      <w:r>
        <w:t xml:space="preserve"> Costs related to environmental sustainability efforts and corporate social responsibility initiatives.</w:t>
      </w:r>
    </w:p>
    <w:p w14:paraId="27AE63C9" w14:textId="17F6FFAA" w:rsidR="008E2714" w:rsidRDefault="008E2714" w:rsidP="008E2714">
      <w:pPr>
        <w:pStyle w:val="ListParagraph"/>
        <w:numPr>
          <w:ilvl w:val="0"/>
          <w:numId w:val="1"/>
        </w:numPr>
      </w:pPr>
      <w:r w:rsidRPr="008E2714">
        <w:rPr>
          <w:b/>
          <w:bCs/>
        </w:rPr>
        <w:t>Depreciation and Amortization:</w:t>
      </w:r>
      <w:r>
        <w:t xml:space="preserve"> The allocation of costs associated with the depreciation of assets and the amortization of intangible assets over time.</w:t>
      </w:r>
    </w:p>
    <w:p w14:paraId="60CC0857" w14:textId="77777777" w:rsidR="008F6574" w:rsidRDefault="008F6574" w:rsidP="008F6574">
      <w:pPr>
        <w:pStyle w:val="ListParagraph"/>
      </w:pPr>
    </w:p>
    <w:p w14:paraId="28461379" w14:textId="561B3FB6" w:rsidR="00031DF9" w:rsidRDefault="008F6574" w:rsidP="008E2714">
      <w:pPr>
        <w:pStyle w:val="ListParagraph"/>
      </w:pPr>
      <w:r>
        <w:rPr>
          <w:noProof/>
        </w:rPr>
        <w:drawing>
          <wp:inline distT="0" distB="0" distL="0" distR="0" wp14:anchorId="6E67FBC3" wp14:editId="26324F18">
            <wp:extent cx="4572000" cy="2743200"/>
            <wp:effectExtent l="0" t="0" r="0" b="0"/>
            <wp:docPr id="11039170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094C1A-2BC7-EC1F-7462-65A515AC8D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D3EBA2" w14:textId="010DB5B8" w:rsidR="0094060E" w:rsidRDefault="005B678B" w:rsidP="00031DF9">
      <w:pPr>
        <w:pStyle w:val="ListParagraph"/>
      </w:pPr>
      <w:r w:rsidRPr="005B678B">
        <w:rPr>
          <w:noProof/>
        </w:rPr>
        <w:drawing>
          <wp:anchor distT="0" distB="0" distL="114300" distR="114300" simplePos="0" relativeHeight="251660288" behindDoc="0" locked="0" layoutInCell="1" allowOverlap="1" wp14:anchorId="7792EC20" wp14:editId="55231C79">
            <wp:simplePos x="0" y="0"/>
            <wp:positionH relativeFrom="column">
              <wp:posOffset>457200</wp:posOffset>
            </wp:positionH>
            <wp:positionV relativeFrom="paragraph">
              <wp:posOffset>186055</wp:posOffset>
            </wp:positionV>
            <wp:extent cx="5149850" cy="551180"/>
            <wp:effectExtent l="0" t="0" r="0" b="1270"/>
            <wp:wrapSquare wrapText="bothSides"/>
            <wp:docPr id="1845313392" name="Picture 1" descr="A white grid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13392" name="Picture 1" descr="A white grid with black numbe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953F6D" w14:textId="30EFF819" w:rsidR="0094060E" w:rsidRDefault="0094060E" w:rsidP="0094060E">
      <w:pPr>
        <w:pStyle w:val="ListParagraph"/>
      </w:pPr>
    </w:p>
    <w:p w14:paraId="7FDA2AAC" w14:textId="1084E954" w:rsidR="002E3B20" w:rsidRDefault="00BC112B" w:rsidP="002E3B20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04E3A6" wp14:editId="4639603F">
            <wp:simplePos x="0" y="0"/>
            <wp:positionH relativeFrom="margin">
              <wp:posOffset>1767840</wp:posOffset>
            </wp:positionH>
            <wp:positionV relativeFrom="paragraph">
              <wp:posOffset>92710</wp:posOffset>
            </wp:positionV>
            <wp:extent cx="2181225" cy="741680"/>
            <wp:effectExtent l="0" t="0" r="9525" b="1270"/>
            <wp:wrapSquare wrapText="bothSides"/>
            <wp:docPr id="9739873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D3952D" w14:textId="018DF668" w:rsidR="006638D4" w:rsidRDefault="006638D4" w:rsidP="002E3B20">
      <w:pPr>
        <w:pStyle w:val="ListParagraph"/>
      </w:pPr>
    </w:p>
    <w:p w14:paraId="4394FBE5" w14:textId="6991916D" w:rsidR="00D028E6" w:rsidRDefault="00D028E6" w:rsidP="006638D4">
      <w:pPr>
        <w:pStyle w:val="ListParagraph"/>
      </w:pPr>
    </w:p>
    <w:p w14:paraId="3C5548EC" w14:textId="77777777" w:rsidR="00553DAA" w:rsidRDefault="00553DAA" w:rsidP="0046562D">
      <w:pPr>
        <w:pStyle w:val="ListParagraph"/>
      </w:pPr>
    </w:p>
    <w:p w14:paraId="1DC3510E" w14:textId="77777777" w:rsidR="00095A27" w:rsidRDefault="00095A27" w:rsidP="00553DAA">
      <w:pPr>
        <w:pStyle w:val="ListParagraph"/>
      </w:pPr>
    </w:p>
    <w:p w14:paraId="06EA2A5C" w14:textId="77777777" w:rsidR="008E16E2" w:rsidRDefault="008E16E2" w:rsidP="008E16E2">
      <w:pPr>
        <w:pStyle w:val="ListParagraph"/>
      </w:pPr>
    </w:p>
    <w:p w14:paraId="271A9CBE" w14:textId="52CD8226" w:rsidR="00872FF7" w:rsidRPr="001C7C6D" w:rsidRDefault="004D533A" w:rsidP="00872FF7">
      <w:pPr>
        <w:pStyle w:val="ListParagraph"/>
      </w:pPr>
      <w:r>
        <w:t xml:space="preserve">The growth rates </w:t>
      </w:r>
      <w:r w:rsidR="007D037D">
        <w:t xml:space="preserve">for revenue is less in 2022 than the growth of Cost of products sold </w:t>
      </w:r>
      <w:r w:rsidR="00901558">
        <w:t>this would suggest that t</w:t>
      </w:r>
      <w:r w:rsidR="00701F40">
        <w:t>he cost drivers were higher than that of the revenue drivers</w:t>
      </w:r>
      <w:r w:rsidR="0028040D">
        <w:t xml:space="preserve">. </w:t>
      </w:r>
      <w:r w:rsidR="002E58A0">
        <w:t xml:space="preserve">This may be due to the </w:t>
      </w:r>
      <w:r w:rsidR="00826566">
        <w:t>reduction</w:t>
      </w:r>
      <w:r w:rsidR="002E58A0">
        <w:t xml:space="preserve"> in sales related to </w:t>
      </w:r>
      <w:r w:rsidR="00826566">
        <w:t>Covid-19</w:t>
      </w:r>
      <w:r w:rsidR="002E58A0">
        <w:t xml:space="preserve"> which </w:t>
      </w:r>
      <w:r w:rsidR="00826566">
        <w:t>was</w:t>
      </w:r>
      <w:r w:rsidR="002E58A0">
        <w:t xml:space="preserve"> a major revenue driver the year previous</w:t>
      </w:r>
      <w:r w:rsidR="007D334E">
        <w:t xml:space="preserve">. </w:t>
      </w:r>
      <w:r w:rsidR="00794DF8">
        <w:t xml:space="preserve">Certain </w:t>
      </w:r>
      <w:r w:rsidR="00221CA0">
        <w:t xml:space="preserve">fixed cost drivers have also seen a major rise such as finance costs </w:t>
      </w:r>
      <w:r w:rsidR="00F01403">
        <w:t xml:space="preserve">to combat drastically rising inflation rates. Lack of consumer </w:t>
      </w:r>
      <w:r w:rsidR="00733717">
        <w:t xml:space="preserve">purchases of manufactured goods and services provided by Johnson and Johnson would have also seen a decrease due to the </w:t>
      </w:r>
      <w:r w:rsidR="00AA0C45">
        <w:t>rise in these interest rates as consumers would have less disposable income due to high interest costs.</w:t>
      </w:r>
    </w:p>
    <w:p w14:paraId="085A071B" w14:textId="77777777" w:rsidR="001C7C6D" w:rsidRPr="005C0015" w:rsidRDefault="001C7C6D" w:rsidP="001C7C6D">
      <w:pPr>
        <w:pStyle w:val="ListParagraph"/>
        <w:rPr>
          <w:b/>
          <w:bCs/>
        </w:rPr>
      </w:pPr>
    </w:p>
    <w:p w14:paraId="460D12FC" w14:textId="77777777" w:rsidR="005C0015" w:rsidRPr="005C0015" w:rsidRDefault="005C0015" w:rsidP="00C820EE">
      <w:pPr>
        <w:pStyle w:val="ListParagraph"/>
        <w:rPr>
          <w:b/>
          <w:bCs/>
        </w:rPr>
      </w:pPr>
    </w:p>
    <w:p w14:paraId="2B3BEC27" w14:textId="77777777" w:rsidR="000A18BD" w:rsidRPr="008E1C9D" w:rsidRDefault="000A18BD" w:rsidP="000A18BD">
      <w:pPr>
        <w:pStyle w:val="ListParagraph"/>
        <w:rPr>
          <w:b/>
          <w:bCs/>
        </w:rPr>
      </w:pPr>
    </w:p>
    <w:p w14:paraId="5FB10863" w14:textId="77777777" w:rsidR="006F25B9" w:rsidRPr="006F25B9" w:rsidRDefault="006F25B9" w:rsidP="006F25B9">
      <w:pPr>
        <w:rPr>
          <w:b/>
          <w:bCs/>
        </w:rPr>
      </w:pPr>
    </w:p>
    <w:sectPr w:rsidR="006F25B9" w:rsidRPr="006F2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83"/>
    <w:multiLevelType w:val="hybridMultilevel"/>
    <w:tmpl w:val="82B85B60"/>
    <w:lvl w:ilvl="0" w:tplc="368E3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0740"/>
    <w:multiLevelType w:val="multilevel"/>
    <w:tmpl w:val="B4B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6049880">
    <w:abstractNumId w:val="0"/>
  </w:num>
  <w:num w:numId="2" w16cid:durableId="20092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CE"/>
    <w:rsid w:val="00031DF9"/>
    <w:rsid w:val="00095A27"/>
    <w:rsid w:val="000A18BD"/>
    <w:rsid w:val="000E4321"/>
    <w:rsid w:val="0010414E"/>
    <w:rsid w:val="0012168D"/>
    <w:rsid w:val="001C7C6D"/>
    <w:rsid w:val="00221CA0"/>
    <w:rsid w:val="002335BE"/>
    <w:rsid w:val="00252D69"/>
    <w:rsid w:val="0028040D"/>
    <w:rsid w:val="002E3B20"/>
    <w:rsid w:val="002E58A0"/>
    <w:rsid w:val="00373F6E"/>
    <w:rsid w:val="0046562D"/>
    <w:rsid w:val="004B3869"/>
    <w:rsid w:val="004D0E10"/>
    <w:rsid w:val="004D533A"/>
    <w:rsid w:val="00553DAA"/>
    <w:rsid w:val="005B678B"/>
    <w:rsid w:val="005C0015"/>
    <w:rsid w:val="006638D4"/>
    <w:rsid w:val="006F1117"/>
    <w:rsid w:val="006F25B9"/>
    <w:rsid w:val="00701B2F"/>
    <w:rsid w:val="00701F40"/>
    <w:rsid w:val="00733717"/>
    <w:rsid w:val="00794DF8"/>
    <w:rsid w:val="007D037D"/>
    <w:rsid w:val="007D334E"/>
    <w:rsid w:val="007D5B30"/>
    <w:rsid w:val="008066E8"/>
    <w:rsid w:val="00824DCD"/>
    <w:rsid w:val="00826566"/>
    <w:rsid w:val="00872FF7"/>
    <w:rsid w:val="00880BF6"/>
    <w:rsid w:val="008E16E2"/>
    <w:rsid w:val="008E1C9D"/>
    <w:rsid w:val="008E1DFC"/>
    <w:rsid w:val="008E2714"/>
    <w:rsid w:val="008F6574"/>
    <w:rsid w:val="00901558"/>
    <w:rsid w:val="00932C8E"/>
    <w:rsid w:val="0094060E"/>
    <w:rsid w:val="00A83BB5"/>
    <w:rsid w:val="00AA0C45"/>
    <w:rsid w:val="00B262DC"/>
    <w:rsid w:val="00B31F00"/>
    <w:rsid w:val="00B52621"/>
    <w:rsid w:val="00B659CE"/>
    <w:rsid w:val="00BC112B"/>
    <w:rsid w:val="00BF2944"/>
    <w:rsid w:val="00C820EE"/>
    <w:rsid w:val="00CE604F"/>
    <w:rsid w:val="00CF6960"/>
    <w:rsid w:val="00D028E6"/>
    <w:rsid w:val="00D72AA8"/>
    <w:rsid w:val="00EF6A09"/>
    <w:rsid w:val="00F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AE99"/>
  <w15:chartTrackingRefBased/>
  <w15:docId w15:val="{88FB9D6C-3447-494F-8D97-A847ED9B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Marriot</a:t>
            </a:r>
            <a:r>
              <a:rPr lang="en-GB" baseline="0"/>
              <a:t> Inc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'[71706699368991_Task 4 Revenue ^0 Cost Drivers.xlsx]Sheet1'!$C$2</c:f>
              <c:strCache>
                <c:ptCount val="1"/>
                <c:pt idx="0">
                  <c:v>Total Revenue (£000)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'[71706699368991_Task 4 Revenue ^0 Cost Drivers.xlsx]Sheet1'!$B$3:$B$5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xVal>
          <c:yVal>
            <c:numRef>
              <c:f>'[71706699368991_Task 4 Revenue ^0 Cost Drivers.xlsx]Sheet1'!$C$3:$C$5</c:f>
              <c:numCache>
                <c:formatCode>#,##0</c:formatCode>
                <c:ptCount val="3"/>
                <c:pt idx="0">
                  <c:v>10571000</c:v>
                </c:pt>
                <c:pt idx="1">
                  <c:v>13857000</c:v>
                </c:pt>
                <c:pt idx="2">
                  <c:v>20773000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41D-4284-ABD3-0C8F95EB176C}"/>
            </c:ext>
          </c:extLst>
        </c:ser>
        <c:ser>
          <c:idx val="1"/>
          <c:order val="1"/>
          <c:tx>
            <c:strRef>
              <c:f>'[71706699368991_Task 4 Revenue ^0 Cost Drivers.xlsx]Sheet1'!$D$2</c:f>
              <c:strCache>
                <c:ptCount val="1"/>
                <c:pt idx="0">
                  <c:v>Cost of revenue (£000)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'[71706699368991_Task 4 Revenue ^0 Cost Drivers.xlsx]Sheet1'!$B$3:$B$5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xVal>
          <c:yVal>
            <c:numRef>
              <c:f>'[71706699368991_Task 4 Revenue ^0 Cost Drivers.xlsx]Sheet1'!$D$3:$D$5</c:f>
              <c:numCache>
                <c:formatCode>#,##0</c:formatCode>
                <c:ptCount val="3"/>
                <c:pt idx="0">
                  <c:v>9112000</c:v>
                </c:pt>
                <c:pt idx="1">
                  <c:v>11056000</c:v>
                </c:pt>
                <c:pt idx="2">
                  <c:v>16215000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41D-4284-ABD3-0C8F95EB1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5285952"/>
        <c:axId val="1662136464"/>
      </c:scatterChart>
      <c:valAx>
        <c:axId val="1545285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62136464"/>
        <c:crosses val="autoZero"/>
        <c:crossBetween val="midCat"/>
      </c:valAx>
      <c:valAx>
        <c:axId val="166213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52859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Johnson</a:t>
            </a:r>
            <a:r>
              <a:rPr lang="en-GB" baseline="0"/>
              <a:t> and Johnson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'[71706699368991_Task 4 Revenue ^0 Cost Drivers.xlsx]Sheet1'!$B$31</c:f>
              <c:strCache>
                <c:ptCount val="1"/>
                <c:pt idx="0">
                  <c:v>Total revenue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'[71706699368991_Task 4 Revenue ^0 Cost Drivers.xlsx]Sheet1'!$C$30:$E$30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xVal>
          <c:yVal>
            <c:numRef>
              <c:f>'[71706699368991_Task 4 Revenue ^0 Cost Drivers.xlsx]Sheet1'!$C$31:$E$31</c:f>
              <c:numCache>
                <c:formatCode>#,##0</c:formatCode>
                <c:ptCount val="3"/>
                <c:pt idx="0">
                  <c:v>82584</c:v>
                </c:pt>
                <c:pt idx="1">
                  <c:v>93775</c:v>
                </c:pt>
                <c:pt idx="2">
                  <c:v>94943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1D4-4B87-B7A3-FDA3F0B5AC75}"/>
            </c:ext>
          </c:extLst>
        </c:ser>
        <c:ser>
          <c:idx val="1"/>
          <c:order val="1"/>
          <c:tx>
            <c:strRef>
              <c:f>'[71706699368991_Task 4 Revenue ^0 Cost Drivers.xlsx]Sheet1'!$B$32</c:f>
              <c:strCache>
                <c:ptCount val="1"/>
                <c:pt idx="0">
                  <c:v>Cost of products sold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'[71706699368991_Task 4 Revenue ^0 Cost Drivers.xlsx]Sheet1'!$C$30:$E$30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xVal>
          <c:yVal>
            <c:numRef>
              <c:f>'[71706699368991_Task 4 Revenue ^0 Cost Drivers.xlsx]Sheet1'!$C$32:$E$32</c:f>
              <c:numCache>
                <c:formatCode>#,##0</c:formatCode>
                <c:ptCount val="3"/>
                <c:pt idx="0">
                  <c:v>28427</c:v>
                </c:pt>
                <c:pt idx="1">
                  <c:v>29855</c:v>
                </c:pt>
                <c:pt idx="2">
                  <c:v>31089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1D4-4B87-B7A3-FDA3F0B5A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0616224"/>
        <c:axId val="1478852512"/>
      </c:scatterChart>
      <c:valAx>
        <c:axId val="1550616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8852512"/>
        <c:crosses val="autoZero"/>
        <c:crossBetween val="midCat"/>
      </c:valAx>
      <c:valAx>
        <c:axId val="147885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061622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Cetinkaya</dc:creator>
  <cp:keywords/>
  <dc:description/>
  <cp:lastModifiedBy>Berkay Cetinkaya</cp:lastModifiedBy>
  <cp:revision>56</cp:revision>
  <dcterms:created xsi:type="dcterms:W3CDTF">2024-02-03T13:46:00Z</dcterms:created>
  <dcterms:modified xsi:type="dcterms:W3CDTF">2024-02-07T20:09:00Z</dcterms:modified>
</cp:coreProperties>
</file>