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8E526" w14:textId="7C582388" w:rsidR="000B4E2E" w:rsidRPr="00FD0575" w:rsidRDefault="000B4E2E" w:rsidP="000B4E2E">
      <w:pPr>
        <w:jc w:val="center"/>
        <w:rPr>
          <w:rFonts w:ascii="Cambria" w:hAnsi="Cambria" w:cs="Aldhabi"/>
          <w:b/>
          <w:bCs/>
          <w:color w:val="0D0D0D"/>
          <w:sz w:val="32"/>
          <w:szCs w:val="32"/>
          <w:u w:val="single"/>
          <w:shd w:val="clear" w:color="auto" w:fill="FFFFFF"/>
        </w:rPr>
      </w:pPr>
      <w:r w:rsidRPr="00FD0575">
        <w:rPr>
          <w:rFonts w:ascii="Cambria" w:hAnsi="Cambria" w:cs="Aldhabi"/>
          <w:b/>
          <w:bCs/>
          <w:color w:val="0D0D0D"/>
          <w:sz w:val="32"/>
          <w:szCs w:val="32"/>
          <w:u w:val="single"/>
          <w:shd w:val="clear" w:color="auto" w:fill="FFFFFF"/>
        </w:rPr>
        <w:t>Visa</w:t>
      </w:r>
    </w:p>
    <w:p w14:paraId="6D7CBA6A" w14:textId="657496AD" w:rsidR="000B4E2E" w:rsidRPr="00FD0575" w:rsidRDefault="000B4E2E" w:rsidP="000B4E2E">
      <w:pPr>
        <w:rPr>
          <w:rFonts w:ascii="Cambria" w:hAnsi="Cambria" w:cs="Aldhabi"/>
          <w:b/>
          <w:bCs/>
          <w:color w:val="0D0D0D"/>
          <w:shd w:val="clear" w:color="auto" w:fill="FFFFFF"/>
        </w:rPr>
      </w:pPr>
      <w:r w:rsidRPr="00FD0575">
        <w:rPr>
          <w:rFonts w:ascii="Cambria" w:hAnsi="Cambria" w:cs="Aldhabi"/>
          <w:b/>
          <w:bCs/>
          <w:color w:val="0D0D0D"/>
          <w:shd w:val="clear" w:color="auto" w:fill="FFFFFF"/>
        </w:rPr>
        <w:t>Industry:</w:t>
      </w:r>
    </w:p>
    <w:p w14:paraId="725F5EA4" w14:textId="6FCB8365" w:rsidR="000B4E2E" w:rsidRPr="00FD0575" w:rsidRDefault="000B4E2E" w:rsidP="000B4E2E">
      <w:pPr>
        <w:rPr>
          <w:rFonts w:ascii="Cambria" w:hAnsi="Cambria" w:cs="Aldhabi"/>
          <w:color w:val="0D0D0D"/>
          <w:shd w:val="clear" w:color="auto" w:fill="FFFFFF"/>
        </w:rPr>
      </w:pPr>
      <w:r w:rsidRPr="00FD0575">
        <w:rPr>
          <w:rFonts w:ascii="Cambria" w:hAnsi="Cambria" w:cs="Aldhabi"/>
          <w:color w:val="0D0D0D"/>
          <w:shd w:val="clear" w:color="auto" w:fill="FFFFFF"/>
        </w:rPr>
        <w:t xml:space="preserve">Visa operates within the financial services industry, specifically in the payments sector. As a global </w:t>
      </w:r>
      <w:r w:rsidRPr="00FD0575">
        <w:rPr>
          <w:rFonts w:ascii="Cambria" w:hAnsi="Cambria" w:cs="Aldhabi"/>
          <w:color w:val="0D0D0D"/>
          <w:shd w:val="clear" w:color="auto" w:fill="FFFFFF"/>
        </w:rPr>
        <w:t>payment’s</w:t>
      </w:r>
      <w:r w:rsidRPr="00FD0575">
        <w:rPr>
          <w:rFonts w:ascii="Cambria" w:hAnsi="Cambria" w:cs="Aldhabi"/>
          <w:color w:val="0D0D0D"/>
          <w:shd w:val="clear" w:color="auto" w:fill="FFFFFF"/>
        </w:rPr>
        <w:t xml:space="preserve"> technology company, Visa facilitates electronic funds transfers throughout the world. Its primary business involves providing financial institutions, merchants, and consumers with payment solutions, including credit and debit cards, prepaid cards, and digital payment services.</w:t>
      </w:r>
    </w:p>
    <w:p w14:paraId="3BFD1C76" w14:textId="77777777" w:rsidR="000B4E2E" w:rsidRPr="000B4E2E" w:rsidRDefault="000B4E2E" w:rsidP="000B4E2E">
      <w:pPr>
        <w:rPr>
          <w:rFonts w:ascii="Cambria" w:hAnsi="Cambria" w:cs="Aldhabi"/>
        </w:rPr>
      </w:pPr>
      <w:r w:rsidRPr="000B4E2E">
        <w:rPr>
          <w:rFonts w:ascii="Cambria" w:hAnsi="Cambria" w:cs="Aldhabi"/>
          <w:b/>
          <w:bCs/>
        </w:rPr>
        <w:t>Mastercard Incorporated (NYSE: MA):</w:t>
      </w:r>
    </w:p>
    <w:p w14:paraId="7839BFA5" w14:textId="77777777" w:rsidR="000B4E2E" w:rsidRPr="00FD0575" w:rsidRDefault="000B4E2E" w:rsidP="000B4E2E">
      <w:pPr>
        <w:numPr>
          <w:ilvl w:val="0"/>
          <w:numId w:val="1"/>
        </w:numPr>
        <w:rPr>
          <w:rFonts w:ascii="Cambria" w:hAnsi="Cambria" w:cs="Aldhabi"/>
        </w:rPr>
      </w:pPr>
      <w:r w:rsidRPr="000B4E2E">
        <w:rPr>
          <w:rFonts w:ascii="Cambria" w:hAnsi="Cambria" w:cs="Aldhabi"/>
        </w:rPr>
        <w:t>Mastercard is a global payments technology company that operates a similar business model to Visa. It provides payment processing services, including authorization, clearing, and settlement of transactions, to financial institutions, merchants, and consumers worldwide. Like Visa, Mastercard does not issue cards or extend credit directly but partners with banks and financial institutions that issue Mastercard-branded payment products.</w:t>
      </w:r>
    </w:p>
    <w:p w14:paraId="38DA2CCB" w14:textId="2AE76D03" w:rsidR="000B4E2E" w:rsidRPr="00FD0575" w:rsidRDefault="000B4E2E" w:rsidP="000B4E2E">
      <w:pPr>
        <w:rPr>
          <w:rFonts w:ascii="Cambria" w:hAnsi="Cambria" w:cs="Aldhabi"/>
          <w:b/>
          <w:bCs/>
        </w:rPr>
      </w:pPr>
      <w:r w:rsidRPr="00FD0575">
        <w:rPr>
          <w:rFonts w:ascii="Cambria" w:hAnsi="Cambria" w:cs="Aldhabi"/>
          <w:b/>
          <w:bCs/>
        </w:rPr>
        <w:t>American Express Company (NYSE: AXP):</w:t>
      </w:r>
    </w:p>
    <w:p w14:paraId="3902DDDF" w14:textId="6DEA9AAD" w:rsidR="000B4E2E" w:rsidRDefault="000B4E2E" w:rsidP="000B4E2E">
      <w:pPr>
        <w:pStyle w:val="ListParagraph"/>
        <w:numPr>
          <w:ilvl w:val="0"/>
          <w:numId w:val="2"/>
        </w:numPr>
        <w:rPr>
          <w:rFonts w:ascii="Cambria" w:hAnsi="Cambria" w:cs="Aldhabi"/>
        </w:rPr>
      </w:pPr>
      <w:r w:rsidRPr="00FD0575">
        <w:rPr>
          <w:rFonts w:ascii="Cambria" w:hAnsi="Cambria" w:cs="Aldhabi"/>
        </w:rPr>
        <w:t>American Express, often referred to as Amex, is another major player in the payments industry. While American Express operates as both a payment network and an issuer of credit cards and charge cards, it competes with Visa in the payment processing space. American Express offers a range of payment and financial services to consumers, small businesses, and corporate clients, including credit cards, charge cards, travel-related services, and merchant services.</w:t>
      </w:r>
    </w:p>
    <w:p w14:paraId="24D2F83B" w14:textId="77777777" w:rsidR="00FD0575" w:rsidRPr="00FD0575" w:rsidRDefault="00FD0575" w:rsidP="00FD0575">
      <w:pPr>
        <w:pStyle w:val="ListParagraph"/>
        <w:rPr>
          <w:rFonts w:ascii="Cambria" w:hAnsi="Cambria" w:cs="Aldhabi"/>
        </w:rPr>
      </w:pPr>
    </w:p>
    <w:p w14:paraId="06BA7786" w14:textId="77777777" w:rsidR="000B4E2E" w:rsidRPr="000B4E2E" w:rsidRDefault="000B4E2E" w:rsidP="000B4E2E">
      <w:pPr>
        <w:rPr>
          <w:rFonts w:ascii="Cambria" w:hAnsi="Cambria" w:cs="Aldhabi"/>
        </w:rPr>
      </w:pPr>
      <w:r w:rsidRPr="000B4E2E">
        <w:rPr>
          <w:rFonts w:ascii="Cambria" w:hAnsi="Cambria" w:cs="Aldhabi"/>
          <w:b/>
          <w:bCs/>
        </w:rPr>
        <w:t>Substitutes:</w:t>
      </w:r>
    </w:p>
    <w:p w14:paraId="3A8810CB" w14:textId="77777777" w:rsidR="000B4E2E" w:rsidRPr="000B4E2E" w:rsidRDefault="000B4E2E" w:rsidP="000B4E2E">
      <w:pPr>
        <w:numPr>
          <w:ilvl w:val="0"/>
          <w:numId w:val="3"/>
        </w:numPr>
        <w:rPr>
          <w:rFonts w:ascii="Cambria" w:hAnsi="Cambria" w:cs="Aldhabi"/>
        </w:rPr>
      </w:pPr>
      <w:r w:rsidRPr="000B4E2E">
        <w:rPr>
          <w:rFonts w:ascii="Cambria" w:hAnsi="Cambria" w:cs="Aldhabi"/>
          <w:b/>
          <w:bCs/>
        </w:rPr>
        <w:t>Cash Payments:</w:t>
      </w:r>
    </w:p>
    <w:p w14:paraId="10F90FAB" w14:textId="77777777" w:rsidR="000B4E2E" w:rsidRPr="000B4E2E" w:rsidRDefault="000B4E2E" w:rsidP="000B4E2E">
      <w:pPr>
        <w:numPr>
          <w:ilvl w:val="1"/>
          <w:numId w:val="3"/>
        </w:numPr>
        <w:rPr>
          <w:rFonts w:ascii="Cambria" w:hAnsi="Cambria" w:cs="Aldhabi"/>
        </w:rPr>
      </w:pPr>
      <w:r w:rsidRPr="000B4E2E">
        <w:rPr>
          <w:rFonts w:ascii="Cambria" w:hAnsi="Cambria" w:cs="Aldhabi"/>
        </w:rPr>
        <w:t>Cash remains a primary substitute for electronic payments, particularly in regions with low banking penetration or for small transactions where the convenience of electronic payments may not be necessary.</w:t>
      </w:r>
    </w:p>
    <w:p w14:paraId="3DDAD762" w14:textId="77777777" w:rsidR="000B4E2E" w:rsidRPr="000B4E2E" w:rsidRDefault="000B4E2E" w:rsidP="000B4E2E">
      <w:pPr>
        <w:numPr>
          <w:ilvl w:val="0"/>
          <w:numId w:val="3"/>
        </w:numPr>
        <w:rPr>
          <w:rFonts w:ascii="Cambria" w:hAnsi="Cambria" w:cs="Aldhabi"/>
        </w:rPr>
      </w:pPr>
      <w:r w:rsidRPr="000B4E2E">
        <w:rPr>
          <w:rFonts w:ascii="Cambria" w:hAnsi="Cambria" w:cs="Aldhabi"/>
          <w:b/>
          <w:bCs/>
        </w:rPr>
        <w:t>Competing Payment Networks:</w:t>
      </w:r>
    </w:p>
    <w:p w14:paraId="0F85904A" w14:textId="77777777" w:rsidR="000B4E2E" w:rsidRPr="000B4E2E" w:rsidRDefault="000B4E2E" w:rsidP="000B4E2E">
      <w:pPr>
        <w:numPr>
          <w:ilvl w:val="1"/>
          <w:numId w:val="3"/>
        </w:numPr>
        <w:rPr>
          <w:rFonts w:ascii="Cambria" w:hAnsi="Cambria" w:cs="Aldhabi"/>
        </w:rPr>
      </w:pPr>
      <w:r w:rsidRPr="000B4E2E">
        <w:rPr>
          <w:rFonts w:ascii="Cambria" w:hAnsi="Cambria" w:cs="Aldhabi"/>
        </w:rPr>
        <w:t>Other payment networks such as Mastercard, American Express, and Discover provide alternatives to Visa for processing electronic transactions.</w:t>
      </w:r>
    </w:p>
    <w:p w14:paraId="11FD1784" w14:textId="77777777" w:rsidR="000B4E2E" w:rsidRPr="000B4E2E" w:rsidRDefault="000B4E2E" w:rsidP="000B4E2E">
      <w:pPr>
        <w:numPr>
          <w:ilvl w:val="0"/>
          <w:numId w:val="3"/>
        </w:numPr>
        <w:rPr>
          <w:rFonts w:ascii="Cambria" w:hAnsi="Cambria" w:cs="Aldhabi"/>
        </w:rPr>
      </w:pPr>
      <w:r w:rsidRPr="000B4E2E">
        <w:rPr>
          <w:rFonts w:ascii="Cambria" w:hAnsi="Cambria" w:cs="Aldhabi"/>
          <w:b/>
          <w:bCs/>
        </w:rPr>
        <w:t>Digital Payment Platforms:</w:t>
      </w:r>
    </w:p>
    <w:p w14:paraId="357BD202" w14:textId="77777777" w:rsidR="000B4E2E" w:rsidRPr="000B4E2E" w:rsidRDefault="000B4E2E" w:rsidP="000B4E2E">
      <w:pPr>
        <w:numPr>
          <w:ilvl w:val="1"/>
          <w:numId w:val="3"/>
        </w:numPr>
        <w:rPr>
          <w:rFonts w:ascii="Cambria" w:hAnsi="Cambria" w:cs="Aldhabi"/>
        </w:rPr>
      </w:pPr>
      <w:r w:rsidRPr="000B4E2E">
        <w:rPr>
          <w:rFonts w:ascii="Cambria" w:hAnsi="Cambria" w:cs="Aldhabi"/>
        </w:rPr>
        <w:t>Digital payment platforms such as PayPal, Square, and Alipay offer alternative payment methods, particularly for online and mobile transactions, bypassing traditional card networks.</w:t>
      </w:r>
    </w:p>
    <w:p w14:paraId="6A347343" w14:textId="77777777" w:rsidR="000B4E2E" w:rsidRPr="000B4E2E" w:rsidRDefault="000B4E2E" w:rsidP="000B4E2E">
      <w:pPr>
        <w:numPr>
          <w:ilvl w:val="0"/>
          <w:numId w:val="3"/>
        </w:numPr>
        <w:rPr>
          <w:rFonts w:ascii="Cambria" w:hAnsi="Cambria" w:cs="Aldhabi"/>
        </w:rPr>
      </w:pPr>
      <w:r w:rsidRPr="000B4E2E">
        <w:rPr>
          <w:rFonts w:ascii="Cambria" w:hAnsi="Cambria" w:cs="Aldhabi"/>
          <w:b/>
          <w:bCs/>
        </w:rPr>
        <w:t>Cryptocurrencies:</w:t>
      </w:r>
    </w:p>
    <w:p w14:paraId="7936B7B0" w14:textId="67D71158" w:rsidR="000B4E2E" w:rsidRPr="000B4E2E" w:rsidRDefault="000B4E2E" w:rsidP="000B4E2E">
      <w:pPr>
        <w:numPr>
          <w:ilvl w:val="1"/>
          <w:numId w:val="3"/>
        </w:numPr>
        <w:rPr>
          <w:rFonts w:ascii="Cambria" w:hAnsi="Cambria" w:cs="Aldhabi"/>
        </w:rPr>
      </w:pPr>
      <w:r w:rsidRPr="000B4E2E">
        <w:rPr>
          <w:rFonts w:ascii="Cambria" w:hAnsi="Cambria" w:cs="Aldhabi"/>
        </w:rPr>
        <w:t xml:space="preserve">While still relatively niche, cryptocurrencies like Bitcoin and Ethereum offer decentralized payment alternatives that some consumers may prefer for privacy, security, or ideological </w:t>
      </w:r>
      <w:r w:rsidRPr="00FD0575">
        <w:rPr>
          <w:rFonts w:ascii="Cambria" w:hAnsi="Cambria" w:cs="Aldhabi"/>
        </w:rPr>
        <w:t>reasons.</w:t>
      </w:r>
    </w:p>
    <w:p w14:paraId="08187427" w14:textId="77777777" w:rsidR="000B4E2E" w:rsidRPr="00FD0575" w:rsidRDefault="000B4E2E" w:rsidP="000B4E2E">
      <w:pPr>
        <w:rPr>
          <w:rFonts w:ascii="Cambria" w:hAnsi="Cambria" w:cs="Aldhabi"/>
        </w:rPr>
      </w:pPr>
    </w:p>
    <w:p w14:paraId="7A9FDFE8" w14:textId="77777777" w:rsidR="000B4E2E" w:rsidRPr="000B4E2E" w:rsidRDefault="000B4E2E" w:rsidP="000B4E2E">
      <w:pPr>
        <w:rPr>
          <w:rFonts w:ascii="Cambria" w:hAnsi="Cambria" w:cs="Aldhabi"/>
        </w:rPr>
      </w:pPr>
      <w:r w:rsidRPr="000B4E2E">
        <w:rPr>
          <w:rFonts w:ascii="Cambria" w:hAnsi="Cambria" w:cs="Aldhabi"/>
          <w:b/>
          <w:bCs/>
        </w:rPr>
        <w:lastRenderedPageBreak/>
        <w:t>New Markets:</w:t>
      </w:r>
    </w:p>
    <w:p w14:paraId="625DD26C" w14:textId="77777777" w:rsidR="000B4E2E" w:rsidRPr="000B4E2E" w:rsidRDefault="000B4E2E" w:rsidP="000B4E2E">
      <w:pPr>
        <w:numPr>
          <w:ilvl w:val="0"/>
          <w:numId w:val="4"/>
        </w:numPr>
        <w:rPr>
          <w:rFonts w:ascii="Cambria" w:hAnsi="Cambria" w:cs="Aldhabi"/>
        </w:rPr>
      </w:pPr>
      <w:r w:rsidRPr="000B4E2E">
        <w:rPr>
          <w:rFonts w:ascii="Cambria" w:hAnsi="Cambria" w:cs="Aldhabi"/>
          <w:b/>
          <w:bCs/>
        </w:rPr>
        <w:t>Emerging Markets:</w:t>
      </w:r>
    </w:p>
    <w:p w14:paraId="445E5EEA" w14:textId="77777777" w:rsidR="000B4E2E" w:rsidRPr="000B4E2E" w:rsidRDefault="000B4E2E" w:rsidP="000B4E2E">
      <w:pPr>
        <w:numPr>
          <w:ilvl w:val="1"/>
          <w:numId w:val="4"/>
        </w:numPr>
        <w:rPr>
          <w:rFonts w:ascii="Cambria" w:hAnsi="Cambria" w:cs="Aldhabi"/>
        </w:rPr>
      </w:pPr>
      <w:r w:rsidRPr="000B4E2E">
        <w:rPr>
          <w:rFonts w:ascii="Cambria" w:hAnsi="Cambria" w:cs="Aldhabi"/>
        </w:rPr>
        <w:t>Visa can expand its presence in emerging markets with growing economies and increasing adoption of electronic payments. Regions like Southeast Asia, Latin America, and Africa present opportunities for market penetration and growth.</w:t>
      </w:r>
    </w:p>
    <w:p w14:paraId="736BFD23" w14:textId="77777777" w:rsidR="000B4E2E" w:rsidRPr="000B4E2E" w:rsidRDefault="000B4E2E" w:rsidP="000B4E2E">
      <w:pPr>
        <w:numPr>
          <w:ilvl w:val="0"/>
          <w:numId w:val="4"/>
        </w:numPr>
        <w:rPr>
          <w:rFonts w:ascii="Cambria" w:hAnsi="Cambria" w:cs="Aldhabi"/>
        </w:rPr>
      </w:pPr>
      <w:r w:rsidRPr="000B4E2E">
        <w:rPr>
          <w:rFonts w:ascii="Cambria" w:hAnsi="Cambria" w:cs="Aldhabi"/>
          <w:b/>
          <w:bCs/>
        </w:rPr>
        <w:t>Small and Medium-sized Enterprises (SMEs):</w:t>
      </w:r>
    </w:p>
    <w:p w14:paraId="10DB2885" w14:textId="77777777" w:rsidR="000B4E2E" w:rsidRPr="000B4E2E" w:rsidRDefault="000B4E2E" w:rsidP="000B4E2E">
      <w:pPr>
        <w:numPr>
          <w:ilvl w:val="1"/>
          <w:numId w:val="4"/>
        </w:numPr>
        <w:rPr>
          <w:rFonts w:ascii="Cambria" w:hAnsi="Cambria" w:cs="Aldhabi"/>
        </w:rPr>
      </w:pPr>
      <w:r w:rsidRPr="000B4E2E">
        <w:rPr>
          <w:rFonts w:ascii="Cambria" w:hAnsi="Cambria" w:cs="Aldhabi"/>
        </w:rPr>
        <w:t>Targeting small businesses and SMEs for payment solutions can be a new market for Visa, especially as these businesses increasingly adopt electronic payment technologies for efficiency and security.</w:t>
      </w:r>
    </w:p>
    <w:p w14:paraId="42AE3315" w14:textId="77777777" w:rsidR="000B4E2E" w:rsidRPr="000B4E2E" w:rsidRDefault="000B4E2E" w:rsidP="000B4E2E">
      <w:pPr>
        <w:numPr>
          <w:ilvl w:val="0"/>
          <w:numId w:val="4"/>
        </w:numPr>
        <w:rPr>
          <w:rFonts w:ascii="Cambria" w:hAnsi="Cambria" w:cs="Aldhabi"/>
        </w:rPr>
      </w:pPr>
      <w:r w:rsidRPr="000B4E2E">
        <w:rPr>
          <w:rFonts w:ascii="Cambria" w:hAnsi="Cambria" w:cs="Aldhabi"/>
          <w:b/>
          <w:bCs/>
        </w:rPr>
        <w:t>Contactless Payments:</w:t>
      </w:r>
    </w:p>
    <w:p w14:paraId="2FEA9262" w14:textId="77777777" w:rsidR="000B4E2E" w:rsidRPr="000B4E2E" w:rsidRDefault="000B4E2E" w:rsidP="000B4E2E">
      <w:pPr>
        <w:numPr>
          <w:ilvl w:val="1"/>
          <w:numId w:val="4"/>
        </w:numPr>
        <w:rPr>
          <w:rFonts w:ascii="Cambria" w:hAnsi="Cambria" w:cs="Aldhabi"/>
        </w:rPr>
      </w:pPr>
      <w:r w:rsidRPr="000B4E2E">
        <w:rPr>
          <w:rFonts w:ascii="Cambria" w:hAnsi="Cambria" w:cs="Aldhabi"/>
        </w:rPr>
        <w:t xml:space="preserve">Visa can capitalize on the growing trend of contactless payments, especially in regions where adoption is still relatively low. Promoting contactless payment solutions and infrastructure can </w:t>
      </w:r>
      <w:proofErr w:type="gramStart"/>
      <w:r w:rsidRPr="000B4E2E">
        <w:rPr>
          <w:rFonts w:ascii="Cambria" w:hAnsi="Cambria" w:cs="Aldhabi"/>
        </w:rPr>
        <w:t>open up</w:t>
      </w:r>
      <w:proofErr w:type="gramEnd"/>
      <w:r w:rsidRPr="000B4E2E">
        <w:rPr>
          <w:rFonts w:ascii="Cambria" w:hAnsi="Cambria" w:cs="Aldhabi"/>
        </w:rPr>
        <w:t xml:space="preserve"> new markets and increase transaction volume.</w:t>
      </w:r>
    </w:p>
    <w:p w14:paraId="54FE86B4" w14:textId="77777777" w:rsidR="000B4E2E" w:rsidRPr="000B4E2E" w:rsidRDefault="000B4E2E" w:rsidP="000B4E2E">
      <w:pPr>
        <w:numPr>
          <w:ilvl w:val="0"/>
          <w:numId w:val="4"/>
        </w:numPr>
        <w:rPr>
          <w:rFonts w:ascii="Cambria" w:hAnsi="Cambria" w:cs="Aldhabi"/>
        </w:rPr>
      </w:pPr>
      <w:r w:rsidRPr="000B4E2E">
        <w:rPr>
          <w:rFonts w:ascii="Cambria" w:hAnsi="Cambria" w:cs="Aldhabi"/>
          <w:b/>
          <w:bCs/>
        </w:rPr>
        <w:t>Cross-border Payments:</w:t>
      </w:r>
    </w:p>
    <w:p w14:paraId="43827DB5" w14:textId="77777777" w:rsidR="000B4E2E" w:rsidRPr="000B4E2E" w:rsidRDefault="000B4E2E" w:rsidP="000B4E2E">
      <w:pPr>
        <w:numPr>
          <w:ilvl w:val="1"/>
          <w:numId w:val="4"/>
        </w:numPr>
        <w:rPr>
          <w:rFonts w:ascii="Cambria" w:hAnsi="Cambria" w:cs="Aldhabi"/>
        </w:rPr>
      </w:pPr>
      <w:r w:rsidRPr="000B4E2E">
        <w:rPr>
          <w:rFonts w:ascii="Cambria" w:hAnsi="Cambria" w:cs="Aldhabi"/>
        </w:rPr>
        <w:t>Expanding services for cross-border payments and remittances can be a lucrative new market for Visa, particularly as globalization increases and demand grows for efficient and cost-effective international money transfer solutions.</w:t>
      </w:r>
    </w:p>
    <w:p w14:paraId="001D6C30" w14:textId="77777777" w:rsidR="000B4E2E" w:rsidRPr="000B4E2E" w:rsidRDefault="000B4E2E" w:rsidP="000B4E2E">
      <w:pPr>
        <w:numPr>
          <w:ilvl w:val="0"/>
          <w:numId w:val="4"/>
        </w:numPr>
        <w:rPr>
          <w:rFonts w:ascii="Cambria" w:hAnsi="Cambria" w:cs="Aldhabi"/>
        </w:rPr>
      </w:pPr>
      <w:r w:rsidRPr="000B4E2E">
        <w:rPr>
          <w:rFonts w:ascii="Cambria" w:hAnsi="Cambria" w:cs="Aldhabi"/>
          <w:b/>
          <w:bCs/>
        </w:rPr>
        <w:t>Financial Inclusion:</w:t>
      </w:r>
    </w:p>
    <w:p w14:paraId="03CC2257" w14:textId="1E90DB7A" w:rsidR="000B4E2E" w:rsidRPr="000B4E2E" w:rsidRDefault="000B4E2E" w:rsidP="000B4E2E">
      <w:pPr>
        <w:numPr>
          <w:ilvl w:val="1"/>
          <w:numId w:val="4"/>
        </w:numPr>
        <w:rPr>
          <w:rFonts w:ascii="Cambria" w:hAnsi="Cambria" w:cs="Aldhabi"/>
        </w:rPr>
      </w:pPr>
      <w:r w:rsidRPr="000B4E2E">
        <w:rPr>
          <w:rFonts w:ascii="Cambria" w:hAnsi="Cambria" w:cs="Aldhabi"/>
        </w:rPr>
        <w:t xml:space="preserve">Targeting underbanked or unbanked populations with tailored payment solutions can </w:t>
      </w:r>
      <w:r w:rsidRPr="00FD0575">
        <w:rPr>
          <w:rFonts w:ascii="Cambria" w:hAnsi="Cambria" w:cs="Aldhabi"/>
        </w:rPr>
        <w:t>open</w:t>
      </w:r>
      <w:r w:rsidRPr="000B4E2E">
        <w:rPr>
          <w:rFonts w:ascii="Cambria" w:hAnsi="Cambria" w:cs="Aldhabi"/>
        </w:rPr>
        <w:t xml:space="preserve"> new markets while also addressing social and economic challenges related to financial inclusion.</w:t>
      </w:r>
    </w:p>
    <w:p w14:paraId="494E2039" w14:textId="77777777" w:rsidR="000B4E2E" w:rsidRPr="000B4E2E" w:rsidRDefault="000B4E2E" w:rsidP="000B4E2E">
      <w:pPr>
        <w:numPr>
          <w:ilvl w:val="0"/>
          <w:numId w:val="4"/>
        </w:numPr>
        <w:rPr>
          <w:rFonts w:ascii="Cambria" w:hAnsi="Cambria" w:cs="Aldhabi"/>
        </w:rPr>
      </w:pPr>
      <w:r w:rsidRPr="000B4E2E">
        <w:rPr>
          <w:rFonts w:ascii="Cambria" w:hAnsi="Cambria" w:cs="Aldhabi"/>
          <w:b/>
          <w:bCs/>
        </w:rPr>
        <w:t>B2B Payments:</w:t>
      </w:r>
    </w:p>
    <w:p w14:paraId="553710E5" w14:textId="77777777" w:rsidR="000B4E2E" w:rsidRPr="000B4E2E" w:rsidRDefault="000B4E2E" w:rsidP="000B4E2E">
      <w:pPr>
        <w:numPr>
          <w:ilvl w:val="1"/>
          <w:numId w:val="4"/>
        </w:numPr>
        <w:rPr>
          <w:rFonts w:ascii="Cambria" w:hAnsi="Cambria" w:cs="Aldhabi"/>
        </w:rPr>
      </w:pPr>
      <w:r w:rsidRPr="000B4E2E">
        <w:rPr>
          <w:rFonts w:ascii="Cambria" w:hAnsi="Cambria" w:cs="Aldhabi"/>
        </w:rPr>
        <w:t>Providing payment solutions for business-to-business (B2B) transactions, including invoicing, supply chain financing, and corporate card programs, presents another new market opportunity for Visa to explore.</w:t>
      </w:r>
    </w:p>
    <w:p w14:paraId="51321FEB" w14:textId="77777777" w:rsidR="000B4E2E" w:rsidRPr="00FD0575" w:rsidRDefault="000B4E2E" w:rsidP="000B4E2E">
      <w:pPr>
        <w:rPr>
          <w:rFonts w:ascii="Cambria" w:hAnsi="Cambria" w:cs="Aldhabi"/>
        </w:rPr>
      </w:pPr>
    </w:p>
    <w:p w14:paraId="223929D5" w14:textId="77777777" w:rsidR="000B4E2E" w:rsidRPr="00FD0575" w:rsidRDefault="000B4E2E" w:rsidP="000B4E2E">
      <w:pPr>
        <w:rPr>
          <w:rFonts w:ascii="Cambria" w:hAnsi="Cambria" w:cs="Aldhabi"/>
        </w:rPr>
      </w:pPr>
    </w:p>
    <w:p w14:paraId="42EEDAE1" w14:textId="77777777" w:rsidR="000B4E2E" w:rsidRPr="00FD0575" w:rsidRDefault="000B4E2E" w:rsidP="000B4E2E">
      <w:pPr>
        <w:rPr>
          <w:rFonts w:ascii="Cambria" w:hAnsi="Cambria" w:cs="Aldhabi"/>
        </w:rPr>
      </w:pPr>
    </w:p>
    <w:p w14:paraId="6C5455DC" w14:textId="77777777" w:rsidR="000B4E2E" w:rsidRPr="00FD0575" w:rsidRDefault="000B4E2E" w:rsidP="000B4E2E">
      <w:pPr>
        <w:rPr>
          <w:rFonts w:ascii="Cambria" w:hAnsi="Cambria" w:cs="Aldhabi"/>
        </w:rPr>
      </w:pPr>
    </w:p>
    <w:p w14:paraId="0A138C5F" w14:textId="77777777" w:rsidR="000B4E2E" w:rsidRPr="00FD0575" w:rsidRDefault="000B4E2E" w:rsidP="000B4E2E">
      <w:pPr>
        <w:rPr>
          <w:rFonts w:ascii="Cambria" w:hAnsi="Cambria" w:cs="Aldhabi"/>
        </w:rPr>
      </w:pPr>
    </w:p>
    <w:p w14:paraId="40EAE668" w14:textId="77777777" w:rsidR="000B4E2E" w:rsidRPr="00FD0575" w:rsidRDefault="000B4E2E" w:rsidP="000B4E2E">
      <w:pPr>
        <w:rPr>
          <w:rFonts w:ascii="Cambria" w:hAnsi="Cambria" w:cs="Aldhabi"/>
        </w:rPr>
      </w:pPr>
    </w:p>
    <w:p w14:paraId="2C82BF2D" w14:textId="77777777" w:rsidR="000B4E2E" w:rsidRPr="00FD0575" w:rsidRDefault="000B4E2E" w:rsidP="000B4E2E">
      <w:pPr>
        <w:rPr>
          <w:rFonts w:ascii="Cambria" w:hAnsi="Cambria" w:cs="Aldhabi"/>
        </w:rPr>
      </w:pPr>
    </w:p>
    <w:p w14:paraId="50795FA2" w14:textId="77777777" w:rsidR="000B4E2E" w:rsidRPr="00FD0575" w:rsidRDefault="000B4E2E" w:rsidP="000B4E2E">
      <w:pPr>
        <w:rPr>
          <w:rFonts w:ascii="Cambria" w:hAnsi="Cambria" w:cs="Aldhabi"/>
        </w:rPr>
      </w:pPr>
    </w:p>
    <w:p w14:paraId="24AD5C2A" w14:textId="77777777" w:rsidR="000B4E2E" w:rsidRPr="00FD0575" w:rsidRDefault="000B4E2E" w:rsidP="000B4E2E">
      <w:pPr>
        <w:rPr>
          <w:rFonts w:ascii="Cambria" w:hAnsi="Cambria" w:cs="Aldhabi"/>
        </w:rPr>
      </w:pPr>
    </w:p>
    <w:p w14:paraId="353BC160" w14:textId="77777777" w:rsidR="000B4E2E" w:rsidRPr="00FD0575" w:rsidRDefault="000B4E2E" w:rsidP="000B4E2E">
      <w:pPr>
        <w:rPr>
          <w:rFonts w:ascii="Cambria" w:hAnsi="Cambria" w:cs="Aldhabi"/>
        </w:rPr>
      </w:pPr>
    </w:p>
    <w:p w14:paraId="5DD053C4" w14:textId="59CFF44F" w:rsidR="000B4E2E" w:rsidRPr="00FD0575" w:rsidRDefault="000B4E2E" w:rsidP="00702156">
      <w:pPr>
        <w:jc w:val="center"/>
        <w:rPr>
          <w:rFonts w:ascii="Cambria" w:hAnsi="Cambria" w:cs="Aldhabi"/>
          <w:b/>
          <w:bCs/>
        </w:rPr>
      </w:pPr>
      <w:r w:rsidRPr="00FD0575">
        <w:rPr>
          <w:rFonts w:ascii="Cambria" w:hAnsi="Cambria" w:cs="Aldhabi"/>
          <w:b/>
          <w:bCs/>
        </w:rPr>
        <w:lastRenderedPageBreak/>
        <w:t>Revenue and cost drivers</w:t>
      </w:r>
    </w:p>
    <w:p w14:paraId="26E2E779" w14:textId="77777777" w:rsidR="000B4E2E" w:rsidRPr="000B4E2E" w:rsidRDefault="000B4E2E" w:rsidP="000B4E2E">
      <w:pPr>
        <w:rPr>
          <w:rFonts w:ascii="Cambria" w:hAnsi="Cambria" w:cs="Aldhabi"/>
        </w:rPr>
      </w:pPr>
      <w:r w:rsidRPr="000B4E2E">
        <w:rPr>
          <w:rFonts w:ascii="Cambria" w:hAnsi="Cambria" w:cs="Aldhabi"/>
          <w:b/>
          <w:bCs/>
        </w:rPr>
        <w:t>Key Revenue Drivers:</w:t>
      </w:r>
    </w:p>
    <w:p w14:paraId="69D6DF87" w14:textId="77777777" w:rsidR="000B4E2E" w:rsidRPr="000B4E2E" w:rsidRDefault="000B4E2E" w:rsidP="000B4E2E">
      <w:pPr>
        <w:numPr>
          <w:ilvl w:val="0"/>
          <w:numId w:val="5"/>
        </w:numPr>
        <w:rPr>
          <w:rFonts w:ascii="Cambria" w:hAnsi="Cambria" w:cs="Aldhabi"/>
        </w:rPr>
      </w:pPr>
      <w:r w:rsidRPr="000B4E2E">
        <w:rPr>
          <w:rFonts w:ascii="Cambria" w:hAnsi="Cambria" w:cs="Aldhabi"/>
          <w:b/>
          <w:bCs/>
        </w:rPr>
        <w:t>Transaction Volume:</w:t>
      </w:r>
    </w:p>
    <w:p w14:paraId="734A1E53" w14:textId="77777777" w:rsidR="000B4E2E" w:rsidRPr="000B4E2E" w:rsidRDefault="000B4E2E" w:rsidP="000B4E2E">
      <w:pPr>
        <w:numPr>
          <w:ilvl w:val="1"/>
          <w:numId w:val="5"/>
        </w:numPr>
        <w:rPr>
          <w:rFonts w:ascii="Cambria" w:hAnsi="Cambria" w:cs="Aldhabi"/>
        </w:rPr>
      </w:pPr>
      <w:r w:rsidRPr="000B4E2E">
        <w:rPr>
          <w:rFonts w:ascii="Cambria" w:hAnsi="Cambria" w:cs="Aldhabi"/>
        </w:rPr>
        <w:t>Visa's primary source of revenue is transaction fees charged to financial institutions, merchants, and other parties for processing payments. The volume of transactions processed through Visa's network directly impacts its revenue.</w:t>
      </w:r>
    </w:p>
    <w:p w14:paraId="7D7A3FA6" w14:textId="77777777" w:rsidR="000B4E2E" w:rsidRPr="000B4E2E" w:rsidRDefault="000B4E2E" w:rsidP="000B4E2E">
      <w:pPr>
        <w:numPr>
          <w:ilvl w:val="0"/>
          <w:numId w:val="5"/>
        </w:numPr>
        <w:rPr>
          <w:rFonts w:ascii="Cambria" w:hAnsi="Cambria" w:cs="Aldhabi"/>
        </w:rPr>
      </w:pPr>
      <w:r w:rsidRPr="000B4E2E">
        <w:rPr>
          <w:rFonts w:ascii="Cambria" w:hAnsi="Cambria" w:cs="Aldhabi"/>
          <w:b/>
          <w:bCs/>
        </w:rPr>
        <w:t>Payment Volume:</w:t>
      </w:r>
    </w:p>
    <w:p w14:paraId="55E8B9EA" w14:textId="77777777" w:rsidR="000B4E2E" w:rsidRPr="000B4E2E" w:rsidRDefault="000B4E2E" w:rsidP="000B4E2E">
      <w:pPr>
        <w:numPr>
          <w:ilvl w:val="1"/>
          <w:numId w:val="5"/>
        </w:numPr>
        <w:rPr>
          <w:rFonts w:ascii="Cambria" w:hAnsi="Cambria" w:cs="Aldhabi"/>
        </w:rPr>
      </w:pPr>
      <w:r w:rsidRPr="000B4E2E">
        <w:rPr>
          <w:rFonts w:ascii="Cambria" w:hAnsi="Cambria" w:cs="Aldhabi"/>
        </w:rPr>
        <w:t>Visa earns revenue based on the total value of payments processed through its network. Higher payment volumes indicate increased consumer spending, which positively impacts Visa's revenue.</w:t>
      </w:r>
    </w:p>
    <w:p w14:paraId="5C313487" w14:textId="77777777" w:rsidR="000B4E2E" w:rsidRPr="000B4E2E" w:rsidRDefault="000B4E2E" w:rsidP="000B4E2E">
      <w:pPr>
        <w:numPr>
          <w:ilvl w:val="0"/>
          <w:numId w:val="5"/>
        </w:numPr>
        <w:rPr>
          <w:rFonts w:ascii="Cambria" w:hAnsi="Cambria" w:cs="Aldhabi"/>
        </w:rPr>
      </w:pPr>
      <w:r w:rsidRPr="000B4E2E">
        <w:rPr>
          <w:rFonts w:ascii="Cambria" w:hAnsi="Cambria" w:cs="Aldhabi"/>
          <w:b/>
          <w:bCs/>
        </w:rPr>
        <w:t>Cross-border Transactions:</w:t>
      </w:r>
    </w:p>
    <w:p w14:paraId="66B8F5CF" w14:textId="77777777" w:rsidR="000B4E2E" w:rsidRPr="000B4E2E" w:rsidRDefault="000B4E2E" w:rsidP="000B4E2E">
      <w:pPr>
        <w:numPr>
          <w:ilvl w:val="1"/>
          <w:numId w:val="5"/>
        </w:numPr>
        <w:rPr>
          <w:rFonts w:ascii="Cambria" w:hAnsi="Cambria" w:cs="Aldhabi"/>
        </w:rPr>
      </w:pPr>
      <w:r w:rsidRPr="000B4E2E">
        <w:rPr>
          <w:rFonts w:ascii="Cambria" w:hAnsi="Cambria" w:cs="Aldhabi"/>
        </w:rPr>
        <w:t>Cross-border transactions often carry higher fees than domestic transactions, contributing significantly to Visa's revenue. Economic globalization and international travel trends influence the volume and value of cross-border transactions.</w:t>
      </w:r>
    </w:p>
    <w:p w14:paraId="60BAED13" w14:textId="77777777" w:rsidR="000B4E2E" w:rsidRPr="000B4E2E" w:rsidRDefault="000B4E2E" w:rsidP="000B4E2E">
      <w:pPr>
        <w:numPr>
          <w:ilvl w:val="0"/>
          <w:numId w:val="5"/>
        </w:numPr>
        <w:rPr>
          <w:rFonts w:ascii="Cambria" w:hAnsi="Cambria" w:cs="Aldhabi"/>
        </w:rPr>
      </w:pPr>
      <w:r w:rsidRPr="000B4E2E">
        <w:rPr>
          <w:rFonts w:ascii="Cambria" w:hAnsi="Cambria" w:cs="Aldhabi"/>
          <w:b/>
          <w:bCs/>
        </w:rPr>
        <w:t>Interchange Fees:</w:t>
      </w:r>
    </w:p>
    <w:p w14:paraId="7E25DACC" w14:textId="77777777" w:rsidR="000B4E2E" w:rsidRPr="000B4E2E" w:rsidRDefault="000B4E2E" w:rsidP="000B4E2E">
      <w:pPr>
        <w:numPr>
          <w:ilvl w:val="1"/>
          <w:numId w:val="5"/>
        </w:numPr>
        <w:rPr>
          <w:rFonts w:ascii="Cambria" w:hAnsi="Cambria" w:cs="Aldhabi"/>
        </w:rPr>
      </w:pPr>
      <w:r w:rsidRPr="000B4E2E">
        <w:rPr>
          <w:rFonts w:ascii="Cambria" w:hAnsi="Cambria" w:cs="Aldhabi"/>
        </w:rPr>
        <w:t>Visa earns interchange fees, which are charges paid by merchants' banks (acquirers) to cardholders' banks (issuers) for processing transactions. Interchange fees are typically calculated as a percentage of the transaction value and represent a significant portion of Visa's revenue.</w:t>
      </w:r>
    </w:p>
    <w:p w14:paraId="0D47CFB4" w14:textId="77777777" w:rsidR="000B4E2E" w:rsidRPr="000B4E2E" w:rsidRDefault="000B4E2E" w:rsidP="000B4E2E">
      <w:pPr>
        <w:numPr>
          <w:ilvl w:val="0"/>
          <w:numId w:val="5"/>
        </w:numPr>
        <w:rPr>
          <w:rFonts w:ascii="Cambria" w:hAnsi="Cambria" w:cs="Aldhabi"/>
        </w:rPr>
      </w:pPr>
      <w:r w:rsidRPr="000B4E2E">
        <w:rPr>
          <w:rFonts w:ascii="Cambria" w:hAnsi="Cambria" w:cs="Aldhabi"/>
          <w:b/>
          <w:bCs/>
        </w:rPr>
        <w:t>Licensing and Other Fees:</w:t>
      </w:r>
    </w:p>
    <w:p w14:paraId="16F7EF28" w14:textId="77777777" w:rsidR="000B4E2E" w:rsidRPr="000B4E2E" w:rsidRDefault="000B4E2E" w:rsidP="000B4E2E">
      <w:pPr>
        <w:numPr>
          <w:ilvl w:val="1"/>
          <w:numId w:val="5"/>
        </w:numPr>
        <w:rPr>
          <w:rFonts w:ascii="Cambria" w:hAnsi="Cambria" w:cs="Aldhabi"/>
        </w:rPr>
      </w:pPr>
      <w:r w:rsidRPr="000B4E2E">
        <w:rPr>
          <w:rFonts w:ascii="Cambria" w:hAnsi="Cambria" w:cs="Aldhabi"/>
        </w:rPr>
        <w:t>Visa generates revenue from licensing its brand, technology, and services to financial institutions, merchants, and other partners. Additionally, Visa may earn revenue from ancillary services such as data analytics, fraud prevention, and consulting.</w:t>
      </w:r>
    </w:p>
    <w:p w14:paraId="409E7EF0" w14:textId="77777777" w:rsidR="000B4E2E" w:rsidRPr="000B4E2E" w:rsidRDefault="000B4E2E" w:rsidP="000B4E2E">
      <w:pPr>
        <w:numPr>
          <w:ilvl w:val="0"/>
          <w:numId w:val="5"/>
        </w:numPr>
        <w:rPr>
          <w:rFonts w:ascii="Cambria" w:hAnsi="Cambria" w:cs="Aldhabi"/>
        </w:rPr>
      </w:pPr>
      <w:r w:rsidRPr="000B4E2E">
        <w:rPr>
          <w:rFonts w:ascii="Cambria" w:hAnsi="Cambria" w:cs="Aldhabi"/>
          <w:b/>
          <w:bCs/>
        </w:rPr>
        <w:t>New Products and Services:</w:t>
      </w:r>
    </w:p>
    <w:p w14:paraId="66139A87" w14:textId="4FD281F2" w:rsidR="000B4E2E" w:rsidRPr="00FD0575" w:rsidRDefault="000B4E2E" w:rsidP="000B4E2E">
      <w:pPr>
        <w:numPr>
          <w:ilvl w:val="1"/>
          <w:numId w:val="5"/>
        </w:numPr>
        <w:rPr>
          <w:rFonts w:ascii="Cambria" w:hAnsi="Cambria" w:cs="Aldhabi"/>
        </w:rPr>
      </w:pPr>
      <w:r w:rsidRPr="000B4E2E">
        <w:rPr>
          <w:rFonts w:ascii="Cambria" w:hAnsi="Cambria" w:cs="Aldhabi"/>
        </w:rPr>
        <w:t>Revenue growth can be driven by the introduction of new products and services, such as digital payment solutions, mobile wallets, and value-added services tailored to specific market segments.</w:t>
      </w:r>
    </w:p>
    <w:p w14:paraId="3B5A42F7" w14:textId="77777777" w:rsidR="0038261B" w:rsidRPr="0038261B" w:rsidRDefault="0038261B" w:rsidP="0038261B">
      <w:pPr>
        <w:rPr>
          <w:rFonts w:ascii="Cambria" w:hAnsi="Cambria" w:cs="Aldhabi"/>
        </w:rPr>
      </w:pPr>
      <w:r w:rsidRPr="0038261B">
        <w:rPr>
          <w:rFonts w:ascii="Cambria" w:hAnsi="Cambria" w:cs="Aldhabi"/>
          <w:b/>
          <w:bCs/>
        </w:rPr>
        <w:t>Key Cost Drivers:</w:t>
      </w:r>
    </w:p>
    <w:p w14:paraId="10C7E177" w14:textId="77777777" w:rsidR="0038261B" w:rsidRPr="0038261B" w:rsidRDefault="0038261B" w:rsidP="0038261B">
      <w:pPr>
        <w:numPr>
          <w:ilvl w:val="0"/>
          <w:numId w:val="6"/>
        </w:numPr>
        <w:rPr>
          <w:rFonts w:ascii="Cambria" w:hAnsi="Cambria" w:cs="Aldhabi"/>
        </w:rPr>
      </w:pPr>
      <w:r w:rsidRPr="0038261B">
        <w:rPr>
          <w:rFonts w:ascii="Cambria" w:hAnsi="Cambria" w:cs="Aldhabi"/>
          <w:b/>
          <w:bCs/>
        </w:rPr>
        <w:t>Processing Costs:</w:t>
      </w:r>
    </w:p>
    <w:p w14:paraId="3763ED12" w14:textId="77777777" w:rsidR="004F2AB9" w:rsidRPr="00FD0575" w:rsidRDefault="0038261B" w:rsidP="0038261B">
      <w:pPr>
        <w:numPr>
          <w:ilvl w:val="1"/>
          <w:numId w:val="6"/>
        </w:numPr>
        <w:rPr>
          <w:rFonts w:ascii="Cambria" w:hAnsi="Cambria" w:cs="Aldhabi"/>
        </w:rPr>
      </w:pPr>
      <w:r w:rsidRPr="0038261B">
        <w:rPr>
          <w:rFonts w:ascii="Cambria" w:hAnsi="Cambria" w:cs="Aldhabi"/>
        </w:rPr>
        <w:t xml:space="preserve">Visa incurs costs associated with processing transactions, including network infrastructure, data </w:t>
      </w:r>
      <w:r w:rsidRPr="00FD0575">
        <w:rPr>
          <w:rFonts w:ascii="Cambria" w:hAnsi="Cambria" w:cs="Aldhabi"/>
        </w:rPr>
        <w:t>centres</w:t>
      </w:r>
      <w:r w:rsidRPr="0038261B">
        <w:rPr>
          <w:rFonts w:ascii="Cambria" w:hAnsi="Cambria" w:cs="Aldhabi"/>
        </w:rPr>
        <w:t>,</w:t>
      </w:r>
    </w:p>
    <w:p w14:paraId="5F213CA3" w14:textId="55C666D5" w:rsidR="0038261B" w:rsidRPr="0038261B" w:rsidRDefault="0038261B" w:rsidP="0038261B">
      <w:pPr>
        <w:numPr>
          <w:ilvl w:val="1"/>
          <w:numId w:val="6"/>
        </w:numPr>
        <w:rPr>
          <w:rFonts w:ascii="Cambria" w:hAnsi="Cambria" w:cs="Aldhabi"/>
        </w:rPr>
      </w:pPr>
      <w:r w:rsidRPr="0038261B">
        <w:rPr>
          <w:rFonts w:ascii="Cambria" w:hAnsi="Cambria" w:cs="Aldhabi"/>
        </w:rPr>
        <w:t xml:space="preserve"> and technology investments required to maintain the reliability, security, and efficiency of its payment network.</w:t>
      </w:r>
    </w:p>
    <w:p w14:paraId="19203214" w14:textId="77777777" w:rsidR="0038261B" w:rsidRPr="0038261B" w:rsidRDefault="0038261B" w:rsidP="0038261B">
      <w:pPr>
        <w:numPr>
          <w:ilvl w:val="0"/>
          <w:numId w:val="6"/>
        </w:numPr>
        <w:rPr>
          <w:rFonts w:ascii="Cambria" w:hAnsi="Cambria" w:cs="Aldhabi"/>
        </w:rPr>
      </w:pPr>
      <w:r w:rsidRPr="0038261B">
        <w:rPr>
          <w:rFonts w:ascii="Cambria" w:hAnsi="Cambria" w:cs="Aldhabi"/>
          <w:b/>
          <w:bCs/>
        </w:rPr>
        <w:t>Marketing and Sales Expenses:</w:t>
      </w:r>
    </w:p>
    <w:p w14:paraId="032DDC39" w14:textId="77777777" w:rsidR="0038261B" w:rsidRPr="0038261B" w:rsidRDefault="0038261B" w:rsidP="0038261B">
      <w:pPr>
        <w:numPr>
          <w:ilvl w:val="1"/>
          <w:numId w:val="6"/>
        </w:numPr>
        <w:rPr>
          <w:rFonts w:ascii="Cambria" w:hAnsi="Cambria" w:cs="Aldhabi"/>
        </w:rPr>
      </w:pPr>
      <w:r w:rsidRPr="0038261B">
        <w:rPr>
          <w:rFonts w:ascii="Cambria" w:hAnsi="Cambria" w:cs="Aldhabi"/>
        </w:rPr>
        <w:t>Visa invests in marketing campaigns, promotional activities, and sales efforts to drive adoption of its payment solutions, expand its customer base, and increase transaction volume.</w:t>
      </w:r>
    </w:p>
    <w:p w14:paraId="1166179B" w14:textId="77777777" w:rsidR="0038261B" w:rsidRPr="0038261B" w:rsidRDefault="0038261B" w:rsidP="0038261B">
      <w:pPr>
        <w:numPr>
          <w:ilvl w:val="0"/>
          <w:numId w:val="6"/>
        </w:numPr>
        <w:rPr>
          <w:rFonts w:ascii="Cambria" w:hAnsi="Cambria" w:cs="Aldhabi"/>
        </w:rPr>
      </w:pPr>
      <w:r w:rsidRPr="0038261B">
        <w:rPr>
          <w:rFonts w:ascii="Cambria" w:hAnsi="Cambria" w:cs="Aldhabi"/>
          <w:b/>
          <w:bCs/>
        </w:rPr>
        <w:lastRenderedPageBreak/>
        <w:t>Technology and Innovation:</w:t>
      </w:r>
    </w:p>
    <w:p w14:paraId="14A43ED3" w14:textId="77777777" w:rsidR="0038261B" w:rsidRPr="0038261B" w:rsidRDefault="0038261B" w:rsidP="0038261B">
      <w:pPr>
        <w:numPr>
          <w:ilvl w:val="1"/>
          <w:numId w:val="6"/>
        </w:numPr>
        <w:rPr>
          <w:rFonts w:ascii="Cambria" w:hAnsi="Cambria" w:cs="Aldhabi"/>
        </w:rPr>
      </w:pPr>
      <w:r w:rsidRPr="0038261B">
        <w:rPr>
          <w:rFonts w:ascii="Cambria" w:hAnsi="Cambria" w:cs="Aldhabi"/>
        </w:rPr>
        <w:t>Continued investment in research and development (R&amp;D) is essential for Visa to innovate and develop new products, enhance existing technologies, and maintain competitiveness in the rapidly evolving payments industry.</w:t>
      </w:r>
    </w:p>
    <w:p w14:paraId="7C0AE0E4" w14:textId="77777777" w:rsidR="0038261B" w:rsidRPr="0038261B" w:rsidRDefault="0038261B" w:rsidP="0038261B">
      <w:pPr>
        <w:numPr>
          <w:ilvl w:val="0"/>
          <w:numId w:val="6"/>
        </w:numPr>
        <w:rPr>
          <w:rFonts w:ascii="Cambria" w:hAnsi="Cambria" w:cs="Aldhabi"/>
        </w:rPr>
      </w:pPr>
      <w:r w:rsidRPr="0038261B">
        <w:rPr>
          <w:rFonts w:ascii="Cambria" w:hAnsi="Cambria" w:cs="Aldhabi"/>
          <w:b/>
          <w:bCs/>
        </w:rPr>
        <w:t>Compliance and Regulatory Costs:</w:t>
      </w:r>
    </w:p>
    <w:p w14:paraId="48628C87" w14:textId="77777777" w:rsidR="0038261B" w:rsidRPr="0038261B" w:rsidRDefault="0038261B" w:rsidP="0038261B">
      <w:pPr>
        <w:numPr>
          <w:ilvl w:val="1"/>
          <w:numId w:val="6"/>
        </w:numPr>
        <w:rPr>
          <w:rFonts w:ascii="Cambria" w:hAnsi="Cambria" w:cs="Aldhabi"/>
        </w:rPr>
      </w:pPr>
      <w:r w:rsidRPr="0038261B">
        <w:rPr>
          <w:rFonts w:ascii="Cambria" w:hAnsi="Cambria" w:cs="Aldhabi"/>
        </w:rPr>
        <w:t>Visa incurs costs related to compliance with various regulatory requirements, including data privacy, security standards, and anti-money laundering regulations. Compliance efforts are essential to ensure the integrity and security of Visa's payment network.</w:t>
      </w:r>
    </w:p>
    <w:p w14:paraId="07B60112" w14:textId="77777777" w:rsidR="0038261B" w:rsidRPr="0038261B" w:rsidRDefault="0038261B" w:rsidP="0038261B">
      <w:pPr>
        <w:numPr>
          <w:ilvl w:val="0"/>
          <w:numId w:val="6"/>
        </w:numPr>
        <w:rPr>
          <w:rFonts w:ascii="Cambria" w:hAnsi="Cambria" w:cs="Aldhabi"/>
        </w:rPr>
      </w:pPr>
      <w:r w:rsidRPr="0038261B">
        <w:rPr>
          <w:rFonts w:ascii="Cambria" w:hAnsi="Cambria" w:cs="Aldhabi"/>
          <w:b/>
          <w:bCs/>
        </w:rPr>
        <w:t>Network Security and Fraud Prevention:</w:t>
      </w:r>
    </w:p>
    <w:p w14:paraId="6C53C3D6" w14:textId="77777777" w:rsidR="0038261B" w:rsidRPr="00FD0575" w:rsidRDefault="0038261B" w:rsidP="0038261B">
      <w:pPr>
        <w:numPr>
          <w:ilvl w:val="1"/>
          <w:numId w:val="6"/>
        </w:numPr>
        <w:rPr>
          <w:rFonts w:ascii="Cambria" w:hAnsi="Cambria" w:cs="Aldhabi"/>
        </w:rPr>
      </w:pPr>
      <w:r w:rsidRPr="0038261B">
        <w:rPr>
          <w:rFonts w:ascii="Cambria" w:hAnsi="Cambria" w:cs="Aldhabi"/>
        </w:rPr>
        <w:t>Visa invests in cybersecurity measures, fraud detection systems, and risk management initiatives to protect its payment network from unauthorized access, data breaches, and fraudulent activities.</w:t>
      </w:r>
    </w:p>
    <w:p w14:paraId="4E1C6541" w14:textId="77777777" w:rsidR="004F2AB9" w:rsidRPr="0038261B" w:rsidRDefault="004F2AB9" w:rsidP="004F2AB9">
      <w:pPr>
        <w:numPr>
          <w:ilvl w:val="0"/>
          <w:numId w:val="6"/>
        </w:numPr>
        <w:rPr>
          <w:rFonts w:ascii="Cambria" w:hAnsi="Cambria" w:cs="Aldhabi"/>
        </w:rPr>
      </w:pPr>
      <w:r w:rsidRPr="0038261B">
        <w:rPr>
          <w:rFonts w:ascii="Cambria" w:hAnsi="Cambria" w:cs="Aldhabi"/>
          <w:b/>
          <w:bCs/>
        </w:rPr>
        <w:t>Personnel Expenses:</w:t>
      </w:r>
    </w:p>
    <w:p w14:paraId="1118518C" w14:textId="30FCC053" w:rsidR="00757719" w:rsidRPr="00FD0575" w:rsidRDefault="00757719" w:rsidP="00757719">
      <w:pPr>
        <w:numPr>
          <w:ilvl w:val="1"/>
          <w:numId w:val="6"/>
        </w:numPr>
        <w:rPr>
          <w:rFonts w:ascii="Cambria" w:hAnsi="Cambria" w:cs="Aldhabi"/>
        </w:rPr>
      </w:pPr>
      <w:r w:rsidRPr="00FD0575">
        <w:rPr>
          <w:rFonts w:ascii="Cambria" w:hAnsi="Cambria" w:cs="Aldhabi"/>
          <w:noProof/>
        </w:rPr>
        <mc:AlternateContent>
          <mc:Choice Requires="wps">
            <w:drawing>
              <wp:anchor distT="45720" distB="45720" distL="114300" distR="114300" simplePos="0" relativeHeight="251659264" behindDoc="0" locked="0" layoutInCell="1" allowOverlap="1" wp14:anchorId="6B6B0E8F" wp14:editId="24F21210">
                <wp:simplePos x="0" y="0"/>
                <wp:positionH relativeFrom="margin">
                  <wp:align>center</wp:align>
                </wp:positionH>
                <wp:positionV relativeFrom="paragraph">
                  <wp:posOffset>948055</wp:posOffset>
                </wp:positionV>
                <wp:extent cx="1078230" cy="301625"/>
                <wp:effectExtent l="0" t="0" r="26670"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230" cy="301625"/>
                        </a:xfrm>
                        <a:prstGeom prst="rect">
                          <a:avLst/>
                        </a:prstGeom>
                        <a:ln>
                          <a:solidFill>
                            <a:schemeClr val="bg1"/>
                          </a:solidFill>
                          <a:headEnd/>
                          <a:tailEnd/>
                        </a:ln>
                      </wps:spPr>
                      <wps:style>
                        <a:lnRef idx="2">
                          <a:schemeClr val="accent3"/>
                        </a:lnRef>
                        <a:fillRef idx="1">
                          <a:schemeClr val="lt1"/>
                        </a:fillRef>
                        <a:effectRef idx="0">
                          <a:schemeClr val="accent3"/>
                        </a:effectRef>
                        <a:fontRef idx="minor">
                          <a:schemeClr val="dk1"/>
                        </a:fontRef>
                      </wps:style>
                      <wps:txbx>
                        <w:txbxContent>
                          <w:p w14:paraId="581BB11E" w14:textId="61C05F4A" w:rsidR="00757719" w:rsidRPr="00757719" w:rsidRDefault="00757719">
                            <w:pPr>
                              <w:rPr>
                                <w:b/>
                                <w:bCs/>
                                <w:u w:val="single"/>
                              </w:rPr>
                            </w:pPr>
                            <w:r w:rsidRPr="00757719">
                              <w:rPr>
                                <w:b/>
                                <w:bCs/>
                                <w:u w:val="single"/>
                              </w:rPr>
                              <w:t>SWOT Analysis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6B0E8F" id="_x0000_t202" coordsize="21600,21600" o:spt="202" path="m,l,21600r21600,l21600,xe">
                <v:stroke joinstyle="miter"/>
                <v:path gradientshapeok="t" o:connecttype="rect"/>
              </v:shapetype>
              <v:shape id="Text Box 2" o:spid="_x0000_s1026" type="#_x0000_t202" style="position:absolute;left:0;text-align:left;margin-left:0;margin-top:74.65pt;width:84.9pt;height:23.7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J2CQQIAAMkEAAAOAAAAZHJzL2Uyb0RvYy54bWysVNtu2zAMfR+wfxD0vthx0suMOEWXrsOA&#10;7oJ1+wBZkmOhsuhJSuz060fJjpt2AwYMexFIkzzk4cWrq77RZC+tU2AKOp+llEjDQSizLeiP77dv&#10;LilxnhnBNBhZ0IN09Gr9+tWqa3OZQQ1aSEsQxLi8awtae9/mSeJ4LRvmZtBKg8YKbMM8qnabCMs6&#10;RG90kqXpedKBFa0FLp3DrzeDka4jflVJ7r9UlZOe6IJibT6+Nr5leJP1iuVby9pa8bEM9g9VNEwZ&#10;TDpB3TDPyM6q36AaxS04qPyMQ5NAVSkuIwdkM09fsLmvWSsjF2yOa6c2uf8Hyz/v79uvlvj+HfQ4&#10;wEjCtXfAHxwxsKmZ2cpra6GrJROYeB5alnSty8fQ0GqXuwBSdp9A4JDZzkME6ivbhK4gT4LoOIDD&#10;1HTZe8JDyvTiMlugiaNtkc7Ps7OYguXH6NY6/0FCQ4JQUItDjehsf+d8qIblR5eQTJvwOtBK3Cqt&#10;oxLWSW60JXuGi1BuBxYvvALD90bElfBM6UFG9IAYKQeWI19/0HLI9k1WRAlkkg3Ne56LcS6NX4yU&#10;tEHvEFZhZVPg2PXngdofixx9Q5iMKz0Fpn/POEXErGD8FNwoA/ZPAOJhyjz4H9kPnMO4fV/22Kcg&#10;liAOOHsLw23hvwCFGuwjJR3eVUHdzx2zkhL90eD+vJ0vl+EQo7I8u8hQsaeW8tTCDEeognpKBnHj&#10;4/EGMgaucc8qFVfgqZKxWLyXuBnjbYeDPNWj19MfaP0LAAD//wMAUEsDBBQABgAIAAAAIQAh3sTm&#10;4AAAAAgBAAAPAAAAZHJzL2Rvd25yZXYueG1sTI/NTsMwEITvSLyDtUjcqEOhUZPGqSp+JC6N1FIV&#10;enPiJYmI11HstuHt2Z7gtrszmv0mW462EyccfOtIwf0kAoFUOdNSrWD3/no3B+GDJqM7R6jgBz0s&#10;8+urTKfGnWmDp22oBYeQT7WCJoQ+ldJXDVrtJ65HYu3LDVYHXodamkGfOdx2chpFsbS6Jf7Q6B6f&#10;Gqy+t0erYJ3gpo5mb9N2vzp8Fh++KJ9fCqVub8bVAkTAMfyZ4YLP6JAzU+mOZLzoFHCRwNfH5AHE&#10;RY4TblLykMRzkHkm/xfIfwEAAP//AwBQSwECLQAUAAYACAAAACEAtoM4kv4AAADhAQAAEwAAAAAA&#10;AAAAAAAAAAAAAAAAW0NvbnRlbnRfVHlwZXNdLnhtbFBLAQItABQABgAIAAAAIQA4/SH/1gAAAJQB&#10;AAALAAAAAAAAAAAAAAAAAC8BAABfcmVscy8ucmVsc1BLAQItABQABgAIAAAAIQA2ZJ2CQQIAAMkE&#10;AAAOAAAAAAAAAAAAAAAAAC4CAABkcnMvZTJvRG9jLnhtbFBLAQItABQABgAIAAAAIQAh3sTm4AAA&#10;AAgBAAAPAAAAAAAAAAAAAAAAAJsEAABkcnMvZG93bnJldi54bWxQSwUGAAAAAAQABADzAAAAqAUA&#10;AAAA&#10;" fillcolor="white [3201]" strokecolor="white [3212]" strokeweight="1pt">
                <v:textbox>
                  <w:txbxContent>
                    <w:p w14:paraId="581BB11E" w14:textId="61C05F4A" w:rsidR="00757719" w:rsidRPr="00757719" w:rsidRDefault="00757719">
                      <w:pPr>
                        <w:rPr>
                          <w:b/>
                          <w:bCs/>
                          <w:u w:val="single"/>
                        </w:rPr>
                      </w:pPr>
                      <w:r w:rsidRPr="00757719">
                        <w:rPr>
                          <w:b/>
                          <w:bCs/>
                          <w:u w:val="single"/>
                        </w:rPr>
                        <w:t>SWOT Analysis</w:t>
                      </w:r>
                    </w:p>
                  </w:txbxContent>
                </v:textbox>
                <w10:wrap type="square" anchorx="margin"/>
              </v:shape>
            </w:pict>
          </mc:Fallback>
        </mc:AlternateContent>
      </w:r>
      <w:r w:rsidR="004F2AB9" w:rsidRPr="0038261B">
        <w:rPr>
          <w:rFonts w:ascii="Cambria" w:hAnsi="Cambria" w:cs="Aldhabi"/>
        </w:rPr>
        <w:t>Employee salaries, benefits, and related personnel expenses represent a significant portion of Visa's operating costs. Talent acquisition, training, and retention efforts are crucial for sustaining Visa's operational effectiveness and innovation capabilities.</w:t>
      </w:r>
    </w:p>
    <w:tbl>
      <w:tblPr>
        <w:tblStyle w:val="TableGrid"/>
        <w:tblpPr w:leftFromText="180" w:rightFromText="180" w:vertAnchor="text" w:horzAnchor="margin" w:tblpXSpec="right" w:tblpY="1496"/>
        <w:tblW w:w="8940" w:type="dxa"/>
        <w:tblLook w:val="04A0" w:firstRow="1" w:lastRow="0" w:firstColumn="1" w:lastColumn="0" w:noHBand="0" w:noVBand="1"/>
      </w:tblPr>
      <w:tblGrid>
        <w:gridCol w:w="4454"/>
        <w:gridCol w:w="4486"/>
      </w:tblGrid>
      <w:tr w:rsidR="00757719" w14:paraId="1FE3ECE6" w14:textId="77777777" w:rsidTr="00757719">
        <w:tc>
          <w:tcPr>
            <w:tcW w:w="4454" w:type="dxa"/>
          </w:tcPr>
          <w:p w14:paraId="549F1458" w14:textId="77777777" w:rsidR="00702156" w:rsidRPr="004F2AB9" w:rsidRDefault="00702156" w:rsidP="00702156">
            <w:pPr>
              <w:rPr>
                <w:b/>
                <w:bCs/>
              </w:rPr>
            </w:pPr>
            <w:r w:rsidRPr="004F2AB9">
              <w:rPr>
                <w:b/>
                <w:bCs/>
              </w:rPr>
              <w:t>Strengths</w:t>
            </w:r>
          </w:p>
        </w:tc>
        <w:tc>
          <w:tcPr>
            <w:tcW w:w="4486" w:type="dxa"/>
          </w:tcPr>
          <w:p w14:paraId="75DC4F87" w14:textId="77777777" w:rsidR="00702156" w:rsidRPr="004F2AB9" w:rsidRDefault="00702156" w:rsidP="00702156">
            <w:pPr>
              <w:rPr>
                <w:b/>
                <w:bCs/>
              </w:rPr>
            </w:pPr>
            <w:r w:rsidRPr="004F2AB9">
              <w:rPr>
                <w:b/>
                <w:bCs/>
              </w:rPr>
              <w:t>Weaknesses</w:t>
            </w:r>
          </w:p>
        </w:tc>
      </w:tr>
      <w:tr w:rsidR="00757719" w14:paraId="4C57A974" w14:textId="77777777" w:rsidTr="00757719">
        <w:tc>
          <w:tcPr>
            <w:tcW w:w="4454" w:type="dxa"/>
          </w:tcPr>
          <w:p w14:paraId="0603FAF7" w14:textId="77777777" w:rsidR="00702156" w:rsidRDefault="00702156" w:rsidP="00702156">
            <w:pPr>
              <w:rPr>
                <w:b/>
                <w:bCs/>
                <w:sz w:val="20"/>
                <w:szCs w:val="20"/>
              </w:rPr>
            </w:pPr>
          </w:p>
          <w:p w14:paraId="61BF8D2D" w14:textId="77777777" w:rsidR="00702156" w:rsidRPr="004F2AB9" w:rsidRDefault="00702156" w:rsidP="00702156">
            <w:pPr>
              <w:spacing w:after="0" w:line="240" w:lineRule="auto"/>
              <w:rPr>
                <w:sz w:val="20"/>
                <w:szCs w:val="20"/>
              </w:rPr>
            </w:pPr>
            <w:r w:rsidRPr="004F2AB9">
              <w:rPr>
                <w:b/>
                <w:bCs/>
                <w:sz w:val="20"/>
                <w:szCs w:val="20"/>
              </w:rPr>
              <w:t>Global Presence and Brand Recognition:</w:t>
            </w:r>
          </w:p>
          <w:p w14:paraId="0C97E113" w14:textId="77777777" w:rsidR="00702156" w:rsidRPr="004F2AB9" w:rsidRDefault="00702156" w:rsidP="00702156">
            <w:pPr>
              <w:numPr>
                <w:ilvl w:val="0"/>
                <w:numId w:val="7"/>
              </w:numPr>
              <w:rPr>
                <w:sz w:val="20"/>
                <w:szCs w:val="20"/>
              </w:rPr>
            </w:pPr>
            <w:r w:rsidRPr="004F2AB9">
              <w:rPr>
                <w:sz w:val="20"/>
                <w:szCs w:val="20"/>
              </w:rPr>
              <w:t>Visa is a globally recognized brand with a presence in over 200 countries and territories. Its extensive network of financial institutions, merchants, and cardholders gives it a significant competitive advantage.</w:t>
            </w:r>
          </w:p>
          <w:p w14:paraId="39A254B1" w14:textId="77777777" w:rsidR="00702156" w:rsidRPr="004F2AB9" w:rsidRDefault="00702156" w:rsidP="00702156">
            <w:pPr>
              <w:ind w:left="360"/>
              <w:rPr>
                <w:sz w:val="20"/>
                <w:szCs w:val="20"/>
              </w:rPr>
            </w:pPr>
          </w:p>
          <w:p w14:paraId="2397EC62" w14:textId="77777777" w:rsidR="00702156" w:rsidRPr="004F2AB9" w:rsidRDefault="00702156" w:rsidP="00702156">
            <w:pPr>
              <w:spacing w:after="0" w:line="240" w:lineRule="auto"/>
              <w:ind w:left="360"/>
              <w:rPr>
                <w:sz w:val="20"/>
                <w:szCs w:val="20"/>
              </w:rPr>
            </w:pPr>
            <w:r w:rsidRPr="004F2AB9">
              <w:rPr>
                <w:b/>
                <w:bCs/>
                <w:sz w:val="20"/>
                <w:szCs w:val="20"/>
              </w:rPr>
              <w:t>Technological Innovation:</w:t>
            </w:r>
          </w:p>
          <w:p w14:paraId="16543C87" w14:textId="77777777" w:rsidR="00702156" w:rsidRPr="004F2AB9" w:rsidRDefault="00702156" w:rsidP="00702156">
            <w:pPr>
              <w:numPr>
                <w:ilvl w:val="0"/>
                <w:numId w:val="8"/>
              </w:numPr>
              <w:rPr>
                <w:sz w:val="20"/>
                <w:szCs w:val="20"/>
              </w:rPr>
            </w:pPr>
            <w:r w:rsidRPr="004F2AB9">
              <w:rPr>
                <w:sz w:val="20"/>
                <w:szCs w:val="20"/>
              </w:rPr>
              <w:t>Visa invests heavily in technology and innovation to develop cutting-edge payment solutions, improve transaction security, and enhance the overall customer experience. Its focus on digital payments, contactless technology, and mobile wallets positions it well for future growth.</w:t>
            </w:r>
          </w:p>
          <w:p w14:paraId="38A2C11D" w14:textId="77777777" w:rsidR="00702156" w:rsidRPr="004F2AB9" w:rsidRDefault="00702156" w:rsidP="00702156">
            <w:pPr>
              <w:ind w:left="360"/>
            </w:pPr>
          </w:p>
          <w:p w14:paraId="56D7469B" w14:textId="77777777" w:rsidR="00702156" w:rsidRDefault="00702156" w:rsidP="00702156"/>
        </w:tc>
        <w:tc>
          <w:tcPr>
            <w:tcW w:w="4486" w:type="dxa"/>
          </w:tcPr>
          <w:p w14:paraId="1BBC96AE" w14:textId="77777777" w:rsidR="00702156" w:rsidRDefault="00702156" w:rsidP="00702156"/>
          <w:p w14:paraId="2CED5A0B" w14:textId="77777777" w:rsidR="00702156" w:rsidRPr="004F2AB9" w:rsidRDefault="00702156" w:rsidP="00702156">
            <w:pPr>
              <w:spacing w:after="0" w:line="240" w:lineRule="auto"/>
              <w:rPr>
                <w:sz w:val="20"/>
                <w:szCs w:val="20"/>
              </w:rPr>
            </w:pPr>
            <w:r w:rsidRPr="004F2AB9">
              <w:rPr>
                <w:b/>
                <w:bCs/>
                <w:sz w:val="20"/>
                <w:szCs w:val="20"/>
              </w:rPr>
              <w:t>Cybersecurity Risks:</w:t>
            </w:r>
          </w:p>
          <w:p w14:paraId="28A420C1" w14:textId="77777777" w:rsidR="00702156" w:rsidRPr="004F2AB9" w:rsidRDefault="00702156" w:rsidP="00702156">
            <w:pPr>
              <w:numPr>
                <w:ilvl w:val="0"/>
                <w:numId w:val="9"/>
              </w:numPr>
              <w:rPr>
                <w:sz w:val="20"/>
                <w:szCs w:val="20"/>
              </w:rPr>
            </w:pPr>
            <w:r w:rsidRPr="004F2AB9">
              <w:rPr>
                <w:sz w:val="20"/>
                <w:szCs w:val="20"/>
              </w:rPr>
              <w:t>As a leading payment processor, Visa is a prime target for cybersecurity threats and data breaches. Despite significant investments in cybersecurity measures, the risk of cyberattacks remains a persistent challenge for Visa, potentially damaging its reputation and eroding customer trust.</w:t>
            </w:r>
          </w:p>
          <w:p w14:paraId="3B894DE7" w14:textId="77777777" w:rsidR="00702156" w:rsidRPr="004F2AB9" w:rsidRDefault="00702156" w:rsidP="00702156">
            <w:pPr>
              <w:rPr>
                <w:sz w:val="20"/>
                <w:szCs w:val="20"/>
              </w:rPr>
            </w:pPr>
          </w:p>
          <w:p w14:paraId="1D7E5CD4" w14:textId="77777777" w:rsidR="00702156" w:rsidRPr="004F2AB9" w:rsidRDefault="00702156" w:rsidP="00702156">
            <w:pPr>
              <w:spacing w:after="0" w:line="240" w:lineRule="auto"/>
              <w:rPr>
                <w:sz w:val="20"/>
                <w:szCs w:val="20"/>
              </w:rPr>
            </w:pPr>
            <w:r w:rsidRPr="004F2AB9">
              <w:rPr>
                <w:b/>
                <w:bCs/>
                <w:sz w:val="20"/>
                <w:szCs w:val="20"/>
              </w:rPr>
              <w:t>Dependency on Interchange Fees:</w:t>
            </w:r>
          </w:p>
          <w:p w14:paraId="13BBF68D" w14:textId="77777777" w:rsidR="00702156" w:rsidRPr="004F2AB9" w:rsidRDefault="00702156" w:rsidP="00702156">
            <w:pPr>
              <w:numPr>
                <w:ilvl w:val="0"/>
                <w:numId w:val="10"/>
              </w:numPr>
              <w:rPr>
                <w:sz w:val="20"/>
                <w:szCs w:val="20"/>
              </w:rPr>
            </w:pPr>
            <w:r w:rsidRPr="004F2AB9">
              <w:rPr>
                <w:sz w:val="20"/>
                <w:szCs w:val="20"/>
              </w:rPr>
              <w:t>Visa's revenue heavily relies on interchange fees charged to financial institutions for processing transactions. Regulatory scrutiny and legal challenges related to interchange fees pose a risk to Visa's revenue stream and profitability.</w:t>
            </w:r>
          </w:p>
          <w:p w14:paraId="2CEE4847" w14:textId="77777777" w:rsidR="00702156" w:rsidRDefault="00702156" w:rsidP="00702156"/>
        </w:tc>
      </w:tr>
      <w:tr w:rsidR="00757719" w14:paraId="1204021C" w14:textId="77777777" w:rsidTr="00757719">
        <w:tc>
          <w:tcPr>
            <w:tcW w:w="4454" w:type="dxa"/>
          </w:tcPr>
          <w:p w14:paraId="5A0CA2ED" w14:textId="77777777" w:rsidR="00702156" w:rsidRPr="004F2AB9" w:rsidRDefault="00702156" w:rsidP="00702156">
            <w:pPr>
              <w:rPr>
                <w:b/>
                <w:bCs/>
              </w:rPr>
            </w:pPr>
            <w:r w:rsidRPr="004F2AB9">
              <w:rPr>
                <w:b/>
                <w:bCs/>
              </w:rPr>
              <w:t>Opportunities</w:t>
            </w:r>
          </w:p>
        </w:tc>
        <w:tc>
          <w:tcPr>
            <w:tcW w:w="4486" w:type="dxa"/>
          </w:tcPr>
          <w:p w14:paraId="31D34B7F" w14:textId="77777777" w:rsidR="00702156" w:rsidRPr="004F2AB9" w:rsidRDefault="00702156" w:rsidP="00702156">
            <w:pPr>
              <w:rPr>
                <w:b/>
                <w:bCs/>
              </w:rPr>
            </w:pPr>
            <w:r w:rsidRPr="004F2AB9">
              <w:rPr>
                <w:b/>
                <w:bCs/>
              </w:rPr>
              <w:t>Threats</w:t>
            </w:r>
          </w:p>
        </w:tc>
      </w:tr>
      <w:tr w:rsidR="00757719" w14:paraId="01421CF3" w14:textId="77777777" w:rsidTr="00757719">
        <w:tc>
          <w:tcPr>
            <w:tcW w:w="4454" w:type="dxa"/>
          </w:tcPr>
          <w:p w14:paraId="00BE5806" w14:textId="7DF73BDD" w:rsidR="00702156" w:rsidRPr="00702156" w:rsidRDefault="00702156" w:rsidP="00702156">
            <w:pPr>
              <w:spacing w:after="0" w:line="240" w:lineRule="auto"/>
              <w:rPr>
                <w:sz w:val="20"/>
                <w:szCs w:val="20"/>
              </w:rPr>
            </w:pPr>
            <w:r w:rsidRPr="00702156">
              <w:rPr>
                <w:b/>
                <w:bCs/>
                <w:sz w:val="20"/>
                <w:szCs w:val="20"/>
              </w:rPr>
              <w:t>Growth in Digital Payments:</w:t>
            </w:r>
          </w:p>
          <w:p w14:paraId="2143A1D8" w14:textId="77777777" w:rsidR="00702156" w:rsidRPr="00702156" w:rsidRDefault="00702156" w:rsidP="00702156">
            <w:pPr>
              <w:numPr>
                <w:ilvl w:val="0"/>
                <w:numId w:val="11"/>
              </w:numPr>
              <w:rPr>
                <w:sz w:val="20"/>
                <w:szCs w:val="20"/>
              </w:rPr>
            </w:pPr>
            <w:r w:rsidRPr="00702156">
              <w:rPr>
                <w:sz w:val="20"/>
                <w:szCs w:val="20"/>
              </w:rPr>
              <w:t xml:space="preserve">The ongoing shift towards digital payments presents significant growth opportunities </w:t>
            </w:r>
            <w:r w:rsidRPr="00702156">
              <w:rPr>
                <w:sz w:val="20"/>
                <w:szCs w:val="20"/>
              </w:rPr>
              <w:lastRenderedPageBreak/>
              <w:t>for Visa. Increasing consumer adoption of e-commerce, mobile wallets, and contactless payments fuels demand for Visa's payment solutions and drives transaction volume growth.</w:t>
            </w:r>
          </w:p>
          <w:p w14:paraId="38AACCF7" w14:textId="77777777" w:rsidR="00702156" w:rsidRPr="00702156" w:rsidRDefault="00702156" w:rsidP="00702156">
            <w:pPr>
              <w:ind w:left="360"/>
              <w:rPr>
                <w:sz w:val="20"/>
                <w:szCs w:val="20"/>
              </w:rPr>
            </w:pPr>
          </w:p>
          <w:p w14:paraId="641F2A14" w14:textId="77777777" w:rsidR="00702156" w:rsidRPr="00702156" w:rsidRDefault="00702156" w:rsidP="00702156">
            <w:pPr>
              <w:spacing w:after="0" w:line="240" w:lineRule="auto"/>
              <w:ind w:left="360"/>
              <w:rPr>
                <w:sz w:val="20"/>
                <w:szCs w:val="20"/>
              </w:rPr>
            </w:pPr>
            <w:r w:rsidRPr="00702156">
              <w:rPr>
                <w:b/>
                <w:bCs/>
                <w:sz w:val="20"/>
                <w:szCs w:val="20"/>
              </w:rPr>
              <w:t>Expansion in Emerging Markets:</w:t>
            </w:r>
          </w:p>
          <w:p w14:paraId="2B8B0152" w14:textId="294976B7" w:rsidR="00702156" w:rsidRPr="00702156" w:rsidRDefault="00702156" w:rsidP="00702156">
            <w:pPr>
              <w:numPr>
                <w:ilvl w:val="0"/>
                <w:numId w:val="12"/>
              </w:numPr>
              <w:rPr>
                <w:sz w:val="20"/>
                <w:szCs w:val="20"/>
              </w:rPr>
            </w:pPr>
            <w:r w:rsidRPr="00702156">
              <w:rPr>
                <w:sz w:val="20"/>
                <w:szCs w:val="20"/>
              </w:rPr>
              <w:t>Visa can further expand its presence in emerging markets with growing economies and increasing adoption of electronic payments. Targeting regions such as Southeast Asia, Latin America, and Africa offers opportunities to capture new market share and drive revenue growth.</w:t>
            </w:r>
          </w:p>
          <w:p w14:paraId="3ED19DC6" w14:textId="77777777" w:rsidR="00702156" w:rsidRDefault="00702156" w:rsidP="00702156"/>
        </w:tc>
        <w:tc>
          <w:tcPr>
            <w:tcW w:w="4486" w:type="dxa"/>
          </w:tcPr>
          <w:p w14:paraId="7A6B8E22" w14:textId="77777777" w:rsidR="00702156" w:rsidRPr="00702156" w:rsidRDefault="00702156" w:rsidP="00702156">
            <w:pPr>
              <w:spacing w:after="0" w:line="240" w:lineRule="auto"/>
              <w:rPr>
                <w:sz w:val="20"/>
                <w:szCs w:val="20"/>
              </w:rPr>
            </w:pPr>
            <w:r w:rsidRPr="00702156">
              <w:rPr>
                <w:b/>
                <w:bCs/>
                <w:sz w:val="20"/>
                <w:szCs w:val="20"/>
              </w:rPr>
              <w:lastRenderedPageBreak/>
              <w:t>Geopolitical and Economic Uncertainty:</w:t>
            </w:r>
          </w:p>
          <w:p w14:paraId="0B38ABB6" w14:textId="77777777" w:rsidR="00702156" w:rsidRPr="00702156" w:rsidRDefault="00702156" w:rsidP="00702156">
            <w:pPr>
              <w:numPr>
                <w:ilvl w:val="0"/>
                <w:numId w:val="13"/>
              </w:numPr>
              <w:rPr>
                <w:sz w:val="20"/>
                <w:szCs w:val="20"/>
              </w:rPr>
            </w:pPr>
            <w:r w:rsidRPr="00702156">
              <w:rPr>
                <w:sz w:val="20"/>
                <w:szCs w:val="20"/>
              </w:rPr>
              <w:t xml:space="preserve">Geopolitical tensions, trade disputes, and economic instability in key markets can </w:t>
            </w:r>
            <w:r w:rsidRPr="00702156">
              <w:rPr>
                <w:sz w:val="20"/>
                <w:szCs w:val="20"/>
              </w:rPr>
              <w:lastRenderedPageBreak/>
              <w:t>disrupt Visa's global operations and impact consumer spending patterns. Currency fluctuations, inflationary pressures, and economic recessions pose risks to Visa's revenue growth and profitability.</w:t>
            </w:r>
          </w:p>
          <w:p w14:paraId="228F57EB" w14:textId="77777777" w:rsidR="00702156" w:rsidRPr="00702156" w:rsidRDefault="00702156" w:rsidP="00702156">
            <w:pPr>
              <w:rPr>
                <w:sz w:val="20"/>
                <w:szCs w:val="20"/>
              </w:rPr>
            </w:pPr>
          </w:p>
          <w:p w14:paraId="6DE62E26" w14:textId="77777777" w:rsidR="00702156" w:rsidRPr="00702156" w:rsidRDefault="00702156" w:rsidP="00702156">
            <w:pPr>
              <w:spacing w:after="0" w:line="240" w:lineRule="auto"/>
              <w:rPr>
                <w:sz w:val="20"/>
                <w:szCs w:val="20"/>
              </w:rPr>
            </w:pPr>
            <w:r w:rsidRPr="00702156">
              <w:rPr>
                <w:b/>
                <w:bCs/>
                <w:sz w:val="20"/>
                <w:szCs w:val="20"/>
              </w:rPr>
              <w:t>Data Privacy and Security Concerns:</w:t>
            </w:r>
          </w:p>
          <w:p w14:paraId="32855FEA" w14:textId="77777777" w:rsidR="00702156" w:rsidRPr="00702156" w:rsidRDefault="00702156" w:rsidP="00702156">
            <w:pPr>
              <w:numPr>
                <w:ilvl w:val="0"/>
                <w:numId w:val="14"/>
              </w:numPr>
              <w:rPr>
                <w:sz w:val="20"/>
                <w:szCs w:val="20"/>
              </w:rPr>
            </w:pPr>
            <w:r w:rsidRPr="00702156">
              <w:rPr>
                <w:sz w:val="20"/>
                <w:szCs w:val="20"/>
              </w:rPr>
              <w:t>Heightened concerns over data privacy, security breaches, and unauthorized access to personal information pose reputational risks for Visa. Any failure to protect sensitive data or address cybersecurity threats effectively could lead to regulatory fines, legal liabilities, and damage to Visa's brand image.</w:t>
            </w:r>
          </w:p>
          <w:p w14:paraId="0A9E9837" w14:textId="77777777" w:rsidR="00702156" w:rsidRPr="00702156" w:rsidRDefault="00702156" w:rsidP="00702156">
            <w:pPr>
              <w:rPr>
                <w:sz w:val="20"/>
                <w:szCs w:val="20"/>
              </w:rPr>
            </w:pPr>
          </w:p>
        </w:tc>
      </w:tr>
    </w:tbl>
    <w:p w14:paraId="6EC291EB" w14:textId="77777777" w:rsidR="00702156" w:rsidRDefault="00702156" w:rsidP="00FD0575"/>
    <w:p w14:paraId="6FCB962C" w14:textId="6BE28252" w:rsidR="00757719" w:rsidRPr="00757719" w:rsidRDefault="00FD0575" w:rsidP="00FD0575">
      <w:pPr>
        <w:ind w:left="1440"/>
        <w:rPr>
          <w:b/>
          <w:bCs/>
          <w:u w:val="single"/>
        </w:rPr>
      </w:pPr>
      <w:r w:rsidRPr="00FD0575">
        <w:rPr>
          <w:b/>
          <w:bCs/>
        </w:rPr>
        <w:t xml:space="preserve">                                              </w:t>
      </w:r>
      <w:r w:rsidR="00757719" w:rsidRPr="00757719">
        <w:rPr>
          <w:b/>
          <w:bCs/>
          <w:u w:val="single"/>
        </w:rPr>
        <w:t>PESTEL Analysis</w:t>
      </w:r>
    </w:p>
    <w:tbl>
      <w:tblPr>
        <w:tblStyle w:val="TableGrid"/>
        <w:tblW w:w="8931" w:type="dxa"/>
        <w:tblInd w:w="-5" w:type="dxa"/>
        <w:tblLook w:val="04A0" w:firstRow="1" w:lastRow="0" w:firstColumn="1" w:lastColumn="0" w:noHBand="0" w:noVBand="1"/>
      </w:tblPr>
      <w:tblGrid>
        <w:gridCol w:w="4513"/>
        <w:gridCol w:w="4418"/>
      </w:tblGrid>
      <w:tr w:rsidR="00702156" w14:paraId="346B7D7D" w14:textId="77777777" w:rsidTr="00757719">
        <w:tc>
          <w:tcPr>
            <w:tcW w:w="4513" w:type="dxa"/>
          </w:tcPr>
          <w:p w14:paraId="71866D30" w14:textId="77777777" w:rsidR="00702156" w:rsidRDefault="00702156" w:rsidP="00702156">
            <w:pPr>
              <w:jc w:val="center"/>
              <w:rPr>
                <w:b/>
                <w:bCs/>
                <w:u w:val="single"/>
              </w:rPr>
            </w:pPr>
            <w:r w:rsidRPr="00702156">
              <w:rPr>
                <w:b/>
                <w:bCs/>
                <w:u w:val="single"/>
              </w:rPr>
              <w:t>Political</w:t>
            </w:r>
          </w:p>
          <w:p w14:paraId="23D45231" w14:textId="77777777" w:rsidR="00702156" w:rsidRDefault="00702156" w:rsidP="00702156">
            <w:pPr>
              <w:jc w:val="center"/>
              <w:rPr>
                <w:b/>
                <w:bCs/>
                <w:u w:val="single"/>
              </w:rPr>
            </w:pPr>
          </w:p>
          <w:p w14:paraId="1849A7DC" w14:textId="77777777" w:rsidR="00702156" w:rsidRDefault="00757719" w:rsidP="00702156">
            <w:pPr>
              <w:rPr>
                <w:sz w:val="20"/>
                <w:szCs w:val="20"/>
              </w:rPr>
            </w:pPr>
            <w:r w:rsidRPr="00757719">
              <w:rPr>
                <w:b/>
                <w:bCs/>
                <w:sz w:val="20"/>
                <w:szCs w:val="20"/>
              </w:rPr>
              <w:t>Trade Policies:</w:t>
            </w:r>
            <w:r w:rsidRPr="00757719">
              <w:rPr>
                <w:sz w:val="20"/>
                <w:szCs w:val="20"/>
              </w:rPr>
              <w:t xml:space="preserve"> Visa's international operations may be influenced by political decisions regarding trade policies, tariffs, and cross-border regulations, which can affect its ability to expand into new markets and conduct cross-border transactions.</w:t>
            </w:r>
          </w:p>
          <w:p w14:paraId="0761613B" w14:textId="158BA2BD" w:rsidR="00757719" w:rsidRPr="00757719" w:rsidRDefault="00757719" w:rsidP="00702156"/>
        </w:tc>
        <w:tc>
          <w:tcPr>
            <w:tcW w:w="4418" w:type="dxa"/>
          </w:tcPr>
          <w:p w14:paraId="2A6D8269" w14:textId="77777777" w:rsidR="00702156" w:rsidRDefault="00702156" w:rsidP="00702156">
            <w:pPr>
              <w:jc w:val="center"/>
              <w:rPr>
                <w:b/>
                <w:bCs/>
                <w:u w:val="single"/>
              </w:rPr>
            </w:pPr>
            <w:r w:rsidRPr="00702156">
              <w:rPr>
                <w:b/>
                <w:bCs/>
                <w:u w:val="single"/>
              </w:rPr>
              <w:t>Economic</w:t>
            </w:r>
          </w:p>
          <w:p w14:paraId="581DF9EF" w14:textId="77777777" w:rsidR="00702156" w:rsidRDefault="00702156" w:rsidP="00702156">
            <w:pPr>
              <w:jc w:val="center"/>
              <w:rPr>
                <w:b/>
                <w:bCs/>
                <w:u w:val="single"/>
              </w:rPr>
            </w:pPr>
          </w:p>
          <w:p w14:paraId="79BA59F6" w14:textId="77777777" w:rsidR="00702156" w:rsidRDefault="00757719" w:rsidP="00702156">
            <w:pPr>
              <w:rPr>
                <w:sz w:val="20"/>
                <w:szCs w:val="20"/>
              </w:rPr>
            </w:pPr>
            <w:r w:rsidRPr="00757719">
              <w:rPr>
                <w:b/>
                <w:bCs/>
                <w:sz w:val="20"/>
                <w:szCs w:val="20"/>
              </w:rPr>
              <w:t>Macroeconomic Conditions:</w:t>
            </w:r>
            <w:r w:rsidRPr="00757719">
              <w:rPr>
                <w:sz w:val="20"/>
                <w:szCs w:val="20"/>
              </w:rPr>
              <w:t xml:space="preserve"> Visa's revenue is closely tied to global economic conditions, including GDP growth, consumer spending, and employment levels. Economic downturns can lead to reduced consumer spending and transaction volumes, impacting Visa's revenue and profitability.</w:t>
            </w:r>
          </w:p>
          <w:p w14:paraId="3DDBCD9B" w14:textId="52657828" w:rsidR="00757719" w:rsidRPr="00757719" w:rsidRDefault="00757719" w:rsidP="00702156"/>
        </w:tc>
      </w:tr>
      <w:tr w:rsidR="00702156" w14:paraId="4F9132F7" w14:textId="77777777" w:rsidTr="00757719">
        <w:tc>
          <w:tcPr>
            <w:tcW w:w="4513" w:type="dxa"/>
          </w:tcPr>
          <w:p w14:paraId="0D3A3BBF" w14:textId="77777777" w:rsidR="00702156" w:rsidRDefault="00702156" w:rsidP="00702156">
            <w:pPr>
              <w:jc w:val="center"/>
              <w:rPr>
                <w:b/>
                <w:bCs/>
                <w:u w:val="single"/>
              </w:rPr>
            </w:pPr>
            <w:r w:rsidRPr="00702156">
              <w:rPr>
                <w:b/>
                <w:bCs/>
                <w:u w:val="single"/>
              </w:rPr>
              <w:t>Social</w:t>
            </w:r>
          </w:p>
          <w:p w14:paraId="01EE9E17" w14:textId="77777777" w:rsidR="00702156" w:rsidRDefault="00702156" w:rsidP="00702156">
            <w:pPr>
              <w:jc w:val="center"/>
              <w:rPr>
                <w:b/>
                <w:bCs/>
                <w:u w:val="single"/>
              </w:rPr>
            </w:pPr>
          </w:p>
          <w:p w14:paraId="4A36FD20" w14:textId="12BB3115" w:rsidR="00702156" w:rsidRDefault="00757719" w:rsidP="00702156">
            <w:pPr>
              <w:rPr>
                <w:sz w:val="20"/>
                <w:szCs w:val="20"/>
              </w:rPr>
            </w:pPr>
            <w:r w:rsidRPr="00757719">
              <w:rPr>
                <w:b/>
                <w:bCs/>
                <w:sz w:val="20"/>
                <w:szCs w:val="20"/>
              </w:rPr>
              <w:t xml:space="preserve">Consumer </w:t>
            </w:r>
            <w:r w:rsidRPr="00757719">
              <w:rPr>
                <w:b/>
                <w:bCs/>
                <w:sz w:val="20"/>
                <w:szCs w:val="20"/>
              </w:rPr>
              <w:t>Behaviour</w:t>
            </w:r>
            <w:r w:rsidRPr="00757719">
              <w:rPr>
                <w:b/>
                <w:bCs/>
                <w:sz w:val="20"/>
                <w:szCs w:val="20"/>
              </w:rPr>
              <w:t>:</w:t>
            </w:r>
            <w:r w:rsidRPr="00757719">
              <w:rPr>
                <w:sz w:val="20"/>
                <w:szCs w:val="20"/>
              </w:rPr>
              <w:t xml:space="preserve"> Shifts in consumer preferences, demographics, and lifestyle trends can influence payment preferences and adoption of digital payment solutions. Visa must adapt its products and services to meet evolving consumer needs and </w:t>
            </w:r>
            <w:r w:rsidRPr="00757719">
              <w:rPr>
                <w:sz w:val="20"/>
                <w:szCs w:val="20"/>
              </w:rPr>
              <w:t>behaviours</w:t>
            </w:r>
            <w:r w:rsidRPr="00757719">
              <w:rPr>
                <w:sz w:val="20"/>
                <w:szCs w:val="20"/>
              </w:rPr>
              <w:t>.</w:t>
            </w:r>
          </w:p>
          <w:p w14:paraId="1AB9F782" w14:textId="03962E7E" w:rsidR="00757719" w:rsidRPr="00757719" w:rsidRDefault="00757719" w:rsidP="00702156"/>
        </w:tc>
        <w:tc>
          <w:tcPr>
            <w:tcW w:w="4418" w:type="dxa"/>
          </w:tcPr>
          <w:p w14:paraId="1169CB73" w14:textId="77777777" w:rsidR="00702156" w:rsidRDefault="00702156" w:rsidP="00702156">
            <w:pPr>
              <w:jc w:val="center"/>
              <w:rPr>
                <w:b/>
                <w:bCs/>
                <w:u w:val="single"/>
              </w:rPr>
            </w:pPr>
            <w:r w:rsidRPr="00702156">
              <w:rPr>
                <w:b/>
                <w:bCs/>
                <w:u w:val="single"/>
              </w:rPr>
              <w:t>Technological</w:t>
            </w:r>
          </w:p>
          <w:p w14:paraId="24904C12" w14:textId="77777777" w:rsidR="00702156" w:rsidRDefault="00702156" w:rsidP="00702156">
            <w:pPr>
              <w:jc w:val="center"/>
              <w:rPr>
                <w:b/>
                <w:bCs/>
                <w:u w:val="single"/>
              </w:rPr>
            </w:pPr>
          </w:p>
          <w:p w14:paraId="655326DD" w14:textId="77777777" w:rsidR="00702156" w:rsidRDefault="00757719" w:rsidP="00702156">
            <w:pPr>
              <w:rPr>
                <w:sz w:val="20"/>
                <w:szCs w:val="20"/>
              </w:rPr>
            </w:pPr>
            <w:r w:rsidRPr="00757719">
              <w:rPr>
                <w:b/>
                <w:bCs/>
                <w:sz w:val="20"/>
                <w:szCs w:val="20"/>
              </w:rPr>
              <w:t>Digital Innovation:</w:t>
            </w:r>
            <w:r w:rsidRPr="00757719">
              <w:rPr>
                <w:sz w:val="20"/>
                <w:szCs w:val="20"/>
              </w:rPr>
              <w:t xml:space="preserve"> Rapid technological advancements, including mobile payments, contactless technology, and blockchain, are reshaping the payments industry. Visa must invest in technology and innovation to develop innovative payment solutions, enhance security, and maintain its competitive edge.</w:t>
            </w:r>
          </w:p>
          <w:p w14:paraId="6B58FA8F" w14:textId="68193574" w:rsidR="00757719" w:rsidRPr="00757719" w:rsidRDefault="00757719" w:rsidP="00702156"/>
        </w:tc>
      </w:tr>
      <w:tr w:rsidR="00702156" w14:paraId="3C163A91" w14:textId="77777777" w:rsidTr="00757719">
        <w:tc>
          <w:tcPr>
            <w:tcW w:w="4513" w:type="dxa"/>
          </w:tcPr>
          <w:p w14:paraId="211C5F1B" w14:textId="77777777" w:rsidR="00702156" w:rsidRDefault="00702156" w:rsidP="00702156">
            <w:pPr>
              <w:jc w:val="center"/>
              <w:rPr>
                <w:b/>
                <w:bCs/>
                <w:u w:val="single"/>
              </w:rPr>
            </w:pPr>
            <w:r w:rsidRPr="00702156">
              <w:rPr>
                <w:b/>
                <w:bCs/>
                <w:u w:val="single"/>
              </w:rPr>
              <w:t>Environmental</w:t>
            </w:r>
          </w:p>
          <w:p w14:paraId="419FBD48" w14:textId="77777777" w:rsidR="00702156" w:rsidRDefault="00702156" w:rsidP="00702156">
            <w:pPr>
              <w:jc w:val="center"/>
              <w:rPr>
                <w:b/>
                <w:bCs/>
                <w:u w:val="single"/>
              </w:rPr>
            </w:pPr>
          </w:p>
          <w:p w14:paraId="643426B5" w14:textId="77777777" w:rsidR="00702156" w:rsidRDefault="00757719" w:rsidP="00702156">
            <w:pPr>
              <w:rPr>
                <w:sz w:val="20"/>
                <w:szCs w:val="20"/>
              </w:rPr>
            </w:pPr>
            <w:r w:rsidRPr="00757719">
              <w:rPr>
                <w:b/>
                <w:bCs/>
                <w:sz w:val="20"/>
                <w:szCs w:val="20"/>
              </w:rPr>
              <w:t>Sustainability Initiatives</w:t>
            </w:r>
            <w:r w:rsidRPr="00757719">
              <w:rPr>
                <w:sz w:val="20"/>
                <w:szCs w:val="20"/>
              </w:rPr>
              <w:t>: Increasing focus on environmental sustainability and corporate social responsibility presents opportunities for Visa to align its operations with sustainable practices and support initiatives related to environmental conservation and social impact.</w:t>
            </w:r>
          </w:p>
          <w:p w14:paraId="105D00AE" w14:textId="40E39C37" w:rsidR="00757719" w:rsidRPr="00757719" w:rsidRDefault="00757719" w:rsidP="00702156"/>
        </w:tc>
        <w:tc>
          <w:tcPr>
            <w:tcW w:w="4418" w:type="dxa"/>
          </w:tcPr>
          <w:p w14:paraId="08AAD9D2" w14:textId="77777777" w:rsidR="00702156" w:rsidRPr="00757719" w:rsidRDefault="00757719" w:rsidP="00702156">
            <w:pPr>
              <w:jc w:val="center"/>
              <w:rPr>
                <w:b/>
                <w:bCs/>
                <w:u w:val="single"/>
              </w:rPr>
            </w:pPr>
            <w:r w:rsidRPr="00757719">
              <w:rPr>
                <w:b/>
                <w:bCs/>
                <w:u w:val="single"/>
              </w:rPr>
              <w:t>Legal</w:t>
            </w:r>
          </w:p>
          <w:p w14:paraId="606CCB50" w14:textId="77777777" w:rsidR="00757719" w:rsidRPr="00757719" w:rsidRDefault="00757719" w:rsidP="00702156">
            <w:pPr>
              <w:jc w:val="center"/>
              <w:rPr>
                <w:u w:val="single"/>
              </w:rPr>
            </w:pPr>
          </w:p>
          <w:p w14:paraId="5AEFC99C" w14:textId="5ABFAFF0" w:rsidR="00757719" w:rsidRPr="00757719" w:rsidRDefault="00757719" w:rsidP="00757719">
            <w:r w:rsidRPr="00757719">
              <w:rPr>
                <w:b/>
                <w:bCs/>
                <w:sz w:val="20"/>
                <w:szCs w:val="20"/>
              </w:rPr>
              <w:t>Antitrust Regulations:</w:t>
            </w:r>
            <w:r w:rsidRPr="00757719">
              <w:rPr>
                <w:sz w:val="20"/>
                <w:szCs w:val="20"/>
              </w:rPr>
              <w:t xml:space="preserve"> Visa operates in a competitive market and may face scrutiny from antitrust authorities regarding its market dominance and competitive practices. Compliance with antitrust regulations is necessary to ensure fair competition and avoid legal challenges.</w:t>
            </w:r>
          </w:p>
        </w:tc>
      </w:tr>
    </w:tbl>
    <w:p w14:paraId="3132370B" w14:textId="77777777" w:rsidR="004F2AB9" w:rsidRDefault="004F2AB9" w:rsidP="004F2AB9">
      <w:pPr>
        <w:rPr>
          <w:b/>
          <w:bCs/>
        </w:rPr>
      </w:pPr>
    </w:p>
    <w:p w14:paraId="522DD718" w14:textId="56B64A73" w:rsidR="004F2AB9" w:rsidRPr="00FD0575" w:rsidRDefault="00FD0575" w:rsidP="004F2AB9">
      <w:pPr>
        <w:rPr>
          <w:rFonts w:ascii="Cambria" w:hAnsi="Cambria"/>
          <w:sz w:val="20"/>
          <w:szCs w:val="20"/>
        </w:rPr>
      </w:pPr>
      <w:r w:rsidRPr="00FD0575">
        <w:rPr>
          <w:rFonts w:ascii="Cambria" w:hAnsi="Cambria"/>
          <w:sz w:val="20"/>
          <w:szCs w:val="20"/>
        </w:rPr>
        <w:t xml:space="preserve">In summary, Visa Inc., Mastercard Incorporated, and American Express Company are major players in the payments industry, each with its strengths and competitive advantages. While Visa and Mastercard dominate the global payments market, American Express competes in specific segments with its premium card offerings. The competitive landscape is characterized by technological innovation, strategic partnerships, and a focus on enhancing the customer experience. Continuous investment in technology, </w:t>
      </w:r>
      <w:r w:rsidRPr="00FD0575">
        <w:rPr>
          <w:rFonts w:ascii="Cambria" w:hAnsi="Cambria"/>
          <w:sz w:val="20"/>
          <w:szCs w:val="20"/>
        </w:rPr>
        <w:lastRenderedPageBreak/>
        <w:t>expansion into new markets, and differentiation through innovative products and services are key drivers of competitive advantage in the industry.</w:t>
      </w:r>
    </w:p>
    <w:p w14:paraId="29F99F04" w14:textId="77777777" w:rsidR="004F2AB9" w:rsidRPr="0038261B" w:rsidRDefault="004F2AB9" w:rsidP="004F2AB9"/>
    <w:p w14:paraId="27CD928E" w14:textId="77777777" w:rsidR="0038261B" w:rsidRDefault="0038261B" w:rsidP="000B4E2E"/>
    <w:sectPr w:rsidR="003826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dhabi">
    <w:charset w:val="B2"/>
    <w:family w:val="auto"/>
    <w:pitch w:val="variable"/>
    <w:sig w:usb0="80002007"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6F67"/>
    <w:multiLevelType w:val="multilevel"/>
    <w:tmpl w:val="47C0F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035232"/>
    <w:multiLevelType w:val="multilevel"/>
    <w:tmpl w:val="0D5E426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8C47BA"/>
    <w:multiLevelType w:val="hybridMultilevel"/>
    <w:tmpl w:val="D5441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7A604A"/>
    <w:multiLevelType w:val="multilevel"/>
    <w:tmpl w:val="A448E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640752"/>
    <w:multiLevelType w:val="multilevel"/>
    <w:tmpl w:val="FAF40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945FF6"/>
    <w:multiLevelType w:val="multilevel"/>
    <w:tmpl w:val="77381CA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A114270"/>
    <w:multiLevelType w:val="multilevel"/>
    <w:tmpl w:val="F45E827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CD67088"/>
    <w:multiLevelType w:val="multilevel"/>
    <w:tmpl w:val="D94022E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86734FA"/>
    <w:multiLevelType w:val="multilevel"/>
    <w:tmpl w:val="25BAA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8B55EE2"/>
    <w:multiLevelType w:val="multilevel"/>
    <w:tmpl w:val="8D882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2231E1A"/>
    <w:multiLevelType w:val="multilevel"/>
    <w:tmpl w:val="2A3C8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3237BF0"/>
    <w:multiLevelType w:val="multilevel"/>
    <w:tmpl w:val="0B24A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CDB6A8B"/>
    <w:multiLevelType w:val="multilevel"/>
    <w:tmpl w:val="5C188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F7200F2"/>
    <w:multiLevelType w:val="multilevel"/>
    <w:tmpl w:val="C6008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40050317">
    <w:abstractNumId w:val="0"/>
  </w:num>
  <w:num w:numId="2" w16cid:durableId="1401562261">
    <w:abstractNumId w:val="2"/>
  </w:num>
  <w:num w:numId="3" w16cid:durableId="1212112673">
    <w:abstractNumId w:val="5"/>
  </w:num>
  <w:num w:numId="4" w16cid:durableId="1812818555">
    <w:abstractNumId w:val="1"/>
  </w:num>
  <w:num w:numId="5" w16cid:durableId="1517766300">
    <w:abstractNumId w:val="7"/>
  </w:num>
  <w:num w:numId="6" w16cid:durableId="959916671">
    <w:abstractNumId w:val="6"/>
  </w:num>
  <w:num w:numId="7" w16cid:durableId="1762096263">
    <w:abstractNumId w:val="13"/>
  </w:num>
  <w:num w:numId="8" w16cid:durableId="280311297">
    <w:abstractNumId w:val="3"/>
  </w:num>
  <w:num w:numId="9" w16cid:durableId="818612602">
    <w:abstractNumId w:val="9"/>
  </w:num>
  <w:num w:numId="10" w16cid:durableId="930628411">
    <w:abstractNumId w:val="10"/>
  </w:num>
  <w:num w:numId="11" w16cid:durableId="2015495867">
    <w:abstractNumId w:val="4"/>
  </w:num>
  <w:num w:numId="12" w16cid:durableId="1784493614">
    <w:abstractNumId w:val="12"/>
  </w:num>
  <w:num w:numId="13" w16cid:durableId="109514778">
    <w:abstractNumId w:val="11"/>
  </w:num>
  <w:num w:numId="14" w16cid:durableId="18198362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E2E"/>
    <w:rsid w:val="000B4E2E"/>
    <w:rsid w:val="0038261B"/>
    <w:rsid w:val="00423F0F"/>
    <w:rsid w:val="004F2AB9"/>
    <w:rsid w:val="00702156"/>
    <w:rsid w:val="00757719"/>
    <w:rsid w:val="00FD05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374CD"/>
  <w15:chartTrackingRefBased/>
  <w15:docId w15:val="{3969BA9F-403D-4D36-8E34-D576B986B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AB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4E2E"/>
    <w:pPr>
      <w:ind w:left="720"/>
      <w:contextualSpacing/>
    </w:pPr>
  </w:style>
  <w:style w:type="table" w:styleId="TableGrid">
    <w:name w:val="Table Grid"/>
    <w:basedOn w:val="TableNormal"/>
    <w:uiPriority w:val="39"/>
    <w:rsid w:val="004F2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421952">
      <w:bodyDiv w:val="1"/>
      <w:marLeft w:val="0"/>
      <w:marRight w:val="0"/>
      <w:marTop w:val="0"/>
      <w:marBottom w:val="0"/>
      <w:divBdr>
        <w:top w:val="none" w:sz="0" w:space="0" w:color="auto"/>
        <w:left w:val="none" w:sz="0" w:space="0" w:color="auto"/>
        <w:bottom w:val="none" w:sz="0" w:space="0" w:color="auto"/>
        <w:right w:val="none" w:sz="0" w:space="0" w:color="auto"/>
      </w:divBdr>
    </w:div>
    <w:div w:id="297338940">
      <w:bodyDiv w:val="1"/>
      <w:marLeft w:val="0"/>
      <w:marRight w:val="0"/>
      <w:marTop w:val="0"/>
      <w:marBottom w:val="0"/>
      <w:divBdr>
        <w:top w:val="none" w:sz="0" w:space="0" w:color="auto"/>
        <w:left w:val="none" w:sz="0" w:space="0" w:color="auto"/>
        <w:bottom w:val="none" w:sz="0" w:space="0" w:color="auto"/>
        <w:right w:val="none" w:sz="0" w:space="0" w:color="auto"/>
      </w:divBdr>
    </w:div>
    <w:div w:id="355427776">
      <w:bodyDiv w:val="1"/>
      <w:marLeft w:val="0"/>
      <w:marRight w:val="0"/>
      <w:marTop w:val="0"/>
      <w:marBottom w:val="0"/>
      <w:divBdr>
        <w:top w:val="none" w:sz="0" w:space="0" w:color="auto"/>
        <w:left w:val="none" w:sz="0" w:space="0" w:color="auto"/>
        <w:bottom w:val="none" w:sz="0" w:space="0" w:color="auto"/>
        <w:right w:val="none" w:sz="0" w:space="0" w:color="auto"/>
      </w:divBdr>
    </w:div>
    <w:div w:id="862019325">
      <w:bodyDiv w:val="1"/>
      <w:marLeft w:val="0"/>
      <w:marRight w:val="0"/>
      <w:marTop w:val="0"/>
      <w:marBottom w:val="0"/>
      <w:divBdr>
        <w:top w:val="none" w:sz="0" w:space="0" w:color="auto"/>
        <w:left w:val="none" w:sz="0" w:space="0" w:color="auto"/>
        <w:bottom w:val="none" w:sz="0" w:space="0" w:color="auto"/>
        <w:right w:val="none" w:sz="0" w:space="0" w:color="auto"/>
      </w:divBdr>
    </w:div>
    <w:div w:id="1091314658">
      <w:bodyDiv w:val="1"/>
      <w:marLeft w:val="0"/>
      <w:marRight w:val="0"/>
      <w:marTop w:val="0"/>
      <w:marBottom w:val="0"/>
      <w:divBdr>
        <w:top w:val="none" w:sz="0" w:space="0" w:color="auto"/>
        <w:left w:val="none" w:sz="0" w:space="0" w:color="auto"/>
        <w:bottom w:val="none" w:sz="0" w:space="0" w:color="auto"/>
        <w:right w:val="none" w:sz="0" w:space="0" w:color="auto"/>
      </w:divBdr>
    </w:div>
    <w:div w:id="1110121190">
      <w:bodyDiv w:val="1"/>
      <w:marLeft w:val="0"/>
      <w:marRight w:val="0"/>
      <w:marTop w:val="0"/>
      <w:marBottom w:val="0"/>
      <w:divBdr>
        <w:top w:val="none" w:sz="0" w:space="0" w:color="auto"/>
        <w:left w:val="none" w:sz="0" w:space="0" w:color="auto"/>
        <w:bottom w:val="none" w:sz="0" w:space="0" w:color="auto"/>
        <w:right w:val="none" w:sz="0" w:space="0" w:color="auto"/>
      </w:divBdr>
    </w:div>
    <w:div w:id="1164777604">
      <w:bodyDiv w:val="1"/>
      <w:marLeft w:val="0"/>
      <w:marRight w:val="0"/>
      <w:marTop w:val="0"/>
      <w:marBottom w:val="0"/>
      <w:divBdr>
        <w:top w:val="none" w:sz="0" w:space="0" w:color="auto"/>
        <w:left w:val="none" w:sz="0" w:space="0" w:color="auto"/>
        <w:bottom w:val="none" w:sz="0" w:space="0" w:color="auto"/>
        <w:right w:val="none" w:sz="0" w:space="0" w:color="auto"/>
      </w:divBdr>
    </w:div>
    <w:div w:id="1208643288">
      <w:bodyDiv w:val="1"/>
      <w:marLeft w:val="0"/>
      <w:marRight w:val="0"/>
      <w:marTop w:val="0"/>
      <w:marBottom w:val="0"/>
      <w:divBdr>
        <w:top w:val="none" w:sz="0" w:space="0" w:color="auto"/>
        <w:left w:val="none" w:sz="0" w:space="0" w:color="auto"/>
        <w:bottom w:val="none" w:sz="0" w:space="0" w:color="auto"/>
        <w:right w:val="none" w:sz="0" w:space="0" w:color="auto"/>
      </w:divBdr>
    </w:div>
    <w:div w:id="1374960882">
      <w:bodyDiv w:val="1"/>
      <w:marLeft w:val="0"/>
      <w:marRight w:val="0"/>
      <w:marTop w:val="0"/>
      <w:marBottom w:val="0"/>
      <w:divBdr>
        <w:top w:val="none" w:sz="0" w:space="0" w:color="auto"/>
        <w:left w:val="none" w:sz="0" w:space="0" w:color="auto"/>
        <w:bottom w:val="none" w:sz="0" w:space="0" w:color="auto"/>
        <w:right w:val="none" w:sz="0" w:space="0" w:color="auto"/>
      </w:divBdr>
    </w:div>
    <w:div w:id="1420712736">
      <w:bodyDiv w:val="1"/>
      <w:marLeft w:val="0"/>
      <w:marRight w:val="0"/>
      <w:marTop w:val="0"/>
      <w:marBottom w:val="0"/>
      <w:divBdr>
        <w:top w:val="none" w:sz="0" w:space="0" w:color="auto"/>
        <w:left w:val="none" w:sz="0" w:space="0" w:color="auto"/>
        <w:bottom w:val="none" w:sz="0" w:space="0" w:color="auto"/>
        <w:right w:val="none" w:sz="0" w:space="0" w:color="auto"/>
      </w:divBdr>
    </w:div>
    <w:div w:id="1596938592">
      <w:bodyDiv w:val="1"/>
      <w:marLeft w:val="0"/>
      <w:marRight w:val="0"/>
      <w:marTop w:val="0"/>
      <w:marBottom w:val="0"/>
      <w:divBdr>
        <w:top w:val="none" w:sz="0" w:space="0" w:color="auto"/>
        <w:left w:val="none" w:sz="0" w:space="0" w:color="auto"/>
        <w:bottom w:val="none" w:sz="0" w:space="0" w:color="auto"/>
        <w:right w:val="none" w:sz="0" w:space="0" w:color="auto"/>
      </w:divBdr>
    </w:div>
    <w:div w:id="1606841316">
      <w:bodyDiv w:val="1"/>
      <w:marLeft w:val="0"/>
      <w:marRight w:val="0"/>
      <w:marTop w:val="0"/>
      <w:marBottom w:val="0"/>
      <w:divBdr>
        <w:top w:val="none" w:sz="0" w:space="0" w:color="auto"/>
        <w:left w:val="none" w:sz="0" w:space="0" w:color="auto"/>
        <w:bottom w:val="none" w:sz="0" w:space="0" w:color="auto"/>
        <w:right w:val="none" w:sz="0" w:space="0" w:color="auto"/>
      </w:divBdr>
    </w:div>
    <w:div w:id="1618559194">
      <w:bodyDiv w:val="1"/>
      <w:marLeft w:val="0"/>
      <w:marRight w:val="0"/>
      <w:marTop w:val="0"/>
      <w:marBottom w:val="0"/>
      <w:divBdr>
        <w:top w:val="none" w:sz="0" w:space="0" w:color="auto"/>
        <w:left w:val="none" w:sz="0" w:space="0" w:color="auto"/>
        <w:bottom w:val="none" w:sz="0" w:space="0" w:color="auto"/>
        <w:right w:val="none" w:sz="0" w:space="0" w:color="auto"/>
      </w:divBdr>
    </w:div>
    <w:div w:id="1914315793">
      <w:bodyDiv w:val="1"/>
      <w:marLeft w:val="0"/>
      <w:marRight w:val="0"/>
      <w:marTop w:val="0"/>
      <w:marBottom w:val="0"/>
      <w:divBdr>
        <w:top w:val="none" w:sz="0" w:space="0" w:color="auto"/>
        <w:left w:val="none" w:sz="0" w:space="0" w:color="auto"/>
        <w:bottom w:val="none" w:sz="0" w:space="0" w:color="auto"/>
        <w:right w:val="none" w:sz="0" w:space="0" w:color="auto"/>
      </w:divBdr>
    </w:div>
    <w:div w:id="214080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6</Pages>
  <Words>1734</Words>
  <Characters>9888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Berkay Cetinkaya</dc:creator>
  <cp:keywords/>
  <dc:description/>
  <cp:lastModifiedBy>Berkay Cetinkaya</cp:lastModifiedBy>
  <cp:revision>1</cp:revision>
  <dcterms:created xsi:type="dcterms:W3CDTF">2024-02-09T17:23:00Z</dcterms:created>
  <dcterms:modified xsi:type="dcterms:W3CDTF">2024-02-09T20:21:00Z</dcterms:modified>
</cp:coreProperties>
</file>