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A374" w14:textId="04A57ECD" w:rsidR="0079701B" w:rsidRPr="00C119A1" w:rsidRDefault="00C119A1" w:rsidP="00F936A7">
      <w:pPr>
        <w:rPr>
          <w:b/>
          <w:bCs/>
          <w:sz w:val="36"/>
          <w:szCs w:val="36"/>
        </w:rPr>
      </w:pPr>
      <w:r>
        <w:t xml:space="preserve">                                           </w:t>
      </w:r>
      <w:r w:rsidRPr="00C119A1">
        <w:rPr>
          <w:b/>
          <w:bCs/>
          <w:sz w:val="36"/>
          <w:szCs w:val="36"/>
        </w:rPr>
        <w:t xml:space="preserve">Revenue &amp; Cost Driver Report </w:t>
      </w:r>
    </w:p>
    <w:p w14:paraId="1275C03F" w14:textId="32D7D4B2" w:rsidR="00214CF9" w:rsidRDefault="00C119A1" w:rsidP="00F936A7">
      <w:r w:rsidRPr="00C119A1">
        <w:t xml:space="preserve">Marriot </w:t>
      </w:r>
      <w:proofErr w:type="spellStart"/>
      <w:r w:rsidRPr="00C119A1">
        <w:t>inc’s</w:t>
      </w:r>
      <w:proofErr w:type="spellEnd"/>
      <w:r w:rsidRPr="00C119A1">
        <w:t xml:space="preserve"> industry is hospitality services with a market capitalisation value of $71.76 billion and employs roughly 411,000 people. </w:t>
      </w:r>
      <w:r w:rsidR="006F60B6">
        <w:t>Revenue is broken down as b</w:t>
      </w:r>
      <w:r w:rsidR="002B41FC">
        <w:t>ase management fees, franchise fees, incentive management fees, cost reimbursement revenue, as well as</w:t>
      </w:r>
      <w:r w:rsidR="006F60B6">
        <w:t xml:space="preserve"> a remaining revenue section referred to as</w:t>
      </w:r>
      <w:r w:rsidR="002B41FC">
        <w:t xml:space="preserve"> owned, leased, and other revenue. </w:t>
      </w:r>
      <w:r w:rsidR="00297D28" w:rsidRPr="00297D28">
        <w:t xml:space="preserve">Gross fee revenues rose by 50% from 2021 to 2022. According to Marriott’s annual report, this is mainly due to “higher RevPAR, rooms additions, and significant growth in our </w:t>
      </w:r>
      <w:proofErr w:type="spellStart"/>
      <w:r w:rsidR="00297D28" w:rsidRPr="00297D28">
        <w:t>nonRevPAR</w:t>
      </w:r>
      <w:proofErr w:type="spellEnd"/>
      <w:r w:rsidR="00297D28" w:rsidRPr="00297D28">
        <w:t xml:space="preserve"> related franchise fees”. </w:t>
      </w:r>
      <w:proofErr w:type="spellStart"/>
      <w:r w:rsidR="00297D28" w:rsidRPr="00297D28">
        <w:t>RevPar</w:t>
      </w:r>
      <w:proofErr w:type="spellEnd"/>
      <w:r w:rsidR="00297D28" w:rsidRPr="00297D28">
        <w:t xml:space="preserve"> means revenue per available room which makes it approximately prices for rooms and therefore is a good measure for price drivers</w:t>
      </w:r>
      <w:r w:rsidR="00B349F7">
        <w:t xml:space="preserve"> (1)</w:t>
      </w:r>
      <w:r w:rsidR="00297D28" w:rsidRPr="00297D28">
        <w:t>. From 2021 to 2022, RevPAR rose by 51% worldwide, hence Marriott’s room prices rose by roughly 50% and that the company’s revenue growth is predominantly due to higher prices rather than greater sales volume.</w:t>
      </w:r>
      <w:r w:rsidR="00297D28">
        <w:t xml:space="preserve"> </w:t>
      </w:r>
      <w:r w:rsidR="006F60B6">
        <w:t xml:space="preserve">When not factoring contract investment amortisation due to being a cost, </w:t>
      </w:r>
      <w:r w:rsidR="00AD0BF1">
        <w:t>the largest revenue driver from 2020 to 2022 was cost reimbursement revenue at around 70%.</w:t>
      </w:r>
      <w:r w:rsidR="00214CF9">
        <w:t xml:space="preserve"> Marriott provides their management services to other hotels, and when these hotels spend money on certain business expenses, they must reimburse Marriott</w:t>
      </w:r>
      <w:r w:rsidR="007F3392">
        <w:t>. The related cost for this revenue driver is reimbursement expense where hotels spend</w:t>
      </w:r>
      <w:r w:rsidR="00BA2D3A">
        <w:t xml:space="preserve"> part of their money</w:t>
      </w:r>
      <w:r w:rsidR="007F3392">
        <w:t xml:space="preserve"> </w:t>
      </w:r>
      <w:r w:rsidR="00BA2D3A">
        <w:t>as</w:t>
      </w:r>
      <w:r w:rsidR="007F3392">
        <w:t xml:space="preserve"> </w:t>
      </w:r>
      <w:r w:rsidR="00BA2D3A">
        <w:t>authorised business expenses without having to reimburse Marriott which becomes a variable cost based on business expenses</w:t>
      </w:r>
      <w:r w:rsidR="0023717C">
        <w:t xml:space="preserve">. Reimbursement expenses are also the biggest cost driver for Marriott as it represented around 80% of costs from 2020 to 2022. </w:t>
      </w:r>
      <w:r w:rsidR="00C4159E">
        <w:t>Hence, there is a significant correlation between cost reimbursement revenue and the variable cost of reimbursement expense</w:t>
      </w:r>
      <w:r w:rsidR="00BA2D3A">
        <w:t xml:space="preserve">s. </w:t>
      </w:r>
    </w:p>
    <w:p w14:paraId="104B6E07" w14:textId="69CBCA82" w:rsidR="000E1C3E" w:rsidRDefault="000E1C3E" w:rsidP="000E1C3E">
      <w:r>
        <w:t xml:space="preserve">The next largest revenue driver is Franchise fees which are fees that Marriot charges for the use of their intellectually property such as fees from their co-branded credit card, </w:t>
      </w:r>
      <w:proofErr w:type="gramStart"/>
      <w:r>
        <w:t>timeshare</w:t>
      </w:r>
      <w:proofErr w:type="gramEnd"/>
      <w:r>
        <w:t xml:space="preserve"> and residential programs. This revenue driver made up between 10 to 12% of the revenue growth over 3 years. This rise in franchise fees is attributable to higher RevPAR, greater unit growth and higher co-branded credit card fees amounting to $119 million.</w:t>
      </w:r>
      <w:r w:rsidR="00297D28">
        <w:t xml:space="preserve"> </w:t>
      </w:r>
      <w:r>
        <w:t xml:space="preserve">The </w:t>
      </w:r>
      <w:proofErr w:type="spellStart"/>
      <w:r>
        <w:t>nonRevPAR</w:t>
      </w:r>
      <w:proofErr w:type="spellEnd"/>
      <w:r>
        <w:t xml:space="preserve"> related franchise fees mentioned earlier mainly stems from co-branded credit card fees which is intriguing as the Marriott </w:t>
      </w:r>
      <w:proofErr w:type="spellStart"/>
      <w:r>
        <w:t>Bonway</w:t>
      </w:r>
      <w:proofErr w:type="spellEnd"/>
      <w:r>
        <w:t xml:space="preserve"> loyalty program contributed heavily to the demand of their co-branded credit cards. This is supported by how  at the end of 2022, Marriot </w:t>
      </w:r>
      <w:proofErr w:type="spellStart"/>
      <w:r>
        <w:t>Bonway</w:t>
      </w:r>
      <w:proofErr w:type="spellEnd"/>
      <w:r>
        <w:t xml:space="preserve"> had 170 million members, mobile app users risen by 32% within a year after 2021 and according to the 2023 Marriot 10-K report, Marriott Bonvoy members booked over 60% of global room nights. This suggests Marriott </w:t>
      </w:r>
      <w:proofErr w:type="spellStart"/>
      <w:r>
        <w:t>Bonway</w:t>
      </w:r>
      <w:proofErr w:type="spellEnd"/>
      <w:r>
        <w:t xml:space="preserve"> was instrumental in Marriott’s franchise fee revenue</w:t>
      </w:r>
      <w:r w:rsidR="00B349F7">
        <w:t xml:space="preserve"> (2)</w:t>
      </w:r>
      <w:r>
        <w:t xml:space="preserve">. Prices for Marriot Bonvoy’s credit cards do not seem to have changed from 2021 to 2022 such as the annual fee of one credit card staying the same at $95 demonstrating that the loyalty program </w:t>
      </w:r>
      <w:proofErr w:type="gramStart"/>
      <w:r>
        <w:t>relies</w:t>
      </w:r>
      <w:proofErr w:type="gramEnd"/>
      <w:r>
        <w:t xml:space="preserve"> more sales volume rather than price growth.</w:t>
      </w:r>
      <w:r w:rsidR="00297D28">
        <w:t xml:space="preserve"> In addition,</w:t>
      </w:r>
      <w:r w:rsidR="00EE7CB2">
        <w:t xml:space="preserve"> the next significant revenue driver is owned, leased, and other revenue which contributed to</w:t>
      </w:r>
      <w:r w:rsidR="00864242">
        <w:t xml:space="preserve"> between</w:t>
      </w:r>
      <w:r w:rsidR="00EE7CB2">
        <w:t xml:space="preserve"> </w:t>
      </w:r>
      <w:r w:rsidR="00864242">
        <w:t xml:space="preserve">5% and </w:t>
      </w:r>
      <w:r w:rsidR="00EE7CB2">
        <w:t xml:space="preserve">6% of revenues in 2022 which was due to stronger net results at Marriot’s owned and leased properties. </w:t>
      </w:r>
      <w:r w:rsidR="003F6476">
        <w:t xml:space="preserve">The associated cost driver for owned and leased properties </w:t>
      </w:r>
      <w:r w:rsidR="00864242">
        <w:t xml:space="preserve">contributed to around 6% of costs and was a fixed cost. </w:t>
      </w:r>
      <w:r w:rsidR="002A65CA">
        <w:t xml:space="preserve">Overall, Marriott </w:t>
      </w:r>
      <w:proofErr w:type="gramStart"/>
      <w:r w:rsidR="002A65CA">
        <w:t>is capable of maintaining</w:t>
      </w:r>
      <w:proofErr w:type="gramEnd"/>
      <w:r w:rsidR="002A65CA">
        <w:t xml:space="preserve"> their costs in line with revenue growth due to the very high correlation. </w:t>
      </w:r>
    </w:p>
    <w:tbl>
      <w:tblPr>
        <w:tblW w:w="8581" w:type="dxa"/>
        <w:tblInd w:w="-5" w:type="dxa"/>
        <w:tblLook w:val="04A0" w:firstRow="1" w:lastRow="0" w:firstColumn="1" w:lastColumn="0" w:noHBand="0" w:noVBand="1"/>
      </w:tblPr>
      <w:tblGrid>
        <w:gridCol w:w="2972"/>
        <w:gridCol w:w="709"/>
        <w:gridCol w:w="709"/>
        <w:gridCol w:w="673"/>
        <w:gridCol w:w="886"/>
        <w:gridCol w:w="850"/>
        <w:gridCol w:w="851"/>
        <w:gridCol w:w="931"/>
      </w:tblGrid>
      <w:tr w:rsidR="0079701B" w:rsidRPr="0079701B" w14:paraId="02CA9C59" w14:textId="77777777" w:rsidTr="0079701B">
        <w:trPr>
          <w:trHeight w:val="288"/>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BC57D"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9419E3"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2B1EC43"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2021</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14:paraId="1EC1952B"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03844966" w14:textId="77777777" w:rsidR="0079701B" w:rsidRPr="0079701B" w:rsidRDefault="0079701B" w:rsidP="0079701B">
            <w:pPr>
              <w:spacing w:after="0" w:line="240" w:lineRule="auto"/>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5007911"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E313EB0"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2021</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14:paraId="423EEB03" w14:textId="77777777" w:rsidR="0079701B" w:rsidRPr="0079701B" w:rsidRDefault="0079701B" w:rsidP="0079701B">
            <w:pPr>
              <w:spacing w:after="0" w:line="240" w:lineRule="auto"/>
              <w:jc w:val="right"/>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2020</w:t>
            </w:r>
          </w:p>
        </w:tc>
      </w:tr>
      <w:tr w:rsidR="0079701B" w:rsidRPr="0079701B" w14:paraId="2E10D07C"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1DCB609" w14:textId="77777777" w:rsidR="0079701B" w:rsidRPr="0079701B" w:rsidRDefault="0079701B" w:rsidP="0079701B">
            <w:pPr>
              <w:spacing w:after="0" w:line="240" w:lineRule="auto"/>
              <w:rPr>
                <w:rFonts w:ascii="Calibri" w:eastAsia="Times New Roman" w:hAnsi="Calibri" w:cs="Calibri"/>
                <w:b/>
                <w:bCs/>
                <w:color w:val="000000"/>
                <w:kern w:val="0"/>
                <w:sz w:val="18"/>
                <w:szCs w:val="18"/>
                <w:lang w:eastAsia="en-GB"/>
                <w14:ligatures w14:val="none"/>
              </w:rPr>
            </w:pPr>
            <w:r w:rsidRPr="0079701B">
              <w:rPr>
                <w:rFonts w:ascii="Calibri" w:eastAsia="Times New Roman" w:hAnsi="Calibri" w:cs="Calibri"/>
                <w:b/>
                <w:bCs/>
                <w:color w:val="000000"/>
                <w:kern w:val="0"/>
                <w:sz w:val="18"/>
                <w:szCs w:val="18"/>
                <w:lang w:eastAsia="en-GB"/>
                <w14:ligatures w14:val="none"/>
              </w:rPr>
              <w:t>REVENUES</w:t>
            </w:r>
          </w:p>
        </w:tc>
        <w:tc>
          <w:tcPr>
            <w:tcW w:w="709" w:type="dxa"/>
            <w:tcBorders>
              <w:top w:val="nil"/>
              <w:left w:val="nil"/>
              <w:bottom w:val="single" w:sz="4" w:space="0" w:color="auto"/>
              <w:right w:val="single" w:sz="4" w:space="0" w:color="auto"/>
            </w:tcBorders>
            <w:shd w:val="clear" w:color="auto" w:fill="auto"/>
            <w:noWrap/>
            <w:vAlign w:val="bottom"/>
            <w:hideMark/>
          </w:tcPr>
          <w:p w14:paraId="7B40377B"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709" w:type="dxa"/>
            <w:tcBorders>
              <w:top w:val="nil"/>
              <w:left w:val="nil"/>
              <w:bottom w:val="single" w:sz="4" w:space="0" w:color="auto"/>
              <w:right w:val="single" w:sz="4" w:space="0" w:color="auto"/>
            </w:tcBorders>
            <w:shd w:val="clear" w:color="auto" w:fill="auto"/>
            <w:noWrap/>
            <w:vAlign w:val="bottom"/>
            <w:hideMark/>
          </w:tcPr>
          <w:p w14:paraId="699D7413"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673" w:type="dxa"/>
            <w:tcBorders>
              <w:top w:val="nil"/>
              <w:left w:val="nil"/>
              <w:bottom w:val="single" w:sz="4" w:space="0" w:color="auto"/>
              <w:right w:val="single" w:sz="4" w:space="0" w:color="auto"/>
            </w:tcBorders>
            <w:shd w:val="clear" w:color="auto" w:fill="auto"/>
            <w:noWrap/>
            <w:vAlign w:val="bottom"/>
            <w:hideMark/>
          </w:tcPr>
          <w:p w14:paraId="587AE99F"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86" w:type="dxa"/>
            <w:tcBorders>
              <w:top w:val="nil"/>
              <w:left w:val="nil"/>
              <w:bottom w:val="single" w:sz="4" w:space="0" w:color="auto"/>
              <w:right w:val="single" w:sz="4" w:space="0" w:color="auto"/>
            </w:tcBorders>
            <w:shd w:val="clear" w:color="auto" w:fill="auto"/>
            <w:noWrap/>
            <w:vAlign w:val="bottom"/>
            <w:hideMark/>
          </w:tcPr>
          <w:p w14:paraId="7E61681A"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263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E3AA7F"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Revenue Percentile Breakdown</w:t>
            </w:r>
          </w:p>
        </w:tc>
      </w:tr>
      <w:tr w:rsidR="0079701B" w:rsidRPr="0079701B" w14:paraId="0B390DE3"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61AF2BF"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Base management fees</w:t>
            </w:r>
          </w:p>
        </w:tc>
        <w:tc>
          <w:tcPr>
            <w:tcW w:w="709" w:type="dxa"/>
            <w:tcBorders>
              <w:top w:val="nil"/>
              <w:left w:val="nil"/>
              <w:bottom w:val="single" w:sz="4" w:space="0" w:color="auto"/>
              <w:right w:val="single" w:sz="4" w:space="0" w:color="auto"/>
            </w:tcBorders>
            <w:shd w:val="clear" w:color="auto" w:fill="auto"/>
            <w:noWrap/>
            <w:vAlign w:val="bottom"/>
            <w:hideMark/>
          </w:tcPr>
          <w:p w14:paraId="62DF711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1044</w:t>
            </w:r>
          </w:p>
        </w:tc>
        <w:tc>
          <w:tcPr>
            <w:tcW w:w="709" w:type="dxa"/>
            <w:tcBorders>
              <w:top w:val="nil"/>
              <w:left w:val="nil"/>
              <w:bottom w:val="single" w:sz="4" w:space="0" w:color="auto"/>
              <w:right w:val="single" w:sz="4" w:space="0" w:color="auto"/>
            </w:tcBorders>
            <w:shd w:val="clear" w:color="auto" w:fill="auto"/>
            <w:noWrap/>
            <w:vAlign w:val="bottom"/>
            <w:hideMark/>
          </w:tcPr>
          <w:p w14:paraId="310241D1"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669</w:t>
            </w:r>
          </w:p>
        </w:tc>
        <w:tc>
          <w:tcPr>
            <w:tcW w:w="673" w:type="dxa"/>
            <w:tcBorders>
              <w:top w:val="nil"/>
              <w:left w:val="nil"/>
              <w:bottom w:val="single" w:sz="4" w:space="0" w:color="auto"/>
              <w:right w:val="single" w:sz="4" w:space="0" w:color="auto"/>
            </w:tcBorders>
            <w:shd w:val="clear" w:color="auto" w:fill="auto"/>
            <w:noWrap/>
            <w:vAlign w:val="bottom"/>
            <w:hideMark/>
          </w:tcPr>
          <w:p w14:paraId="3EA3CD3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443</w:t>
            </w:r>
          </w:p>
        </w:tc>
        <w:tc>
          <w:tcPr>
            <w:tcW w:w="886" w:type="dxa"/>
            <w:tcBorders>
              <w:top w:val="nil"/>
              <w:left w:val="nil"/>
              <w:bottom w:val="single" w:sz="4" w:space="0" w:color="auto"/>
              <w:right w:val="single" w:sz="4" w:space="0" w:color="auto"/>
            </w:tcBorders>
            <w:shd w:val="clear" w:color="auto" w:fill="auto"/>
            <w:noWrap/>
            <w:vAlign w:val="bottom"/>
            <w:hideMark/>
          </w:tcPr>
          <w:p w14:paraId="2D03713F"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81C4A4F"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5.00%</w:t>
            </w:r>
          </w:p>
        </w:tc>
        <w:tc>
          <w:tcPr>
            <w:tcW w:w="851" w:type="dxa"/>
            <w:tcBorders>
              <w:top w:val="nil"/>
              <w:left w:val="nil"/>
              <w:bottom w:val="single" w:sz="4" w:space="0" w:color="auto"/>
              <w:right w:val="single" w:sz="4" w:space="0" w:color="auto"/>
            </w:tcBorders>
            <w:shd w:val="clear" w:color="auto" w:fill="auto"/>
            <w:noWrap/>
            <w:vAlign w:val="bottom"/>
            <w:hideMark/>
          </w:tcPr>
          <w:p w14:paraId="705BC364"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4.80%</w:t>
            </w:r>
          </w:p>
        </w:tc>
        <w:tc>
          <w:tcPr>
            <w:tcW w:w="931" w:type="dxa"/>
            <w:tcBorders>
              <w:top w:val="nil"/>
              <w:left w:val="nil"/>
              <w:bottom w:val="single" w:sz="4" w:space="0" w:color="auto"/>
              <w:right w:val="single" w:sz="4" w:space="0" w:color="auto"/>
            </w:tcBorders>
            <w:shd w:val="clear" w:color="auto" w:fill="auto"/>
            <w:noWrap/>
            <w:vAlign w:val="bottom"/>
            <w:hideMark/>
          </w:tcPr>
          <w:p w14:paraId="0B63B59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4.14%</w:t>
            </w:r>
          </w:p>
        </w:tc>
      </w:tr>
      <w:tr w:rsidR="0079701B" w:rsidRPr="0079701B" w14:paraId="0558800C"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6D67643"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Franchise fees</w:t>
            </w:r>
          </w:p>
        </w:tc>
        <w:tc>
          <w:tcPr>
            <w:tcW w:w="709" w:type="dxa"/>
            <w:tcBorders>
              <w:top w:val="nil"/>
              <w:left w:val="nil"/>
              <w:bottom w:val="single" w:sz="4" w:space="0" w:color="auto"/>
              <w:right w:val="single" w:sz="4" w:space="0" w:color="auto"/>
            </w:tcBorders>
            <w:shd w:val="clear" w:color="auto" w:fill="auto"/>
            <w:noWrap/>
            <w:vAlign w:val="bottom"/>
            <w:hideMark/>
          </w:tcPr>
          <w:p w14:paraId="0C83B60B"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2505</w:t>
            </w:r>
          </w:p>
        </w:tc>
        <w:tc>
          <w:tcPr>
            <w:tcW w:w="709" w:type="dxa"/>
            <w:tcBorders>
              <w:top w:val="nil"/>
              <w:left w:val="nil"/>
              <w:bottom w:val="single" w:sz="4" w:space="0" w:color="auto"/>
              <w:right w:val="single" w:sz="4" w:space="0" w:color="auto"/>
            </w:tcBorders>
            <w:shd w:val="clear" w:color="auto" w:fill="auto"/>
            <w:noWrap/>
            <w:vAlign w:val="bottom"/>
            <w:hideMark/>
          </w:tcPr>
          <w:p w14:paraId="33EB855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1790</w:t>
            </w:r>
          </w:p>
        </w:tc>
        <w:tc>
          <w:tcPr>
            <w:tcW w:w="673" w:type="dxa"/>
            <w:tcBorders>
              <w:top w:val="nil"/>
              <w:left w:val="nil"/>
              <w:bottom w:val="single" w:sz="4" w:space="0" w:color="auto"/>
              <w:right w:val="single" w:sz="4" w:space="0" w:color="auto"/>
            </w:tcBorders>
            <w:shd w:val="clear" w:color="auto" w:fill="auto"/>
            <w:noWrap/>
            <w:vAlign w:val="bottom"/>
            <w:hideMark/>
          </w:tcPr>
          <w:p w14:paraId="6D66F6B3"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1153</w:t>
            </w:r>
          </w:p>
        </w:tc>
        <w:tc>
          <w:tcPr>
            <w:tcW w:w="886" w:type="dxa"/>
            <w:tcBorders>
              <w:top w:val="nil"/>
              <w:left w:val="nil"/>
              <w:bottom w:val="single" w:sz="4" w:space="0" w:color="auto"/>
              <w:right w:val="single" w:sz="4" w:space="0" w:color="auto"/>
            </w:tcBorders>
            <w:shd w:val="clear" w:color="auto" w:fill="auto"/>
            <w:noWrap/>
            <w:vAlign w:val="bottom"/>
            <w:hideMark/>
          </w:tcPr>
          <w:p w14:paraId="221335A7"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55FE0EA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12.01%</w:t>
            </w:r>
          </w:p>
        </w:tc>
        <w:tc>
          <w:tcPr>
            <w:tcW w:w="851" w:type="dxa"/>
            <w:tcBorders>
              <w:top w:val="nil"/>
              <w:left w:val="nil"/>
              <w:bottom w:val="single" w:sz="4" w:space="0" w:color="auto"/>
              <w:right w:val="single" w:sz="4" w:space="0" w:color="auto"/>
            </w:tcBorders>
            <w:shd w:val="clear" w:color="auto" w:fill="auto"/>
            <w:noWrap/>
            <w:vAlign w:val="bottom"/>
            <w:hideMark/>
          </w:tcPr>
          <w:p w14:paraId="0E83EA7E"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12.85%</w:t>
            </w:r>
          </w:p>
        </w:tc>
        <w:tc>
          <w:tcPr>
            <w:tcW w:w="931" w:type="dxa"/>
            <w:tcBorders>
              <w:top w:val="nil"/>
              <w:left w:val="nil"/>
              <w:bottom w:val="single" w:sz="4" w:space="0" w:color="auto"/>
              <w:right w:val="single" w:sz="4" w:space="0" w:color="auto"/>
            </w:tcBorders>
            <w:shd w:val="clear" w:color="auto" w:fill="auto"/>
            <w:noWrap/>
            <w:vAlign w:val="bottom"/>
            <w:hideMark/>
          </w:tcPr>
          <w:p w14:paraId="75C7997E"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10.77%</w:t>
            </w:r>
          </w:p>
        </w:tc>
      </w:tr>
      <w:tr w:rsidR="0079701B" w:rsidRPr="0079701B" w14:paraId="46168245"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F34F6D8"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Incentive management fees</w:t>
            </w:r>
          </w:p>
        </w:tc>
        <w:tc>
          <w:tcPr>
            <w:tcW w:w="709" w:type="dxa"/>
            <w:tcBorders>
              <w:top w:val="nil"/>
              <w:left w:val="nil"/>
              <w:bottom w:val="single" w:sz="4" w:space="0" w:color="auto"/>
              <w:right w:val="single" w:sz="4" w:space="0" w:color="auto"/>
            </w:tcBorders>
            <w:shd w:val="clear" w:color="auto" w:fill="auto"/>
            <w:noWrap/>
            <w:vAlign w:val="bottom"/>
            <w:hideMark/>
          </w:tcPr>
          <w:p w14:paraId="1DEE95EF"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529</w:t>
            </w:r>
          </w:p>
        </w:tc>
        <w:tc>
          <w:tcPr>
            <w:tcW w:w="709" w:type="dxa"/>
            <w:tcBorders>
              <w:top w:val="nil"/>
              <w:left w:val="nil"/>
              <w:bottom w:val="single" w:sz="4" w:space="0" w:color="auto"/>
              <w:right w:val="single" w:sz="4" w:space="0" w:color="auto"/>
            </w:tcBorders>
            <w:shd w:val="clear" w:color="auto" w:fill="auto"/>
            <w:noWrap/>
            <w:vAlign w:val="bottom"/>
            <w:hideMark/>
          </w:tcPr>
          <w:p w14:paraId="64FAC704"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235</w:t>
            </w:r>
          </w:p>
        </w:tc>
        <w:tc>
          <w:tcPr>
            <w:tcW w:w="673" w:type="dxa"/>
            <w:tcBorders>
              <w:top w:val="nil"/>
              <w:left w:val="nil"/>
              <w:bottom w:val="single" w:sz="4" w:space="0" w:color="auto"/>
              <w:right w:val="single" w:sz="4" w:space="0" w:color="auto"/>
            </w:tcBorders>
            <w:shd w:val="clear" w:color="auto" w:fill="auto"/>
            <w:noWrap/>
            <w:vAlign w:val="bottom"/>
            <w:hideMark/>
          </w:tcPr>
          <w:p w14:paraId="03B1D274"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87</w:t>
            </w:r>
          </w:p>
        </w:tc>
        <w:tc>
          <w:tcPr>
            <w:tcW w:w="886" w:type="dxa"/>
            <w:tcBorders>
              <w:top w:val="nil"/>
              <w:left w:val="nil"/>
              <w:bottom w:val="single" w:sz="4" w:space="0" w:color="auto"/>
              <w:right w:val="single" w:sz="4" w:space="0" w:color="auto"/>
            </w:tcBorders>
            <w:shd w:val="clear" w:color="auto" w:fill="auto"/>
            <w:noWrap/>
            <w:vAlign w:val="bottom"/>
            <w:hideMark/>
          </w:tcPr>
          <w:p w14:paraId="57E35221"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46D29959"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2.54%</w:t>
            </w:r>
          </w:p>
        </w:tc>
        <w:tc>
          <w:tcPr>
            <w:tcW w:w="851" w:type="dxa"/>
            <w:tcBorders>
              <w:top w:val="nil"/>
              <w:left w:val="nil"/>
              <w:bottom w:val="single" w:sz="4" w:space="0" w:color="auto"/>
              <w:right w:val="single" w:sz="4" w:space="0" w:color="auto"/>
            </w:tcBorders>
            <w:shd w:val="clear" w:color="auto" w:fill="auto"/>
            <w:noWrap/>
            <w:vAlign w:val="bottom"/>
            <w:hideMark/>
          </w:tcPr>
          <w:p w14:paraId="1851D19D"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1.69%</w:t>
            </w:r>
          </w:p>
        </w:tc>
        <w:tc>
          <w:tcPr>
            <w:tcW w:w="931" w:type="dxa"/>
            <w:tcBorders>
              <w:top w:val="nil"/>
              <w:left w:val="nil"/>
              <w:bottom w:val="single" w:sz="4" w:space="0" w:color="auto"/>
              <w:right w:val="single" w:sz="4" w:space="0" w:color="auto"/>
            </w:tcBorders>
            <w:shd w:val="clear" w:color="auto" w:fill="auto"/>
            <w:noWrap/>
            <w:vAlign w:val="bottom"/>
            <w:hideMark/>
          </w:tcPr>
          <w:p w14:paraId="15E32531"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0.81%</w:t>
            </w:r>
          </w:p>
        </w:tc>
      </w:tr>
      <w:tr w:rsidR="0079701B" w:rsidRPr="0079701B" w14:paraId="50E01161"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890771E"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Gross fee revenues</w:t>
            </w:r>
          </w:p>
        </w:tc>
        <w:tc>
          <w:tcPr>
            <w:tcW w:w="709" w:type="dxa"/>
            <w:tcBorders>
              <w:top w:val="nil"/>
              <w:left w:val="nil"/>
              <w:bottom w:val="single" w:sz="4" w:space="0" w:color="auto"/>
              <w:right w:val="single" w:sz="4" w:space="0" w:color="auto"/>
            </w:tcBorders>
            <w:shd w:val="clear" w:color="auto" w:fill="auto"/>
            <w:noWrap/>
            <w:vAlign w:val="bottom"/>
            <w:hideMark/>
          </w:tcPr>
          <w:p w14:paraId="0936A2E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4078</w:t>
            </w:r>
          </w:p>
        </w:tc>
        <w:tc>
          <w:tcPr>
            <w:tcW w:w="709" w:type="dxa"/>
            <w:tcBorders>
              <w:top w:val="nil"/>
              <w:left w:val="nil"/>
              <w:bottom w:val="single" w:sz="4" w:space="0" w:color="auto"/>
              <w:right w:val="single" w:sz="4" w:space="0" w:color="auto"/>
            </w:tcBorders>
            <w:shd w:val="clear" w:color="auto" w:fill="auto"/>
            <w:noWrap/>
            <w:vAlign w:val="bottom"/>
            <w:hideMark/>
          </w:tcPr>
          <w:p w14:paraId="1013313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2694</w:t>
            </w:r>
          </w:p>
        </w:tc>
        <w:tc>
          <w:tcPr>
            <w:tcW w:w="673" w:type="dxa"/>
            <w:tcBorders>
              <w:top w:val="nil"/>
              <w:left w:val="nil"/>
              <w:bottom w:val="single" w:sz="4" w:space="0" w:color="auto"/>
              <w:right w:val="single" w:sz="4" w:space="0" w:color="auto"/>
            </w:tcBorders>
            <w:shd w:val="clear" w:color="auto" w:fill="auto"/>
            <w:noWrap/>
            <w:vAlign w:val="bottom"/>
            <w:hideMark/>
          </w:tcPr>
          <w:p w14:paraId="4B53A32F"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1683</w:t>
            </w:r>
          </w:p>
        </w:tc>
        <w:tc>
          <w:tcPr>
            <w:tcW w:w="886" w:type="dxa"/>
            <w:tcBorders>
              <w:top w:val="nil"/>
              <w:left w:val="nil"/>
              <w:bottom w:val="single" w:sz="4" w:space="0" w:color="auto"/>
              <w:right w:val="single" w:sz="4" w:space="0" w:color="auto"/>
            </w:tcBorders>
            <w:shd w:val="clear" w:color="auto" w:fill="auto"/>
            <w:noWrap/>
            <w:vAlign w:val="bottom"/>
            <w:hideMark/>
          </w:tcPr>
          <w:p w14:paraId="62A80F40"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45DE789"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01885215"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931" w:type="dxa"/>
            <w:tcBorders>
              <w:top w:val="nil"/>
              <w:left w:val="nil"/>
              <w:bottom w:val="single" w:sz="4" w:space="0" w:color="auto"/>
              <w:right w:val="single" w:sz="4" w:space="0" w:color="auto"/>
            </w:tcBorders>
            <w:shd w:val="clear" w:color="auto" w:fill="auto"/>
            <w:noWrap/>
            <w:vAlign w:val="bottom"/>
            <w:hideMark/>
          </w:tcPr>
          <w:p w14:paraId="65C1A4E7"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r>
      <w:tr w:rsidR="0079701B" w:rsidRPr="0079701B" w14:paraId="483F8120"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F0784EA"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lastRenderedPageBreak/>
              <w:t>Contract Investment amortisation</w:t>
            </w:r>
          </w:p>
        </w:tc>
        <w:tc>
          <w:tcPr>
            <w:tcW w:w="709" w:type="dxa"/>
            <w:tcBorders>
              <w:top w:val="nil"/>
              <w:left w:val="nil"/>
              <w:bottom w:val="single" w:sz="4" w:space="0" w:color="auto"/>
              <w:right w:val="single" w:sz="4" w:space="0" w:color="auto"/>
            </w:tcBorders>
            <w:shd w:val="clear" w:color="auto" w:fill="auto"/>
            <w:noWrap/>
            <w:vAlign w:val="bottom"/>
            <w:hideMark/>
          </w:tcPr>
          <w:p w14:paraId="1E82D43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-89</w:t>
            </w:r>
          </w:p>
        </w:tc>
        <w:tc>
          <w:tcPr>
            <w:tcW w:w="709" w:type="dxa"/>
            <w:tcBorders>
              <w:top w:val="nil"/>
              <w:left w:val="nil"/>
              <w:bottom w:val="single" w:sz="4" w:space="0" w:color="auto"/>
              <w:right w:val="single" w:sz="4" w:space="0" w:color="auto"/>
            </w:tcBorders>
            <w:shd w:val="clear" w:color="auto" w:fill="auto"/>
            <w:noWrap/>
            <w:vAlign w:val="bottom"/>
            <w:hideMark/>
          </w:tcPr>
          <w:p w14:paraId="1C13CEDF"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-75</w:t>
            </w:r>
          </w:p>
        </w:tc>
        <w:tc>
          <w:tcPr>
            <w:tcW w:w="673" w:type="dxa"/>
            <w:tcBorders>
              <w:top w:val="nil"/>
              <w:left w:val="nil"/>
              <w:bottom w:val="single" w:sz="4" w:space="0" w:color="auto"/>
              <w:right w:val="single" w:sz="4" w:space="0" w:color="auto"/>
            </w:tcBorders>
            <w:shd w:val="clear" w:color="auto" w:fill="auto"/>
            <w:noWrap/>
            <w:vAlign w:val="bottom"/>
            <w:hideMark/>
          </w:tcPr>
          <w:p w14:paraId="3EF3FDC7"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-132</w:t>
            </w:r>
          </w:p>
        </w:tc>
        <w:tc>
          <w:tcPr>
            <w:tcW w:w="886" w:type="dxa"/>
            <w:tcBorders>
              <w:top w:val="nil"/>
              <w:left w:val="nil"/>
              <w:bottom w:val="single" w:sz="4" w:space="0" w:color="auto"/>
              <w:right w:val="single" w:sz="4" w:space="0" w:color="auto"/>
            </w:tcBorders>
            <w:shd w:val="clear" w:color="auto" w:fill="auto"/>
            <w:noWrap/>
            <w:vAlign w:val="bottom"/>
            <w:hideMark/>
          </w:tcPr>
          <w:p w14:paraId="315BA10C"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33E1676"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1FF08330"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931" w:type="dxa"/>
            <w:tcBorders>
              <w:top w:val="nil"/>
              <w:left w:val="nil"/>
              <w:bottom w:val="single" w:sz="4" w:space="0" w:color="auto"/>
              <w:right w:val="single" w:sz="4" w:space="0" w:color="auto"/>
            </w:tcBorders>
            <w:shd w:val="clear" w:color="auto" w:fill="auto"/>
            <w:noWrap/>
            <w:vAlign w:val="bottom"/>
            <w:hideMark/>
          </w:tcPr>
          <w:p w14:paraId="68E58580"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r>
      <w:tr w:rsidR="0079701B" w:rsidRPr="0079701B" w14:paraId="7264FF81"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7498B9B"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Net fee revenues</w:t>
            </w:r>
          </w:p>
        </w:tc>
        <w:tc>
          <w:tcPr>
            <w:tcW w:w="709" w:type="dxa"/>
            <w:tcBorders>
              <w:top w:val="nil"/>
              <w:left w:val="nil"/>
              <w:bottom w:val="single" w:sz="4" w:space="0" w:color="auto"/>
              <w:right w:val="single" w:sz="4" w:space="0" w:color="auto"/>
            </w:tcBorders>
            <w:shd w:val="clear" w:color="auto" w:fill="auto"/>
            <w:noWrap/>
            <w:vAlign w:val="bottom"/>
            <w:hideMark/>
          </w:tcPr>
          <w:p w14:paraId="6B7D911F"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3989</w:t>
            </w:r>
          </w:p>
        </w:tc>
        <w:tc>
          <w:tcPr>
            <w:tcW w:w="709" w:type="dxa"/>
            <w:tcBorders>
              <w:top w:val="nil"/>
              <w:left w:val="nil"/>
              <w:bottom w:val="single" w:sz="4" w:space="0" w:color="auto"/>
              <w:right w:val="single" w:sz="4" w:space="0" w:color="auto"/>
            </w:tcBorders>
            <w:shd w:val="clear" w:color="auto" w:fill="auto"/>
            <w:noWrap/>
            <w:vAlign w:val="bottom"/>
            <w:hideMark/>
          </w:tcPr>
          <w:p w14:paraId="4B354DF8"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2619</w:t>
            </w:r>
          </w:p>
        </w:tc>
        <w:tc>
          <w:tcPr>
            <w:tcW w:w="673" w:type="dxa"/>
            <w:tcBorders>
              <w:top w:val="nil"/>
              <w:left w:val="nil"/>
              <w:bottom w:val="single" w:sz="4" w:space="0" w:color="auto"/>
              <w:right w:val="single" w:sz="4" w:space="0" w:color="auto"/>
            </w:tcBorders>
            <w:shd w:val="clear" w:color="auto" w:fill="auto"/>
            <w:noWrap/>
            <w:vAlign w:val="bottom"/>
            <w:hideMark/>
          </w:tcPr>
          <w:p w14:paraId="56FCF8BC"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1551</w:t>
            </w:r>
          </w:p>
        </w:tc>
        <w:tc>
          <w:tcPr>
            <w:tcW w:w="886" w:type="dxa"/>
            <w:tcBorders>
              <w:top w:val="nil"/>
              <w:left w:val="nil"/>
              <w:bottom w:val="single" w:sz="4" w:space="0" w:color="auto"/>
              <w:right w:val="single" w:sz="4" w:space="0" w:color="auto"/>
            </w:tcBorders>
            <w:shd w:val="clear" w:color="auto" w:fill="auto"/>
            <w:noWrap/>
            <w:vAlign w:val="bottom"/>
            <w:hideMark/>
          </w:tcPr>
          <w:p w14:paraId="41DF35BD"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2B1D6DA7"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230458EA"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931" w:type="dxa"/>
            <w:tcBorders>
              <w:top w:val="nil"/>
              <w:left w:val="nil"/>
              <w:bottom w:val="single" w:sz="4" w:space="0" w:color="auto"/>
              <w:right w:val="single" w:sz="4" w:space="0" w:color="auto"/>
            </w:tcBorders>
            <w:shd w:val="clear" w:color="auto" w:fill="auto"/>
            <w:noWrap/>
            <w:vAlign w:val="bottom"/>
            <w:hideMark/>
          </w:tcPr>
          <w:p w14:paraId="78D3DA27"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r>
      <w:tr w:rsidR="0079701B" w:rsidRPr="0079701B" w14:paraId="0CD863AC"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7AAE316"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Owned, leased, and other revenue</w:t>
            </w:r>
          </w:p>
        </w:tc>
        <w:tc>
          <w:tcPr>
            <w:tcW w:w="709" w:type="dxa"/>
            <w:tcBorders>
              <w:top w:val="nil"/>
              <w:left w:val="nil"/>
              <w:bottom w:val="single" w:sz="4" w:space="0" w:color="auto"/>
              <w:right w:val="single" w:sz="4" w:space="0" w:color="auto"/>
            </w:tcBorders>
            <w:shd w:val="clear" w:color="auto" w:fill="auto"/>
            <w:noWrap/>
            <w:vAlign w:val="bottom"/>
            <w:hideMark/>
          </w:tcPr>
          <w:p w14:paraId="61D69A22"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1367</w:t>
            </w:r>
          </w:p>
        </w:tc>
        <w:tc>
          <w:tcPr>
            <w:tcW w:w="709" w:type="dxa"/>
            <w:tcBorders>
              <w:top w:val="nil"/>
              <w:left w:val="nil"/>
              <w:bottom w:val="single" w:sz="4" w:space="0" w:color="auto"/>
              <w:right w:val="single" w:sz="4" w:space="0" w:color="auto"/>
            </w:tcBorders>
            <w:shd w:val="clear" w:color="auto" w:fill="auto"/>
            <w:noWrap/>
            <w:vAlign w:val="bottom"/>
            <w:hideMark/>
          </w:tcPr>
          <w:p w14:paraId="00E3EDB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796</w:t>
            </w:r>
          </w:p>
        </w:tc>
        <w:tc>
          <w:tcPr>
            <w:tcW w:w="673" w:type="dxa"/>
            <w:tcBorders>
              <w:top w:val="nil"/>
              <w:left w:val="nil"/>
              <w:bottom w:val="single" w:sz="4" w:space="0" w:color="auto"/>
              <w:right w:val="single" w:sz="4" w:space="0" w:color="auto"/>
            </w:tcBorders>
            <w:shd w:val="clear" w:color="auto" w:fill="auto"/>
            <w:noWrap/>
            <w:vAlign w:val="bottom"/>
            <w:hideMark/>
          </w:tcPr>
          <w:p w14:paraId="43230D0C"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568</w:t>
            </w:r>
          </w:p>
        </w:tc>
        <w:tc>
          <w:tcPr>
            <w:tcW w:w="886" w:type="dxa"/>
            <w:tcBorders>
              <w:top w:val="nil"/>
              <w:left w:val="nil"/>
              <w:bottom w:val="single" w:sz="4" w:space="0" w:color="auto"/>
              <w:right w:val="single" w:sz="4" w:space="0" w:color="auto"/>
            </w:tcBorders>
            <w:shd w:val="clear" w:color="auto" w:fill="auto"/>
            <w:noWrap/>
            <w:vAlign w:val="bottom"/>
            <w:hideMark/>
          </w:tcPr>
          <w:p w14:paraId="32B86C77"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6825CDC5"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6.55%</w:t>
            </w:r>
          </w:p>
        </w:tc>
        <w:tc>
          <w:tcPr>
            <w:tcW w:w="851" w:type="dxa"/>
            <w:tcBorders>
              <w:top w:val="nil"/>
              <w:left w:val="nil"/>
              <w:bottom w:val="single" w:sz="4" w:space="0" w:color="auto"/>
              <w:right w:val="single" w:sz="4" w:space="0" w:color="auto"/>
            </w:tcBorders>
            <w:shd w:val="clear" w:color="auto" w:fill="auto"/>
            <w:noWrap/>
            <w:vAlign w:val="bottom"/>
            <w:hideMark/>
          </w:tcPr>
          <w:p w14:paraId="0D53F5C8"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5.71%</w:t>
            </w:r>
          </w:p>
        </w:tc>
        <w:tc>
          <w:tcPr>
            <w:tcW w:w="931" w:type="dxa"/>
            <w:tcBorders>
              <w:top w:val="nil"/>
              <w:left w:val="nil"/>
              <w:bottom w:val="single" w:sz="4" w:space="0" w:color="auto"/>
              <w:right w:val="single" w:sz="4" w:space="0" w:color="auto"/>
            </w:tcBorders>
            <w:shd w:val="clear" w:color="auto" w:fill="auto"/>
            <w:noWrap/>
            <w:vAlign w:val="bottom"/>
            <w:hideMark/>
          </w:tcPr>
          <w:p w14:paraId="6908ACC1"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5.31%</w:t>
            </w:r>
          </w:p>
        </w:tc>
      </w:tr>
      <w:tr w:rsidR="0079701B" w:rsidRPr="0079701B" w14:paraId="03B8D6C1"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474851D"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Cost reimbursement revenue</w:t>
            </w:r>
          </w:p>
        </w:tc>
        <w:tc>
          <w:tcPr>
            <w:tcW w:w="709" w:type="dxa"/>
            <w:tcBorders>
              <w:top w:val="nil"/>
              <w:left w:val="nil"/>
              <w:bottom w:val="single" w:sz="4" w:space="0" w:color="auto"/>
              <w:right w:val="single" w:sz="4" w:space="0" w:color="auto"/>
            </w:tcBorders>
            <w:shd w:val="clear" w:color="auto" w:fill="auto"/>
            <w:noWrap/>
            <w:vAlign w:val="bottom"/>
            <w:hideMark/>
          </w:tcPr>
          <w:p w14:paraId="65239C4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15417</w:t>
            </w:r>
          </w:p>
        </w:tc>
        <w:tc>
          <w:tcPr>
            <w:tcW w:w="709" w:type="dxa"/>
            <w:tcBorders>
              <w:top w:val="nil"/>
              <w:left w:val="nil"/>
              <w:bottom w:val="single" w:sz="4" w:space="0" w:color="auto"/>
              <w:right w:val="single" w:sz="4" w:space="0" w:color="auto"/>
            </w:tcBorders>
            <w:shd w:val="clear" w:color="auto" w:fill="auto"/>
            <w:noWrap/>
            <w:vAlign w:val="bottom"/>
            <w:hideMark/>
          </w:tcPr>
          <w:p w14:paraId="222E209D"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10442</w:t>
            </w:r>
          </w:p>
        </w:tc>
        <w:tc>
          <w:tcPr>
            <w:tcW w:w="673" w:type="dxa"/>
            <w:tcBorders>
              <w:top w:val="nil"/>
              <w:left w:val="nil"/>
              <w:bottom w:val="single" w:sz="4" w:space="0" w:color="auto"/>
              <w:right w:val="single" w:sz="4" w:space="0" w:color="auto"/>
            </w:tcBorders>
            <w:shd w:val="clear" w:color="auto" w:fill="auto"/>
            <w:noWrap/>
            <w:vAlign w:val="bottom"/>
            <w:hideMark/>
          </w:tcPr>
          <w:p w14:paraId="5EA5E6F3"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8452</w:t>
            </w:r>
          </w:p>
        </w:tc>
        <w:tc>
          <w:tcPr>
            <w:tcW w:w="886" w:type="dxa"/>
            <w:tcBorders>
              <w:top w:val="nil"/>
              <w:left w:val="nil"/>
              <w:bottom w:val="single" w:sz="4" w:space="0" w:color="auto"/>
              <w:right w:val="single" w:sz="4" w:space="0" w:color="auto"/>
            </w:tcBorders>
            <w:shd w:val="clear" w:color="auto" w:fill="auto"/>
            <w:noWrap/>
            <w:vAlign w:val="bottom"/>
            <w:hideMark/>
          </w:tcPr>
          <w:p w14:paraId="1D99CFCC"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30C57E95"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73.90%</w:t>
            </w:r>
          </w:p>
        </w:tc>
        <w:tc>
          <w:tcPr>
            <w:tcW w:w="851" w:type="dxa"/>
            <w:tcBorders>
              <w:top w:val="nil"/>
              <w:left w:val="nil"/>
              <w:bottom w:val="single" w:sz="4" w:space="0" w:color="auto"/>
              <w:right w:val="single" w:sz="4" w:space="0" w:color="auto"/>
            </w:tcBorders>
            <w:shd w:val="clear" w:color="auto" w:fill="auto"/>
            <w:noWrap/>
            <w:vAlign w:val="bottom"/>
            <w:hideMark/>
          </w:tcPr>
          <w:p w14:paraId="2395D9D2"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74.95%</w:t>
            </w:r>
          </w:p>
        </w:tc>
        <w:tc>
          <w:tcPr>
            <w:tcW w:w="931" w:type="dxa"/>
            <w:tcBorders>
              <w:top w:val="nil"/>
              <w:left w:val="nil"/>
              <w:bottom w:val="single" w:sz="4" w:space="0" w:color="auto"/>
              <w:right w:val="single" w:sz="4" w:space="0" w:color="auto"/>
            </w:tcBorders>
            <w:shd w:val="clear" w:color="auto" w:fill="auto"/>
            <w:noWrap/>
            <w:vAlign w:val="bottom"/>
            <w:hideMark/>
          </w:tcPr>
          <w:p w14:paraId="46D20FE6"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78.97%</w:t>
            </w:r>
          </w:p>
        </w:tc>
      </w:tr>
      <w:tr w:rsidR="0079701B" w:rsidRPr="0079701B" w14:paraId="1AF3961F" w14:textId="77777777" w:rsidTr="0079701B">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51368AD"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Total Revenue</w:t>
            </w:r>
          </w:p>
        </w:tc>
        <w:tc>
          <w:tcPr>
            <w:tcW w:w="709" w:type="dxa"/>
            <w:tcBorders>
              <w:top w:val="nil"/>
              <w:left w:val="nil"/>
              <w:bottom w:val="single" w:sz="4" w:space="0" w:color="auto"/>
              <w:right w:val="single" w:sz="4" w:space="0" w:color="auto"/>
            </w:tcBorders>
            <w:shd w:val="clear" w:color="auto" w:fill="auto"/>
            <w:noWrap/>
            <w:vAlign w:val="bottom"/>
            <w:hideMark/>
          </w:tcPr>
          <w:p w14:paraId="34A3A863"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20773</w:t>
            </w:r>
          </w:p>
        </w:tc>
        <w:tc>
          <w:tcPr>
            <w:tcW w:w="709" w:type="dxa"/>
            <w:tcBorders>
              <w:top w:val="nil"/>
              <w:left w:val="nil"/>
              <w:bottom w:val="single" w:sz="4" w:space="0" w:color="auto"/>
              <w:right w:val="single" w:sz="4" w:space="0" w:color="auto"/>
            </w:tcBorders>
            <w:shd w:val="clear" w:color="auto" w:fill="auto"/>
            <w:noWrap/>
            <w:vAlign w:val="bottom"/>
            <w:hideMark/>
          </w:tcPr>
          <w:p w14:paraId="057FBB41"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13857</w:t>
            </w:r>
          </w:p>
        </w:tc>
        <w:tc>
          <w:tcPr>
            <w:tcW w:w="673" w:type="dxa"/>
            <w:tcBorders>
              <w:top w:val="nil"/>
              <w:left w:val="nil"/>
              <w:bottom w:val="single" w:sz="4" w:space="0" w:color="auto"/>
              <w:right w:val="single" w:sz="4" w:space="0" w:color="auto"/>
            </w:tcBorders>
            <w:shd w:val="clear" w:color="auto" w:fill="auto"/>
            <w:noWrap/>
            <w:vAlign w:val="bottom"/>
            <w:hideMark/>
          </w:tcPr>
          <w:p w14:paraId="103F6590" w14:textId="77777777" w:rsidR="0079701B" w:rsidRPr="0079701B" w:rsidRDefault="0079701B" w:rsidP="0079701B">
            <w:pPr>
              <w:spacing w:after="0" w:line="240" w:lineRule="auto"/>
              <w:jc w:val="right"/>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10571</w:t>
            </w:r>
          </w:p>
        </w:tc>
        <w:tc>
          <w:tcPr>
            <w:tcW w:w="886" w:type="dxa"/>
            <w:tcBorders>
              <w:top w:val="nil"/>
              <w:left w:val="nil"/>
              <w:bottom w:val="single" w:sz="4" w:space="0" w:color="auto"/>
              <w:right w:val="single" w:sz="4" w:space="0" w:color="auto"/>
            </w:tcBorders>
            <w:shd w:val="clear" w:color="auto" w:fill="auto"/>
            <w:noWrap/>
            <w:vAlign w:val="bottom"/>
            <w:hideMark/>
          </w:tcPr>
          <w:p w14:paraId="6B27FA96"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0" w:type="dxa"/>
            <w:tcBorders>
              <w:top w:val="nil"/>
              <w:left w:val="nil"/>
              <w:bottom w:val="single" w:sz="4" w:space="0" w:color="auto"/>
              <w:right w:val="single" w:sz="4" w:space="0" w:color="auto"/>
            </w:tcBorders>
            <w:shd w:val="clear" w:color="auto" w:fill="auto"/>
            <w:noWrap/>
            <w:vAlign w:val="bottom"/>
            <w:hideMark/>
          </w:tcPr>
          <w:p w14:paraId="77C52BF3"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851" w:type="dxa"/>
            <w:tcBorders>
              <w:top w:val="nil"/>
              <w:left w:val="nil"/>
              <w:bottom w:val="single" w:sz="4" w:space="0" w:color="auto"/>
              <w:right w:val="single" w:sz="4" w:space="0" w:color="auto"/>
            </w:tcBorders>
            <w:shd w:val="clear" w:color="auto" w:fill="auto"/>
            <w:noWrap/>
            <w:vAlign w:val="bottom"/>
            <w:hideMark/>
          </w:tcPr>
          <w:p w14:paraId="6233F300"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c>
          <w:tcPr>
            <w:tcW w:w="931" w:type="dxa"/>
            <w:tcBorders>
              <w:top w:val="nil"/>
              <w:left w:val="nil"/>
              <w:bottom w:val="single" w:sz="4" w:space="0" w:color="auto"/>
              <w:right w:val="single" w:sz="4" w:space="0" w:color="auto"/>
            </w:tcBorders>
            <w:shd w:val="clear" w:color="auto" w:fill="auto"/>
            <w:noWrap/>
            <w:vAlign w:val="bottom"/>
            <w:hideMark/>
          </w:tcPr>
          <w:p w14:paraId="7DFE2C3A" w14:textId="77777777" w:rsidR="0079701B" w:rsidRPr="0079701B" w:rsidRDefault="0079701B" w:rsidP="0079701B">
            <w:pPr>
              <w:spacing w:after="0" w:line="240" w:lineRule="auto"/>
              <w:rPr>
                <w:rFonts w:ascii="Calibri" w:eastAsia="Times New Roman" w:hAnsi="Calibri" w:cs="Calibri"/>
                <w:color w:val="000000"/>
                <w:kern w:val="0"/>
                <w:sz w:val="18"/>
                <w:szCs w:val="18"/>
                <w:lang w:eastAsia="en-GB"/>
                <w14:ligatures w14:val="none"/>
              </w:rPr>
            </w:pPr>
            <w:r w:rsidRPr="0079701B">
              <w:rPr>
                <w:rFonts w:ascii="Calibri" w:eastAsia="Times New Roman" w:hAnsi="Calibri" w:cs="Calibri"/>
                <w:color w:val="000000"/>
                <w:kern w:val="0"/>
                <w:sz w:val="18"/>
                <w:szCs w:val="18"/>
                <w:lang w:eastAsia="en-GB"/>
                <w14:ligatures w14:val="none"/>
              </w:rPr>
              <w:t> </w:t>
            </w:r>
          </w:p>
        </w:tc>
      </w:tr>
    </w:tbl>
    <w:p w14:paraId="5255B22B" w14:textId="77777777" w:rsidR="0079701B" w:rsidRDefault="0079701B" w:rsidP="000E1C3E"/>
    <w:tbl>
      <w:tblPr>
        <w:tblW w:w="9350" w:type="dxa"/>
        <w:tblLook w:val="04A0" w:firstRow="1" w:lastRow="0" w:firstColumn="1" w:lastColumn="0" w:noHBand="0" w:noVBand="1"/>
      </w:tblPr>
      <w:tblGrid>
        <w:gridCol w:w="3595"/>
        <w:gridCol w:w="750"/>
        <w:gridCol w:w="712"/>
        <w:gridCol w:w="712"/>
        <w:gridCol w:w="520"/>
        <w:gridCol w:w="1714"/>
        <w:gridCol w:w="696"/>
        <w:gridCol w:w="696"/>
      </w:tblGrid>
      <w:tr w:rsidR="00D4031D" w:rsidRPr="00D4031D" w14:paraId="5B923B4D" w14:textId="77777777" w:rsidTr="00D4031D">
        <w:trPr>
          <w:trHeight w:val="288"/>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28C3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1CA92937"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2022</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09EEEA9"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2021</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0C368E68"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2020</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401EA6C" w14:textId="77777777" w:rsidR="00D4031D" w:rsidRPr="00D4031D" w:rsidRDefault="00D4031D" w:rsidP="00D4031D">
            <w:pPr>
              <w:spacing w:after="0" w:line="240" w:lineRule="auto"/>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 </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788B0560"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2022</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14:paraId="085A3368"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2021</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14:paraId="0772D641" w14:textId="77777777" w:rsidR="00D4031D" w:rsidRPr="00D4031D" w:rsidRDefault="00D4031D" w:rsidP="00D4031D">
            <w:pPr>
              <w:spacing w:after="0" w:line="240" w:lineRule="auto"/>
              <w:jc w:val="right"/>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2020</w:t>
            </w:r>
          </w:p>
        </w:tc>
      </w:tr>
      <w:tr w:rsidR="00D4031D" w:rsidRPr="00D4031D" w14:paraId="027F4B9E"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13F9E1F3" w14:textId="77777777" w:rsidR="00D4031D" w:rsidRPr="00D4031D" w:rsidRDefault="00D4031D" w:rsidP="00D4031D">
            <w:pPr>
              <w:spacing w:after="0" w:line="240" w:lineRule="auto"/>
              <w:rPr>
                <w:rFonts w:ascii="Calibri" w:eastAsia="Times New Roman" w:hAnsi="Calibri" w:cs="Calibri"/>
                <w:b/>
                <w:bCs/>
                <w:color w:val="000000"/>
                <w:kern w:val="0"/>
                <w:sz w:val="16"/>
                <w:szCs w:val="16"/>
                <w:lang w:eastAsia="en-GB"/>
                <w14:ligatures w14:val="none"/>
              </w:rPr>
            </w:pPr>
            <w:r w:rsidRPr="00D4031D">
              <w:rPr>
                <w:rFonts w:ascii="Calibri" w:eastAsia="Times New Roman" w:hAnsi="Calibri" w:cs="Calibri"/>
                <w:b/>
                <w:bCs/>
                <w:color w:val="000000"/>
                <w:kern w:val="0"/>
                <w:sz w:val="16"/>
                <w:szCs w:val="16"/>
                <w:lang w:eastAsia="en-GB"/>
                <w14:ligatures w14:val="none"/>
              </w:rPr>
              <w:t>COSTS</w:t>
            </w:r>
          </w:p>
        </w:tc>
        <w:tc>
          <w:tcPr>
            <w:tcW w:w="750" w:type="dxa"/>
            <w:tcBorders>
              <w:top w:val="nil"/>
              <w:left w:val="nil"/>
              <w:bottom w:val="single" w:sz="4" w:space="0" w:color="auto"/>
              <w:right w:val="single" w:sz="4" w:space="0" w:color="auto"/>
            </w:tcBorders>
            <w:shd w:val="clear" w:color="auto" w:fill="auto"/>
            <w:noWrap/>
            <w:vAlign w:val="bottom"/>
            <w:hideMark/>
          </w:tcPr>
          <w:p w14:paraId="745DED1C"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712" w:type="dxa"/>
            <w:tcBorders>
              <w:top w:val="nil"/>
              <w:left w:val="nil"/>
              <w:bottom w:val="single" w:sz="4" w:space="0" w:color="auto"/>
              <w:right w:val="single" w:sz="4" w:space="0" w:color="auto"/>
            </w:tcBorders>
            <w:shd w:val="clear" w:color="auto" w:fill="auto"/>
            <w:noWrap/>
            <w:vAlign w:val="bottom"/>
            <w:hideMark/>
          </w:tcPr>
          <w:p w14:paraId="525E3019"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712" w:type="dxa"/>
            <w:tcBorders>
              <w:top w:val="nil"/>
              <w:left w:val="nil"/>
              <w:bottom w:val="single" w:sz="4" w:space="0" w:color="auto"/>
              <w:right w:val="single" w:sz="4" w:space="0" w:color="auto"/>
            </w:tcBorders>
            <w:shd w:val="clear" w:color="auto" w:fill="auto"/>
            <w:noWrap/>
            <w:vAlign w:val="bottom"/>
            <w:hideMark/>
          </w:tcPr>
          <w:p w14:paraId="026822B3"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520" w:type="dxa"/>
            <w:tcBorders>
              <w:top w:val="nil"/>
              <w:left w:val="nil"/>
              <w:bottom w:val="single" w:sz="4" w:space="0" w:color="auto"/>
              <w:right w:val="single" w:sz="4" w:space="0" w:color="auto"/>
            </w:tcBorders>
            <w:shd w:val="clear" w:color="auto" w:fill="auto"/>
            <w:noWrap/>
            <w:vAlign w:val="bottom"/>
            <w:hideMark/>
          </w:tcPr>
          <w:p w14:paraId="7007EAEA"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7ACC148F"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Cost Percentile Breakdown</w:t>
            </w:r>
          </w:p>
        </w:tc>
        <w:tc>
          <w:tcPr>
            <w:tcW w:w="654" w:type="dxa"/>
            <w:tcBorders>
              <w:top w:val="nil"/>
              <w:left w:val="nil"/>
              <w:bottom w:val="single" w:sz="4" w:space="0" w:color="auto"/>
              <w:right w:val="single" w:sz="4" w:space="0" w:color="auto"/>
            </w:tcBorders>
            <w:shd w:val="clear" w:color="auto" w:fill="auto"/>
            <w:noWrap/>
            <w:vAlign w:val="bottom"/>
            <w:hideMark/>
          </w:tcPr>
          <w:p w14:paraId="023DA4F8"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11EE6AAE"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r>
      <w:tr w:rsidR="00D4031D" w:rsidRPr="00D4031D" w14:paraId="71505049"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68848B9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Owned, leased, and other-direct</w:t>
            </w:r>
          </w:p>
        </w:tc>
        <w:tc>
          <w:tcPr>
            <w:tcW w:w="750" w:type="dxa"/>
            <w:tcBorders>
              <w:top w:val="nil"/>
              <w:left w:val="nil"/>
              <w:bottom w:val="single" w:sz="4" w:space="0" w:color="auto"/>
              <w:right w:val="single" w:sz="4" w:space="0" w:color="auto"/>
            </w:tcBorders>
            <w:shd w:val="clear" w:color="auto" w:fill="auto"/>
            <w:noWrap/>
            <w:vAlign w:val="bottom"/>
            <w:hideMark/>
          </w:tcPr>
          <w:p w14:paraId="3FEB2919"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1074</w:t>
            </w:r>
          </w:p>
        </w:tc>
        <w:tc>
          <w:tcPr>
            <w:tcW w:w="712" w:type="dxa"/>
            <w:tcBorders>
              <w:top w:val="nil"/>
              <w:left w:val="nil"/>
              <w:bottom w:val="single" w:sz="4" w:space="0" w:color="auto"/>
              <w:right w:val="single" w:sz="4" w:space="0" w:color="auto"/>
            </w:tcBorders>
            <w:shd w:val="clear" w:color="auto" w:fill="auto"/>
            <w:noWrap/>
            <w:vAlign w:val="bottom"/>
            <w:hideMark/>
          </w:tcPr>
          <w:p w14:paraId="3B94726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734</w:t>
            </w:r>
          </w:p>
        </w:tc>
        <w:tc>
          <w:tcPr>
            <w:tcW w:w="712" w:type="dxa"/>
            <w:tcBorders>
              <w:top w:val="nil"/>
              <w:left w:val="nil"/>
              <w:bottom w:val="single" w:sz="4" w:space="0" w:color="auto"/>
              <w:right w:val="single" w:sz="4" w:space="0" w:color="auto"/>
            </w:tcBorders>
            <w:shd w:val="clear" w:color="auto" w:fill="auto"/>
            <w:noWrap/>
            <w:vAlign w:val="bottom"/>
            <w:hideMark/>
          </w:tcPr>
          <w:p w14:paraId="48F4EC5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677</w:t>
            </w:r>
          </w:p>
        </w:tc>
        <w:tc>
          <w:tcPr>
            <w:tcW w:w="520" w:type="dxa"/>
            <w:tcBorders>
              <w:top w:val="nil"/>
              <w:left w:val="nil"/>
              <w:bottom w:val="single" w:sz="4" w:space="0" w:color="auto"/>
              <w:right w:val="single" w:sz="4" w:space="0" w:color="auto"/>
            </w:tcBorders>
            <w:shd w:val="clear" w:color="auto" w:fill="auto"/>
            <w:noWrap/>
            <w:vAlign w:val="bottom"/>
            <w:hideMark/>
          </w:tcPr>
          <w:p w14:paraId="771AF40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600FD1F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6.20%</w:t>
            </w:r>
          </w:p>
        </w:tc>
        <w:tc>
          <w:tcPr>
            <w:tcW w:w="654" w:type="dxa"/>
            <w:tcBorders>
              <w:top w:val="nil"/>
              <w:left w:val="nil"/>
              <w:bottom w:val="single" w:sz="4" w:space="0" w:color="auto"/>
              <w:right w:val="single" w:sz="4" w:space="0" w:color="auto"/>
            </w:tcBorders>
            <w:shd w:val="clear" w:color="auto" w:fill="auto"/>
            <w:noWrap/>
            <w:vAlign w:val="bottom"/>
            <w:hideMark/>
          </w:tcPr>
          <w:p w14:paraId="59F781B1"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6.06%</w:t>
            </w:r>
          </w:p>
        </w:tc>
        <w:tc>
          <w:tcPr>
            <w:tcW w:w="693" w:type="dxa"/>
            <w:tcBorders>
              <w:top w:val="nil"/>
              <w:left w:val="nil"/>
              <w:bottom w:val="single" w:sz="4" w:space="0" w:color="auto"/>
              <w:right w:val="single" w:sz="4" w:space="0" w:color="auto"/>
            </w:tcBorders>
            <w:shd w:val="clear" w:color="auto" w:fill="auto"/>
            <w:noWrap/>
            <w:vAlign w:val="bottom"/>
            <w:hideMark/>
          </w:tcPr>
          <w:p w14:paraId="073758A4"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6.46%</w:t>
            </w:r>
          </w:p>
        </w:tc>
      </w:tr>
      <w:tr w:rsidR="00D4031D" w:rsidRPr="00D4031D" w14:paraId="0E1DA9AC"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124F004"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Depreciation, amortisation and other</w:t>
            </w:r>
          </w:p>
        </w:tc>
        <w:tc>
          <w:tcPr>
            <w:tcW w:w="750" w:type="dxa"/>
            <w:tcBorders>
              <w:top w:val="nil"/>
              <w:left w:val="nil"/>
              <w:bottom w:val="single" w:sz="4" w:space="0" w:color="auto"/>
              <w:right w:val="single" w:sz="4" w:space="0" w:color="auto"/>
            </w:tcBorders>
            <w:shd w:val="clear" w:color="auto" w:fill="auto"/>
            <w:noWrap/>
            <w:vAlign w:val="bottom"/>
            <w:hideMark/>
          </w:tcPr>
          <w:p w14:paraId="711887B7"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193</w:t>
            </w:r>
          </w:p>
        </w:tc>
        <w:tc>
          <w:tcPr>
            <w:tcW w:w="712" w:type="dxa"/>
            <w:tcBorders>
              <w:top w:val="nil"/>
              <w:left w:val="nil"/>
              <w:bottom w:val="single" w:sz="4" w:space="0" w:color="auto"/>
              <w:right w:val="single" w:sz="4" w:space="0" w:color="auto"/>
            </w:tcBorders>
            <w:shd w:val="clear" w:color="auto" w:fill="auto"/>
            <w:noWrap/>
            <w:vAlign w:val="bottom"/>
            <w:hideMark/>
          </w:tcPr>
          <w:p w14:paraId="551B758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220</w:t>
            </w:r>
          </w:p>
        </w:tc>
        <w:tc>
          <w:tcPr>
            <w:tcW w:w="712" w:type="dxa"/>
            <w:tcBorders>
              <w:top w:val="nil"/>
              <w:left w:val="nil"/>
              <w:bottom w:val="single" w:sz="4" w:space="0" w:color="auto"/>
              <w:right w:val="single" w:sz="4" w:space="0" w:color="auto"/>
            </w:tcBorders>
            <w:shd w:val="clear" w:color="auto" w:fill="auto"/>
            <w:noWrap/>
            <w:vAlign w:val="bottom"/>
            <w:hideMark/>
          </w:tcPr>
          <w:p w14:paraId="1977EA26"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346</w:t>
            </w:r>
          </w:p>
        </w:tc>
        <w:tc>
          <w:tcPr>
            <w:tcW w:w="520" w:type="dxa"/>
            <w:tcBorders>
              <w:top w:val="nil"/>
              <w:left w:val="nil"/>
              <w:bottom w:val="single" w:sz="4" w:space="0" w:color="auto"/>
              <w:right w:val="single" w:sz="4" w:space="0" w:color="auto"/>
            </w:tcBorders>
            <w:shd w:val="clear" w:color="auto" w:fill="auto"/>
            <w:noWrap/>
            <w:vAlign w:val="bottom"/>
            <w:hideMark/>
          </w:tcPr>
          <w:p w14:paraId="285E793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4B5C07E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1.11%</w:t>
            </w:r>
          </w:p>
        </w:tc>
        <w:tc>
          <w:tcPr>
            <w:tcW w:w="654" w:type="dxa"/>
            <w:tcBorders>
              <w:top w:val="nil"/>
              <w:left w:val="nil"/>
              <w:bottom w:val="single" w:sz="4" w:space="0" w:color="auto"/>
              <w:right w:val="single" w:sz="4" w:space="0" w:color="auto"/>
            </w:tcBorders>
            <w:shd w:val="clear" w:color="auto" w:fill="auto"/>
            <w:noWrap/>
            <w:vAlign w:val="bottom"/>
            <w:hideMark/>
          </w:tcPr>
          <w:p w14:paraId="24A8A847"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1.82%</w:t>
            </w:r>
          </w:p>
        </w:tc>
        <w:tc>
          <w:tcPr>
            <w:tcW w:w="693" w:type="dxa"/>
            <w:tcBorders>
              <w:top w:val="nil"/>
              <w:left w:val="nil"/>
              <w:bottom w:val="single" w:sz="4" w:space="0" w:color="auto"/>
              <w:right w:val="single" w:sz="4" w:space="0" w:color="auto"/>
            </w:tcBorders>
            <w:shd w:val="clear" w:color="auto" w:fill="auto"/>
            <w:noWrap/>
            <w:vAlign w:val="bottom"/>
            <w:hideMark/>
          </w:tcPr>
          <w:p w14:paraId="754C6077"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3.30%</w:t>
            </w:r>
          </w:p>
        </w:tc>
      </w:tr>
      <w:tr w:rsidR="00D4031D" w:rsidRPr="00D4031D" w14:paraId="7F4F18B3"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2302E974"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General, administrative, and other</w:t>
            </w:r>
          </w:p>
        </w:tc>
        <w:tc>
          <w:tcPr>
            <w:tcW w:w="750" w:type="dxa"/>
            <w:tcBorders>
              <w:top w:val="nil"/>
              <w:left w:val="nil"/>
              <w:bottom w:val="single" w:sz="4" w:space="0" w:color="auto"/>
              <w:right w:val="single" w:sz="4" w:space="0" w:color="auto"/>
            </w:tcBorders>
            <w:shd w:val="clear" w:color="auto" w:fill="auto"/>
            <w:noWrap/>
            <w:vAlign w:val="bottom"/>
            <w:hideMark/>
          </w:tcPr>
          <w:p w14:paraId="41C2C2EF"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891</w:t>
            </w:r>
          </w:p>
        </w:tc>
        <w:tc>
          <w:tcPr>
            <w:tcW w:w="712" w:type="dxa"/>
            <w:tcBorders>
              <w:top w:val="nil"/>
              <w:left w:val="nil"/>
              <w:bottom w:val="single" w:sz="4" w:space="0" w:color="auto"/>
              <w:right w:val="single" w:sz="4" w:space="0" w:color="auto"/>
            </w:tcBorders>
            <w:shd w:val="clear" w:color="auto" w:fill="auto"/>
            <w:noWrap/>
            <w:vAlign w:val="bottom"/>
            <w:hideMark/>
          </w:tcPr>
          <w:p w14:paraId="67BD22B7"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823</w:t>
            </w:r>
          </w:p>
        </w:tc>
        <w:tc>
          <w:tcPr>
            <w:tcW w:w="712" w:type="dxa"/>
            <w:tcBorders>
              <w:top w:val="nil"/>
              <w:left w:val="nil"/>
              <w:bottom w:val="single" w:sz="4" w:space="0" w:color="auto"/>
              <w:right w:val="single" w:sz="4" w:space="0" w:color="auto"/>
            </w:tcBorders>
            <w:shd w:val="clear" w:color="auto" w:fill="auto"/>
            <w:noWrap/>
            <w:vAlign w:val="bottom"/>
            <w:hideMark/>
          </w:tcPr>
          <w:p w14:paraId="5DE9A2CA"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762</w:t>
            </w:r>
          </w:p>
        </w:tc>
        <w:tc>
          <w:tcPr>
            <w:tcW w:w="520" w:type="dxa"/>
            <w:tcBorders>
              <w:top w:val="nil"/>
              <w:left w:val="nil"/>
              <w:bottom w:val="single" w:sz="4" w:space="0" w:color="auto"/>
              <w:right w:val="single" w:sz="4" w:space="0" w:color="auto"/>
            </w:tcBorders>
            <w:shd w:val="clear" w:color="auto" w:fill="auto"/>
            <w:noWrap/>
            <w:vAlign w:val="bottom"/>
            <w:hideMark/>
          </w:tcPr>
          <w:p w14:paraId="6717173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7BE19DA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5.15%</w:t>
            </w:r>
          </w:p>
        </w:tc>
        <w:tc>
          <w:tcPr>
            <w:tcW w:w="654" w:type="dxa"/>
            <w:tcBorders>
              <w:top w:val="nil"/>
              <w:left w:val="nil"/>
              <w:bottom w:val="single" w:sz="4" w:space="0" w:color="auto"/>
              <w:right w:val="single" w:sz="4" w:space="0" w:color="auto"/>
            </w:tcBorders>
            <w:shd w:val="clear" w:color="auto" w:fill="auto"/>
            <w:noWrap/>
            <w:vAlign w:val="bottom"/>
            <w:hideMark/>
          </w:tcPr>
          <w:p w14:paraId="1969C3E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6.80%</w:t>
            </w:r>
          </w:p>
        </w:tc>
        <w:tc>
          <w:tcPr>
            <w:tcW w:w="693" w:type="dxa"/>
            <w:tcBorders>
              <w:top w:val="nil"/>
              <w:left w:val="nil"/>
              <w:bottom w:val="single" w:sz="4" w:space="0" w:color="auto"/>
              <w:right w:val="single" w:sz="4" w:space="0" w:color="auto"/>
            </w:tcBorders>
            <w:shd w:val="clear" w:color="auto" w:fill="auto"/>
            <w:noWrap/>
            <w:vAlign w:val="bottom"/>
            <w:hideMark/>
          </w:tcPr>
          <w:p w14:paraId="098CF2E6"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7.27%</w:t>
            </w:r>
          </w:p>
        </w:tc>
      </w:tr>
      <w:tr w:rsidR="00D4031D" w:rsidRPr="00D4031D" w14:paraId="61E5BB43"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18737F3E"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Restructuring, merger-related charges, and other</w:t>
            </w:r>
          </w:p>
        </w:tc>
        <w:tc>
          <w:tcPr>
            <w:tcW w:w="750" w:type="dxa"/>
            <w:tcBorders>
              <w:top w:val="nil"/>
              <w:left w:val="nil"/>
              <w:bottom w:val="single" w:sz="4" w:space="0" w:color="auto"/>
              <w:right w:val="single" w:sz="4" w:space="0" w:color="auto"/>
            </w:tcBorders>
            <w:shd w:val="clear" w:color="auto" w:fill="auto"/>
            <w:noWrap/>
            <w:vAlign w:val="bottom"/>
            <w:hideMark/>
          </w:tcPr>
          <w:p w14:paraId="21E53CE0"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12</w:t>
            </w:r>
          </w:p>
        </w:tc>
        <w:tc>
          <w:tcPr>
            <w:tcW w:w="712" w:type="dxa"/>
            <w:tcBorders>
              <w:top w:val="nil"/>
              <w:left w:val="nil"/>
              <w:bottom w:val="single" w:sz="4" w:space="0" w:color="auto"/>
              <w:right w:val="single" w:sz="4" w:space="0" w:color="auto"/>
            </w:tcBorders>
            <w:shd w:val="clear" w:color="auto" w:fill="auto"/>
            <w:noWrap/>
            <w:vAlign w:val="bottom"/>
            <w:hideMark/>
          </w:tcPr>
          <w:p w14:paraId="725D1E8F"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w:t>
            </w:r>
          </w:p>
        </w:tc>
        <w:tc>
          <w:tcPr>
            <w:tcW w:w="712" w:type="dxa"/>
            <w:tcBorders>
              <w:top w:val="nil"/>
              <w:left w:val="nil"/>
              <w:bottom w:val="single" w:sz="4" w:space="0" w:color="auto"/>
              <w:right w:val="single" w:sz="4" w:space="0" w:color="auto"/>
            </w:tcBorders>
            <w:shd w:val="clear" w:color="auto" w:fill="auto"/>
            <w:noWrap/>
            <w:vAlign w:val="bottom"/>
            <w:hideMark/>
          </w:tcPr>
          <w:p w14:paraId="796A5533"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267</w:t>
            </w:r>
          </w:p>
        </w:tc>
        <w:tc>
          <w:tcPr>
            <w:tcW w:w="520" w:type="dxa"/>
            <w:tcBorders>
              <w:top w:val="nil"/>
              <w:left w:val="nil"/>
              <w:bottom w:val="single" w:sz="4" w:space="0" w:color="auto"/>
              <w:right w:val="single" w:sz="4" w:space="0" w:color="auto"/>
            </w:tcBorders>
            <w:shd w:val="clear" w:color="auto" w:fill="auto"/>
            <w:noWrap/>
            <w:vAlign w:val="bottom"/>
            <w:hideMark/>
          </w:tcPr>
          <w:p w14:paraId="7F536C1A"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3E6714E9"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0.07%</w:t>
            </w:r>
          </w:p>
        </w:tc>
        <w:tc>
          <w:tcPr>
            <w:tcW w:w="654" w:type="dxa"/>
            <w:tcBorders>
              <w:top w:val="nil"/>
              <w:left w:val="nil"/>
              <w:bottom w:val="single" w:sz="4" w:space="0" w:color="auto"/>
              <w:right w:val="single" w:sz="4" w:space="0" w:color="auto"/>
            </w:tcBorders>
            <w:shd w:val="clear" w:color="auto" w:fill="auto"/>
            <w:noWrap/>
            <w:vAlign w:val="bottom"/>
            <w:hideMark/>
          </w:tcPr>
          <w:p w14:paraId="139A050A"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0.07%</w:t>
            </w:r>
          </w:p>
        </w:tc>
        <w:tc>
          <w:tcPr>
            <w:tcW w:w="693" w:type="dxa"/>
            <w:tcBorders>
              <w:top w:val="nil"/>
              <w:left w:val="nil"/>
              <w:bottom w:val="single" w:sz="4" w:space="0" w:color="auto"/>
              <w:right w:val="single" w:sz="4" w:space="0" w:color="auto"/>
            </w:tcBorders>
            <w:shd w:val="clear" w:color="auto" w:fill="auto"/>
            <w:noWrap/>
            <w:vAlign w:val="bottom"/>
            <w:hideMark/>
          </w:tcPr>
          <w:p w14:paraId="16C014AC"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2.55%</w:t>
            </w:r>
          </w:p>
        </w:tc>
      </w:tr>
      <w:tr w:rsidR="00D4031D" w:rsidRPr="00D4031D" w14:paraId="413F64AE"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454DDCB2"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Reimbursed expenses</w:t>
            </w:r>
          </w:p>
        </w:tc>
        <w:tc>
          <w:tcPr>
            <w:tcW w:w="750" w:type="dxa"/>
            <w:tcBorders>
              <w:top w:val="nil"/>
              <w:left w:val="nil"/>
              <w:bottom w:val="single" w:sz="4" w:space="0" w:color="auto"/>
              <w:right w:val="single" w:sz="4" w:space="0" w:color="auto"/>
            </w:tcBorders>
            <w:shd w:val="clear" w:color="auto" w:fill="auto"/>
            <w:noWrap/>
            <w:vAlign w:val="bottom"/>
            <w:hideMark/>
          </w:tcPr>
          <w:p w14:paraId="57186CF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15141</w:t>
            </w:r>
          </w:p>
        </w:tc>
        <w:tc>
          <w:tcPr>
            <w:tcW w:w="712" w:type="dxa"/>
            <w:tcBorders>
              <w:top w:val="nil"/>
              <w:left w:val="nil"/>
              <w:bottom w:val="single" w:sz="4" w:space="0" w:color="auto"/>
              <w:right w:val="single" w:sz="4" w:space="0" w:color="auto"/>
            </w:tcBorders>
            <w:shd w:val="clear" w:color="auto" w:fill="auto"/>
            <w:noWrap/>
            <w:vAlign w:val="bottom"/>
            <w:hideMark/>
          </w:tcPr>
          <w:p w14:paraId="5F18DA1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10322</w:t>
            </w:r>
          </w:p>
        </w:tc>
        <w:tc>
          <w:tcPr>
            <w:tcW w:w="712" w:type="dxa"/>
            <w:tcBorders>
              <w:top w:val="nil"/>
              <w:left w:val="nil"/>
              <w:bottom w:val="single" w:sz="4" w:space="0" w:color="auto"/>
              <w:right w:val="single" w:sz="4" w:space="0" w:color="auto"/>
            </w:tcBorders>
            <w:shd w:val="clear" w:color="auto" w:fill="auto"/>
            <w:noWrap/>
            <w:vAlign w:val="bottom"/>
            <w:hideMark/>
          </w:tcPr>
          <w:p w14:paraId="57741540"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8435</w:t>
            </w:r>
          </w:p>
        </w:tc>
        <w:tc>
          <w:tcPr>
            <w:tcW w:w="520" w:type="dxa"/>
            <w:tcBorders>
              <w:top w:val="nil"/>
              <w:left w:val="nil"/>
              <w:bottom w:val="single" w:sz="4" w:space="0" w:color="auto"/>
              <w:right w:val="single" w:sz="4" w:space="0" w:color="auto"/>
            </w:tcBorders>
            <w:shd w:val="clear" w:color="auto" w:fill="auto"/>
            <w:noWrap/>
            <w:vAlign w:val="bottom"/>
            <w:hideMark/>
          </w:tcPr>
          <w:p w14:paraId="1B60111E"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4F7D6FB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87.46%</w:t>
            </w:r>
          </w:p>
        </w:tc>
        <w:tc>
          <w:tcPr>
            <w:tcW w:w="654" w:type="dxa"/>
            <w:tcBorders>
              <w:top w:val="nil"/>
              <w:left w:val="nil"/>
              <w:bottom w:val="single" w:sz="4" w:space="0" w:color="auto"/>
              <w:right w:val="single" w:sz="4" w:space="0" w:color="auto"/>
            </w:tcBorders>
            <w:shd w:val="clear" w:color="auto" w:fill="auto"/>
            <w:noWrap/>
            <w:vAlign w:val="bottom"/>
            <w:hideMark/>
          </w:tcPr>
          <w:p w14:paraId="1A335B5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85.26%</w:t>
            </w:r>
          </w:p>
        </w:tc>
        <w:tc>
          <w:tcPr>
            <w:tcW w:w="693" w:type="dxa"/>
            <w:tcBorders>
              <w:top w:val="nil"/>
              <w:left w:val="nil"/>
              <w:bottom w:val="single" w:sz="4" w:space="0" w:color="auto"/>
              <w:right w:val="single" w:sz="4" w:space="0" w:color="auto"/>
            </w:tcBorders>
            <w:shd w:val="clear" w:color="auto" w:fill="auto"/>
            <w:noWrap/>
            <w:vAlign w:val="bottom"/>
            <w:hideMark/>
          </w:tcPr>
          <w:p w14:paraId="3F447B6A"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80.43%</w:t>
            </w:r>
          </w:p>
        </w:tc>
      </w:tr>
      <w:tr w:rsidR="00D4031D" w:rsidRPr="00D4031D" w14:paraId="2AFE60B2" w14:textId="77777777" w:rsidTr="00D4031D">
        <w:trPr>
          <w:trHeight w:val="288"/>
        </w:trPr>
        <w:tc>
          <w:tcPr>
            <w:tcW w:w="3595" w:type="dxa"/>
            <w:tcBorders>
              <w:top w:val="nil"/>
              <w:left w:val="single" w:sz="4" w:space="0" w:color="auto"/>
              <w:bottom w:val="single" w:sz="4" w:space="0" w:color="auto"/>
              <w:right w:val="single" w:sz="4" w:space="0" w:color="auto"/>
            </w:tcBorders>
            <w:shd w:val="clear" w:color="auto" w:fill="auto"/>
            <w:noWrap/>
            <w:vAlign w:val="bottom"/>
            <w:hideMark/>
          </w:tcPr>
          <w:p w14:paraId="38063284"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Total Cost</w:t>
            </w:r>
          </w:p>
        </w:tc>
        <w:tc>
          <w:tcPr>
            <w:tcW w:w="750" w:type="dxa"/>
            <w:tcBorders>
              <w:top w:val="nil"/>
              <w:left w:val="nil"/>
              <w:bottom w:val="single" w:sz="4" w:space="0" w:color="auto"/>
              <w:right w:val="single" w:sz="4" w:space="0" w:color="auto"/>
            </w:tcBorders>
            <w:shd w:val="clear" w:color="auto" w:fill="auto"/>
            <w:noWrap/>
            <w:vAlign w:val="bottom"/>
            <w:hideMark/>
          </w:tcPr>
          <w:p w14:paraId="60CCBA7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17311</w:t>
            </w:r>
          </w:p>
        </w:tc>
        <w:tc>
          <w:tcPr>
            <w:tcW w:w="712" w:type="dxa"/>
            <w:tcBorders>
              <w:top w:val="nil"/>
              <w:left w:val="nil"/>
              <w:bottom w:val="single" w:sz="4" w:space="0" w:color="auto"/>
              <w:right w:val="single" w:sz="4" w:space="0" w:color="auto"/>
            </w:tcBorders>
            <w:shd w:val="clear" w:color="auto" w:fill="auto"/>
            <w:noWrap/>
            <w:vAlign w:val="bottom"/>
            <w:hideMark/>
          </w:tcPr>
          <w:p w14:paraId="291AFA4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12107</w:t>
            </w:r>
          </w:p>
        </w:tc>
        <w:tc>
          <w:tcPr>
            <w:tcW w:w="712" w:type="dxa"/>
            <w:tcBorders>
              <w:top w:val="nil"/>
              <w:left w:val="nil"/>
              <w:bottom w:val="single" w:sz="4" w:space="0" w:color="auto"/>
              <w:right w:val="single" w:sz="4" w:space="0" w:color="auto"/>
            </w:tcBorders>
            <w:shd w:val="clear" w:color="auto" w:fill="auto"/>
            <w:noWrap/>
            <w:vAlign w:val="bottom"/>
            <w:hideMark/>
          </w:tcPr>
          <w:p w14:paraId="0B00E18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10487</w:t>
            </w:r>
          </w:p>
        </w:tc>
        <w:tc>
          <w:tcPr>
            <w:tcW w:w="520" w:type="dxa"/>
            <w:tcBorders>
              <w:top w:val="nil"/>
              <w:left w:val="nil"/>
              <w:bottom w:val="single" w:sz="4" w:space="0" w:color="auto"/>
              <w:right w:val="single" w:sz="4" w:space="0" w:color="auto"/>
            </w:tcBorders>
            <w:shd w:val="clear" w:color="auto" w:fill="auto"/>
            <w:noWrap/>
            <w:vAlign w:val="bottom"/>
            <w:hideMark/>
          </w:tcPr>
          <w:p w14:paraId="3BD86FBA"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1714" w:type="dxa"/>
            <w:tcBorders>
              <w:top w:val="nil"/>
              <w:left w:val="nil"/>
              <w:bottom w:val="single" w:sz="4" w:space="0" w:color="auto"/>
              <w:right w:val="single" w:sz="4" w:space="0" w:color="auto"/>
            </w:tcBorders>
            <w:shd w:val="clear" w:color="auto" w:fill="auto"/>
            <w:noWrap/>
            <w:vAlign w:val="bottom"/>
            <w:hideMark/>
          </w:tcPr>
          <w:p w14:paraId="79430630"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654" w:type="dxa"/>
            <w:tcBorders>
              <w:top w:val="nil"/>
              <w:left w:val="nil"/>
              <w:bottom w:val="single" w:sz="4" w:space="0" w:color="auto"/>
              <w:right w:val="single" w:sz="4" w:space="0" w:color="auto"/>
            </w:tcBorders>
            <w:shd w:val="clear" w:color="auto" w:fill="auto"/>
            <w:noWrap/>
            <w:vAlign w:val="bottom"/>
            <w:hideMark/>
          </w:tcPr>
          <w:p w14:paraId="1B51548E"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c>
          <w:tcPr>
            <w:tcW w:w="693" w:type="dxa"/>
            <w:tcBorders>
              <w:top w:val="nil"/>
              <w:left w:val="nil"/>
              <w:bottom w:val="single" w:sz="4" w:space="0" w:color="auto"/>
              <w:right w:val="single" w:sz="4" w:space="0" w:color="auto"/>
            </w:tcBorders>
            <w:shd w:val="clear" w:color="auto" w:fill="auto"/>
            <w:noWrap/>
            <w:vAlign w:val="bottom"/>
            <w:hideMark/>
          </w:tcPr>
          <w:p w14:paraId="1A257B78"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w:t>
            </w:r>
          </w:p>
        </w:tc>
      </w:tr>
    </w:tbl>
    <w:p w14:paraId="1ED7A574" w14:textId="77777777" w:rsidR="0079701B" w:rsidRDefault="0079701B" w:rsidP="0079701B"/>
    <w:p w14:paraId="10E831D1" w14:textId="04937A06" w:rsidR="0079701B" w:rsidRDefault="0079701B" w:rsidP="0079701B">
      <w:r w:rsidRPr="00C64164">
        <w:t>The 3 peers for Marriot Inc are Hyatt Hotels Corporation, Hilton Hotels and Resorts and Intercontinental Hotels and Resorts</w:t>
      </w:r>
      <w:r>
        <w:t>.</w:t>
      </w:r>
      <w:r w:rsidRPr="00C64164">
        <w:t xml:space="preserve">  </w:t>
      </w:r>
    </w:p>
    <w:p w14:paraId="36CBDBB2" w14:textId="77777777" w:rsidR="0079701B" w:rsidRDefault="0079701B" w:rsidP="0079701B">
      <w:pPr>
        <w:pStyle w:val="ListParagraph"/>
        <w:numPr>
          <w:ilvl w:val="0"/>
          <w:numId w:val="4"/>
        </w:numPr>
      </w:pPr>
      <w:r>
        <w:t xml:space="preserve">Intercontinental hotels had slightly lower trailing P/E, forward P/E and Enterprise/EBITDA values than Marriott while Marriott had a lower Enterprise/Revenue value. While this would suggest for the most part that Marriott is overvalued compared to Intercontinental Hotels, the differences between these metrics seem too small for this to matter. As Marriot Inc has a much higher market cap compared to its Intercontinental, it has a larger market presence. But Marriot's enterprise value was over $10 billion higher than its market cap value while </w:t>
      </w:r>
      <w:proofErr w:type="spellStart"/>
      <w:r>
        <w:t>Intercontinental's</w:t>
      </w:r>
      <w:proofErr w:type="spellEnd"/>
      <w:r>
        <w:t xml:space="preserve"> enterprise value was only $3 billion higher indicating that Marriot was much more reliant on debt financing than Intercontinental. Marriott has a higher profit margin indicating they have a higher customer base while Intercontinental has triple the operating margin which shows they are much more effective at controlling costs.</w:t>
      </w:r>
    </w:p>
    <w:p w14:paraId="45B7FB0E" w14:textId="77777777" w:rsidR="0079701B" w:rsidRDefault="0079701B" w:rsidP="0079701B">
      <w:pPr>
        <w:pStyle w:val="ListParagraph"/>
        <w:numPr>
          <w:ilvl w:val="0"/>
          <w:numId w:val="4"/>
        </w:numPr>
      </w:pPr>
      <w:r>
        <w:t>Marriott hotels had much lower trailing P/E, forward P/E and Enterprise/EBITDA values than Hyatt while Hyatt had a slightly lower Enterprise/Revenue value. This implies that for the most part that Marriott is undervalued when compared to Intercontinental Hotels. Marriot Inc's market cap is much higher than Hyatt's so Marriot has a much stronger market presence. Nevertheless, Marriot's enterprise value was over $10 billion higher than its market cap value while Hyatt's enterprise value was only $2 billion higher indicating that Marriot was much more dependent on being financed by debt. Marriott has a higher profit margin indicating they have a higher customer base while Intercontinental has triple the operating margin which shows they are much more effective at controlling costs.</w:t>
      </w:r>
    </w:p>
    <w:p w14:paraId="01CE67F7" w14:textId="76BEDF95" w:rsidR="0079701B" w:rsidRDefault="0079701B" w:rsidP="000E1C3E">
      <w:pPr>
        <w:pStyle w:val="ListParagraph"/>
        <w:numPr>
          <w:ilvl w:val="0"/>
          <w:numId w:val="4"/>
        </w:numPr>
      </w:pPr>
      <w:r>
        <w:t>Marriot Inc</w:t>
      </w:r>
      <w:r w:rsidRPr="00FC6E8D">
        <w:t xml:space="preserve"> had lower trailing P/E, forward P/E</w:t>
      </w:r>
      <w:r>
        <w:t>, Enterprise/Revenue</w:t>
      </w:r>
      <w:r w:rsidRPr="00FC6E8D">
        <w:t xml:space="preserve"> and Enterprise/EBITDA values than </w:t>
      </w:r>
      <w:r>
        <w:t>Hilton Worldwide Hotels meaning that</w:t>
      </w:r>
      <w:r w:rsidRPr="00FC6E8D">
        <w:t xml:space="preserve"> Marriott is</w:t>
      </w:r>
      <w:r>
        <w:t xml:space="preserve"> under</w:t>
      </w:r>
      <w:r w:rsidRPr="00FC6E8D">
        <w:t>valued compared to</w:t>
      </w:r>
      <w:r>
        <w:t xml:space="preserve"> Hilton</w:t>
      </w:r>
      <w:r w:rsidRPr="00FC6E8D">
        <w:t xml:space="preserve">. Marriot Inc has a higher market cap </w:t>
      </w:r>
      <w:r>
        <w:t>than Hilton indicating that Marriot</w:t>
      </w:r>
      <w:r w:rsidRPr="00FC6E8D">
        <w:t xml:space="preserve"> has a larger market presence. B</w:t>
      </w:r>
      <w:r>
        <w:t>oth</w:t>
      </w:r>
      <w:r w:rsidRPr="00FC6E8D">
        <w:t xml:space="preserve"> Marriot's</w:t>
      </w:r>
      <w:r>
        <w:t xml:space="preserve"> and Hilton’s</w:t>
      </w:r>
      <w:r w:rsidRPr="00FC6E8D">
        <w:t xml:space="preserve"> enterprise value</w:t>
      </w:r>
      <w:r>
        <w:t>s</w:t>
      </w:r>
      <w:r w:rsidRPr="00FC6E8D">
        <w:t xml:space="preserve"> was over $10 billion higher than </w:t>
      </w:r>
      <w:r>
        <w:t>their respective</w:t>
      </w:r>
      <w:r w:rsidRPr="00FC6E8D">
        <w:t xml:space="preserve"> market cap value</w:t>
      </w:r>
      <w:r>
        <w:t>s</w:t>
      </w:r>
      <w:r w:rsidRPr="00FC6E8D">
        <w:t xml:space="preserve"> </w:t>
      </w:r>
      <w:r>
        <w:t>so both companies seemed somewhat</w:t>
      </w:r>
      <w:r w:rsidRPr="00FC6E8D">
        <w:t xml:space="preserve"> reliant on debt financing. Marriott has a higher </w:t>
      </w:r>
      <w:r w:rsidRPr="00FC6E8D">
        <w:lastRenderedPageBreak/>
        <w:t>profit margin</w:t>
      </w:r>
      <w:r>
        <w:t xml:space="preserve"> and operating margin</w:t>
      </w:r>
      <w:r w:rsidRPr="00FC6E8D">
        <w:t xml:space="preserve"> </w:t>
      </w:r>
      <w:r>
        <w:t>suggest</w:t>
      </w:r>
      <w:r w:rsidRPr="00FC6E8D">
        <w:t>ing th</w:t>
      </w:r>
      <w:r>
        <w:t>at Marriot</w:t>
      </w:r>
      <w:r w:rsidRPr="00FC6E8D">
        <w:t xml:space="preserve"> ha</w:t>
      </w:r>
      <w:r>
        <w:t>s</w:t>
      </w:r>
      <w:r w:rsidRPr="00FC6E8D">
        <w:t xml:space="preserve"> a higher customer base </w:t>
      </w:r>
      <w:r>
        <w:t>and is</w:t>
      </w:r>
      <w:r w:rsidRPr="00FC6E8D">
        <w:t xml:space="preserve"> much more effective at controlling costs</w:t>
      </w:r>
      <w:r>
        <w:t xml:space="preserve"> than Hilton.</w:t>
      </w:r>
    </w:p>
    <w:p w14:paraId="5AB26797" w14:textId="4084FC79" w:rsidR="00AD0BF1" w:rsidRDefault="00AD0BF1" w:rsidP="00F936A7"/>
    <w:tbl>
      <w:tblPr>
        <w:tblW w:w="10632" w:type="dxa"/>
        <w:tblInd w:w="-851" w:type="dxa"/>
        <w:tblLook w:val="04A0" w:firstRow="1" w:lastRow="0" w:firstColumn="1" w:lastColumn="0" w:noHBand="0" w:noVBand="1"/>
      </w:tblPr>
      <w:tblGrid>
        <w:gridCol w:w="2134"/>
        <w:gridCol w:w="1978"/>
        <w:gridCol w:w="1984"/>
        <w:gridCol w:w="2268"/>
        <w:gridCol w:w="2268"/>
      </w:tblGrid>
      <w:tr w:rsidR="0079701B" w:rsidRPr="00F92AC7" w14:paraId="0DAA352D" w14:textId="77777777" w:rsidTr="00E65096">
        <w:trPr>
          <w:trHeight w:val="288"/>
        </w:trPr>
        <w:tc>
          <w:tcPr>
            <w:tcW w:w="2134" w:type="dxa"/>
            <w:tcBorders>
              <w:top w:val="nil"/>
              <w:left w:val="nil"/>
              <w:bottom w:val="single" w:sz="12" w:space="0" w:color="FFFFFF"/>
              <w:right w:val="single" w:sz="4" w:space="0" w:color="FFFFFF"/>
            </w:tcBorders>
            <w:shd w:val="clear" w:color="4472C4" w:fill="4472C4"/>
            <w:noWrap/>
            <w:vAlign w:val="bottom"/>
            <w:hideMark/>
          </w:tcPr>
          <w:p w14:paraId="759FAFD0" w14:textId="77777777" w:rsidR="0079701B" w:rsidRPr="00F92AC7" w:rsidRDefault="0079701B" w:rsidP="00E65096">
            <w:pPr>
              <w:spacing w:after="0" w:line="240" w:lineRule="auto"/>
              <w:rPr>
                <w:rFonts w:ascii="Calibri" w:eastAsia="Times New Roman" w:hAnsi="Calibri" w:cs="Calibri"/>
                <w:b/>
                <w:bCs/>
                <w:color w:val="FFFFFF"/>
                <w:kern w:val="0"/>
                <w:sz w:val="18"/>
                <w:szCs w:val="18"/>
                <w:lang w:eastAsia="en-GB"/>
                <w14:ligatures w14:val="none"/>
              </w:rPr>
            </w:pPr>
            <w:r w:rsidRPr="00F92AC7">
              <w:rPr>
                <w:rFonts w:ascii="Calibri" w:eastAsia="Times New Roman" w:hAnsi="Calibri" w:cs="Calibri"/>
                <w:b/>
                <w:bCs/>
                <w:color w:val="FFFFFF"/>
                <w:kern w:val="0"/>
                <w:sz w:val="18"/>
                <w:szCs w:val="18"/>
                <w:lang w:eastAsia="en-GB"/>
                <w14:ligatures w14:val="none"/>
              </w:rPr>
              <w:t>Company</w:t>
            </w:r>
          </w:p>
        </w:tc>
        <w:tc>
          <w:tcPr>
            <w:tcW w:w="1978" w:type="dxa"/>
            <w:tcBorders>
              <w:top w:val="nil"/>
              <w:left w:val="single" w:sz="4" w:space="0" w:color="FFFFFF"/>
              <w:bottom w:val="single" w:sz="12" w:space="0" w:color="FFFFFF"/>
              <w:right w:val="single" w:sz="4" w:space="0" w:color="FFFFFF"/>
            </w:tcBorders>
            <w:shd w:val="clear" w:color="4472C4" w:fill="4472C4"/>
            <w:noWrap/>
            <w:vAlign w:val="bottom"/>
            <w:hideMark/>
          </w:tcPr>
          <w:p w14:paraId="0A28C4EA" w14:textId="77777777" w:rsidR="0079701B" w:rsidRPr="00F92AC7" w:rsidRDefault="0079701B" w:rsidP="00E65096">
            <w:pPr>
              <w:spacing w:after="0" w:line="240" w:lineRule="auto"/>
              <w:rPr>
                <w:rFonts w:ascii="Calibri" w:eastAsia="Times New Roman" w:hAnsi="Calibri" w:cs="Calibri"/>
                <w:b/>
                <w:bCs/>
                <w:color w:val="FFFFFF"/>
                <w:kern w:val="0"/>
                <w:sz w:val="18"/>
                <w:szCs w:val="18"/>
                <w:lang w:eastAsia="en-GB"/>
                <w14:ligatures w14:val="none"/>
              </w:rPr>
            </w:pPr>
            <w:r w:rsidRPr="00F92AC7">
              <w:rPr>
                <w:rFonts w:ascii="Calibri" w:eastAsia="Times New Roman" w:hAnsi="Calibri" w:cs="Calibri"/>
                <w:b/>
                <w:bCs/>
                <w:color w:val="FFFFFF"/>
                <w:kern w:val="0"/>
                <w:sz w:val="18"/>
                <w:szCs w:val="18"/>
                <w:lang w:eastAsia="en-GB"/>
                <w14:ligatures w14:val="none"/>
              </w:rPr>
              <w:t>Marriot Inc</w:t>
            </w:r>
          </w:p>
        </w:tc>
        <w:tc>
          <w:tcPr>
            <w:tcW w:w="1984" w:type="dxa"/>
            <w:tcBorders>
              <w:top w:val="nil"/>
              <w:left w:val="single" w:sz="4" w:space="0" w:color="FFFFFF"/>
              <w:bottom w:val="single" w:sz="12" w:space="0" w:color="FFFFFF"/>
              <w:right w:val="single" w:sz="4" w:space="0" w:color="FFFFFF"/>
            </w:tcBorders>
            <w:shd w:val="clear" w:color="4472C4" w:fill="4472C4"/>
            <w:noWrap/>
            <w:vAlign w:val="bottom"/>
            <w:hideMark/>
          </w:tcPr>
          <w:p w14:paraId="5916EC58" w14:textId="77777777" w:rsidR="0079701B" w:rsidRPr="00F92AC7" w:rsidRDefault="0079701B" w:rsidP="00E65096">
            <w:pPr>
              <w:spacing w:after="0" w:line="240" w:lineRule="auto"/>
              <w:rPr>
                <w:rFonts w:ascii="Calibri" w:eastAsia="Times New Roman" w:hAnsi="Calibri" w:cs="Calibri"/>
                <w:b/>
                <w:bCs/>
                <w:color w:val="FFFFFF"/>
                <w:kern w:val="0"/>
                <w:sz w:val="18"/>
                <w:szCs w:val="18"/>
                <w:lang w:eastAsia="en-GB"/>
                <w14:ligatures w14:val="none"/>
              </w:rPr>
            </w:pPr>
            <w:r w:rsidRPr="00F92AC7">
              <w:rPr>
                <w:rFonts w:ascii="Calibri" w:eastAsia="Times New Roman" w:hAnsi="Calibri" w:cs="Calibri"/>
                <w:b/>
                <w:bCs/>
                <w:color w:val="FFFFFF"/>
                <w:kern w:val="0"/>
                <w:sz w:val="18"/>
                <w:szCs w:val="18"/>
                <w:lang w:eastAsia="en-GB"/>
                <w14:ligatures w14:val="none"/>
              </w:rPr>
              <w:t>Hyatt Hotels</w:t>
            </w:r>
          </w:p>
        </w:tc>
        <w:tc>
          <w:tcPr>
            <w:tcW w:w="2268" w:type="dxa"/>
            <w:tcBorders>
              <w:top w:val="nil"/>
              <w:left w:val="single" w:sz="4" w:space="0" w:color="FFFFFF"/>
              <w:bottom w:val="single" w:sz="12" w:space="0" w:color="FFFFFF"/>
              <w:right w:val="single" w:sz="4" w:space="0" w:color="FFFFFF"/>
            </w:tcBorders>
            <w:shd w:val="clear" w:color="4472C4" w:fill="4472C4"/>
            <w:noWrap/>
            <w:vAlign w:val="bottom"/>
            <w:hideMark/>
          </w:tcPr>
          <w:p w14:paraId="5F75D3AB" w14:textId="77777777" w:rsidR="0079701B" w:rsidRPr="00F92AC7" w:rsidRDefault="0079701B" w:rsidP="00E65096">
            <w:pPr>
              <w:spacing w:after="0" w:line="240" w:lineRule="auto"/>
              <w:rPr>
                <w:rFonts w:ascii="Calibri" w:eastAsia="Times New Roman" w:hAnsi="Calibri" w:cs="Calibri"/>
                <w:b/>
                <w:bCs/>
                <w:color w:val="FFFFFF"/>
                <w:kern w:val="0"/>
                <w:sz w:val="18"/>
                <w:szCs w:val="18"/>
                <w:lang w:eastAsia="en-GB"/>
                <w14:ligatures w14:val="none"/>
              </w:rPr>
            </w:pPr>
            <w:r w:rsidRPr="00F92AC7">
              <w:rPr>
                <w:rFonts w:ascii="Calibri" w:eastAsia="Times New Roman" w:hAnsi="Calibri" w:cs="Calibri"/>
                <w:b/>
                <w:bCs/>
                <w:color w:val="FFFFFF"/>
                <w:kern w:val="0"/>
                <w:sz w:val="18"/>
                <w:szCs w:val="18"/>
                <w:lang w:eastAsia="en-GB"/>
                <w14:ligatures w14:val="none"/>
              </w:rPr>
              <w:t>Intercontinental Hotels</w:t>
            </w:r>
          </w:p>
        </w:tc>
        <w:tc>
          <w:tcPr>
            <w:tcW w:w="2268" w:type="dxa"/>
            <w:tcBorders>
              <w:top w:val="nil"/>
              <w:left w:val="single" w:sz="4" w:space="0" w:color="FFFFFF"/>
              <w:bottom w:val="single" w:sz="12" w:space="0" w:color="FFFFFF"/>
              <w:right w:val="nil"/>
            </w:tcBorders>
            <w:shd w:val="clear" w:color="4472C4" w:fill="4472C4"/>
            <w:noWrap/>
            <w:vAlign w:val="bottom"/>
            <w:hideMark/>
          </w:tcPr>
          <w:p w14:paraId="46462FF2" w14:textId="77777777" w:rsidR="0079701B" w:rsidRPr="00F92AC7" w:rsidRDefault="0079701B" w:rsidP="00E65096">
            <w:pPr>
              <w:spacing w:after="0" w:line="240" w:lineRule="auto"/>
              <w:rPr>
                <w:rFonts w:ascii="Calibri" w:eastAsia="Times New Roman" w:hAnsi="Calibri" w:cs="Calibri"/>
                <w:b/>
                <w:bCs/>
                <w:color w:val="FFFFFF"/>
                <w:kern w:val="0"/>
                <w:sz w:val="18"/>
                <w:szCs w:val="18"/>
                <w:lang w:eastAsia="en-GB"/>
                <w14:ligatures w14:val="none"/>
              </w:rPr>
            </w:pPr>
            <w:r w:rsidRPr="00F92AC7">
              <w:rPr>
                <w:rFonts w:ascii="Calibri" w:eastAsia="Times New Roman" w:hAnsi="Calibri" w:cs="Calibri"/>
                <w:b/>
                <w:bCs/>
                <w:color w:val="FFFFFF"/>
                <w:kern w:val="0"/>
                <w:sz w:val="18"/>
                <w:szCs w:val="18"/>
                <w:lang w:eastAsia="en-GB"/>
                <w14:ligatures w14:val="none"/>
              </w:rPr>
              <w:t>Hilton Worldwide Holdings</w:t>
            </w:r>
          </w:p>
        </w:tc>
      </w:tr>
      <w:tr w:rsidR="0079701B" w:rsidRPr="00F92AC7" w14:paraId="471BE435"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B4C6E7" w:fill="B4C6E7"/>
            <w:noWrap/>
            <w:vAlign w:val="bottom"/>
            <w:hideMark/>
          </w:tcPr>
          <w:p w14:paraId="55C6C627"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Stock Price</w:t>
            </w:r>
          </w:p>
        </w:tc>
        <w:tc>
          <w:tcPr>
            <w:tcW w:w="197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5ACB8F5"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251.46 </w:t>
            </w:r>
          </w:p>
        </w:tc>
        <w:tc>
          <w:tcPr>
            <w:tcW w:w="1984"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E407356"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156.51 </w:t>
            </w:r>
          </w:p>
        </w:tc>
        <w:tc>
          <w:tcPr>
            <w:tcW w:w="226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9956609"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135.86 </w:t>
            </w:r>
          </w:p>
        </w:tc>
        <w:tc>
          <w:tcPr>
            <w:tcW w:w="2268" w:type="dxa"/>
            <w:tcBorders>
              <w:top w:val="single" w:sz="4" w:space="0" w:color="FFFFFF"/>
              <w:left w:val="single" w:sz="4" w:space="0" w:color="FFFFFF"/>
              <w:bottom w:val="single" w:sz="4" w:space="0" w:color="FFFFFF"/>
              <w:right w:val="nil"/>
            </w:tcBorders>
            <w:shd w:val="clear" w:color="B4C6E7" w:fill="B4C6E7"/>
            <w:noWrap/>
            <w:vAlign w:val="bottom"/>
            <w:hideMark/>
          </w:tcPr>
          <w:p w14:paraId="53783F29"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206.80 </w:t>
            </w:r>
          </w:p>
        </w:tc>
      </w:tr>
      <w:tr w:rsidR="0079701B" w:rsidRPr="00F92AC7" w14:paraId="394D98C7"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D9E1F2" w:fill="D9E1F2"/>
            <w:noWrap/>
            <w:vAlign w:val="bottom"/>
            <w:hideMark/>
          </w:tcPr>
          <w:p w14:paraId="140E96B4"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Market Cap</w:t>
            </w:r>
          </w:p>
        </w:tc>
        <w:tc>
          <w:tcPr>
            <w:tcW w:w="197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EB83BE1"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72,440,000,000 </w:t>
            </w:r>
          </w:p>
        </w:tc>
        <w:tc>
          <w:tcPr>
            <w:tcW w:w="1984"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4CDDDAF6"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16,120,000,000 </w:t>
            </w:r>
          </w:p>
        </w:tc>
        <w:tc>
          <w:tcPr>
            <w:tcW w:w="226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626005B"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22,054,400,000.00 </w:t>
            </w:r>
          </w:p>
        </w:tc>
        <w:tc>
          <w:tcPr>
            <w:tcW w:w="2268" w:type="dxa"/>
            <w:tcBorders>
              <w:top w:val="single" w:sz="4" w:space="0" w:color="FFFFFF"/>
              <w:left w:val="single" w:sz="4" w:space="0" w:color="FFFFFF"/>
              <w:bottom w:val="single" w:sz="4" w:space="0" w:color="FFFFFF"/>
              <w:right w:val="nil"/>
            </w:tcBorders>
            <w:shd w:val="clear" w:color="D9E1F2" w:fill="D9E1F2"/>
            <w:noWrap/>
            <w:vAlign w:val="bottom"/>
            <w:hideMark/>
          </w:tcPr>
          <w:p w14:paraId="2AE89FF7"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51,870,000,000 </w:t>
            </w:r>
          </w:p>
        </w:tc>
      </w:tr>
      <w:tr w:rsidR="0079701B" w:rsidRPr="00F92AC7" w14:paraId="0BDFE07B"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B4C6E7" w:fill="B4C6E7"/>
            <w:noWrap/>
            <w:vAlign w:val="bottom"/>
            <w:hideMark/>
          </w:tcPr>
          <w:p w14:paraId="70EAE028"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Enterprise Value</w:t>
            </w:r>
          </w:p>
        </w:tc>
        <w:tc>
          <w:tcPr>
            <w:tcW w:w="197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DA664E0"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84,870,000,000 </w:t>
            </w:r>
          </w:p>
        </w:tc>
        <w:tc>
          <w:tcPr>
            <w:tcW w:w="1984"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378D970"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18,600,000,000 </w:t>
            </w:r>
          </w:p>
        </w:tc>
        <w:tc>
          <w:tcPr>
            <w:tcW w:w="226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E3A8576"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25,024,000,000.00 </w:t>
            </w:r>
          </w:p>
        </w:tc>
        <w:tc>
          <w:tcPr>
            <w:tcW w:w="2268" w:type="dxa"/>
            <w:tcBorders>
              <w:top w:val="single" w:sz="4" w:space="0" w:color="FFFFFF"/>
              <w:left w:val="single" w:sz="4" w:space="0" w:color="FFFFFF"/>
              <w:bottom w:val="single" w:sz="4" w:space="0" w:color="FFFFFF"/>
              <w:right w:val="nil"/>
            </w:tcBorders>
            <w:shd w:val="clear" w:color="B4C6E7" w:fill="B4C6E7"/>
            <w:noWrap/>
            <w:vAlign w:val="bottom"/>
            <w:hideMark/>
          </w:tcPr>
          <w:p w14:paraId="261EEFBD"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 xml:space="preserve"> $           61,190,000,000 </w:t>
            </w:r>
          </w:p>
        </w:tc>
      </w:tr>
      <w:tr w:rsidR="0079701B" w:rsidRPr="00F92AC7" w14:paraId="063C3BCE"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D9E1F2" w:fill="D9E1F2"/>
            <w:noWrap/>
            <w:vAlign w:val="bottom"/>
            <w:hideMark/>
          </w:tcPr>
          <w:p w14:paraId="26B398B7"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Trailing P/E</w:t>
            </w:r>
          </w:p>
        </w:tc>
        <w:tc>
          <w:tcPr>
            <w:tcW w:w="197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F669A3"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24.58</w:t>
            </w:r>
          </w:p>
        </w:tc>
        <w:tc>
          <w:tcPr>
            <w:tcW w:w="1984"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23F8527"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76.44</w:t>
            </w:r>
          </w:p>
        </w:tc>
        <w:tc>
          <w:tcPr>
            <w:tcW w:w="226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9E41B6E"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24.01</w:t>
            </w:r>
          </w:p>
        </w:tc>
        <w:tc>
          <w:tcPr>
            <w:tcW w:w="2268" w:type="dxa"/>
            <w:tcBorders>
              <w:top w:val="single" w:sz="4" w:space="0" w:color="FFFFFF"/>
              <w:left w:val="single" w:sz="4" w:space="0" w:color="FFFFFF"/>
              <w:bottom w:val="single" w:sz="4" w:space="0" w:color="FFFFFF"/>
              <w:right w:val="nil"/>
            </w:tcBorders>
            <w:shd w:val="clear" w:color="D9E1F2" w:fill="D9E1F2"/>
            <w:noWrap/>
            <w:vAlign w:val="bottom"/>
            <w:hideMark/>
          </w:tcPr>
          <w:p w14:paraId="6EFD4B3C"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47.51</w:t>
            </w:r>
          </w:p>
        </w:tc>
      </w:tr>
      <w:tr w:rsidR="0079701B" w:rsidRPr="00F92AC7" w14:paraId="015F3DAF"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B4C6E7" w:fill="B4C6E7"/>
            <w:noWrap/>
            <w:vAlign w:val="bottom"/>
            <w:hideMark/>
          </w:tcPr>
          <w:p w14:paraId="4FCEFCD1"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Forward P/E</w:t>
            </w:r>
          </w:p>
        </w:tc>
        <w:tc>
          <w:tcPr>
            <w:tcW w:w="197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2C5B37E"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26.67</w:t>
            </w:r>
          </w:p>
        </w:tc>
        <w:tc>
          <w:tcPr>
            <w:tcW w:w="1984"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583D340"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43.48</w:t>
            </w:r>
          </w:p>
        </w:tc>
        <w:tc>
          <w:tcPr>
            <w:tcW w:w="226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D4BF600"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24.63</w:t>
            </w:r>
          </w:p>
        </w:tc>
        <w:tc>
          <w:tcPr>
            <w:tcW w:w="2268" w:type="dxa"/>
            <w:tcBorders>
              <w:top w:val="single" w:sz="4" w:space="0" w:color="FFFFFF"/>
              <w:left w:val="single" w:sz="4" w:space="0" w:color="FFFFFF"/>
              <w:bottom w:val="single" w:sz="4" w:space="0" w:color="FFFFFF"/>
              <w:right w:val="nil"/>
            </w:tcBorders>
            <w:shd w:val="clear" w:color="B4C6E7" w:fill="B4C6E7"/>
            <w:noWrap/>
            <w:vAlign w:val="bottom"/>
            <w:hideMark/>
          </w:tcPr>
          <w:p w14:paraId="562916DF"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29.15</w:t>
            </w:r>
          </w:p>
        </w:tc>
      </w:tr>
      <w:tr w:rsidR="0079701B" w:rsidRPr="00F92AC7" w14:paraId="73B7D3E6"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D9E1F2" w:fill="D9E1F2"/>
            <w:noWrap/>
            <w:vAlign w:val="bottom"/>
            <w:hideMark/>
          </w:tcPr>
          <w:p w14:paraId="3DCE1FCB"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Enterprise Value/Revenue</w:t>
            </w:r>
          </w:p>
        </w:tc>
        <w:tc>
          <w:tcPr>
            <w:tcW w:w="197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7A67196"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3.58</w:t>
            </w:r>
          </w:p>
        </w:tc>
        <w:tc>
          <w:tcPr>
            <w:tcW w:w="1984"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7604755"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2.79</w:t>
            </w:r>
          </w:p>
        </w:tc>
        <w:tc>
          <w:tcPr>
            <w:tcW w:w="226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39D586E"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4.23</w:t>
            </w:r>
          </w:p>
        </w:tc>
        <w:tc>
          <w:tcPr>
            <w:tcW w:w="2268" w:type="dxa"/>
            <w:tcBorders>
              <w:top w:val="single" w:sz="4" w:space="0" w:color="FFFFFF"/>
              <w:left w:val="single" w:sz="4" w:space="0" w:color="FFFFFF"/>
              <w:bottom w:val="single" w:sz="4" w:space="0" w:color="FFFFFF"/>
              <w:right w:val="nil"/>
            </w:tcBorders>
            <w:shd w:val="clear" w:color="D9E1F2" w:fill="D9E1F2"/>
            <w:noWrap/>
            <w:vAlign w:val="bottom"/>
            <w:hideMark/>
          </w:tcPr>
          <w:p w14:paraId="4656318D"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5.98</w:t>
            </w:r>
          </w:p>
        </w:tc>
      </w:tr>
      <w:tr w:rsidR="0079701B" w:rsidRPr="00F92AC7" w14:paraId="792FF2B5"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B4C6E7" w:fill="B4C6E7"/>
            <w:noWrap/>
            <w:vAlign w:val="bottom"/>
            <w:hideMark/>
          </w:tcPr>
          <w:p w14:paraId="6E490B0C"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Enterprise Value/EBITDA</w:t>
            </w:r>
          </w:p>
        </w:tc>
        <w:tc>
          <w:tcPr>
            <w:tcW w:w="197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0339CC2A"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20.11</w:t>
            </w:r>
          </w:p>
        </w:tc>
        <w:tc>
          <w:tcPr>
            <w:tcW w:w="1984"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B5A2406"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20.80</w:t>
            </w:r>
          </w:p>
        </w:tc>
        <w:tc>
          <w:tcPr>
            <w:tcW w:w="2268"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C24DFF0"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15.33</w:t>
            </w:r>
          </w:p>
        </w:tc>
        <w:tc>
          <w:tcPr>
            <w:tcW w:w="2268" w:type="dxa"/>
            <w:tcBorders>
              <w:top w:val="single" w:sz="4" w:space="0" w:color="FFFFFF"/>
              <w:left w:val="single" w:sz="4" w:space="0" w:color="FFFFFF"/>
              <w:bottom w:val="single" w:sz="4" w:space="0" w:color="FFFFFF"/>
              <w:right w:val="nil"/>
            </w:tcBorders>
            <w:shd w:val="clear" w:color="B4C6E7" w:fill="B4C6E7"/>
            <w:noWrap/>
            <w:vAlign w:val="bottom"/>
            <w:hideMark/>
          </w:tcPr>
          <w:p w14:paraId="1DAFB7EE"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26.57</w:t>
            </w:r>
          </w:p>
        </w:tc>
      </w:tr>
      <w:tr w:rsidR="0079701B" w:rsidRPr="00F92AC7" w14:paraId="47961B8E" w14:textId="77777777" w:rsidTr="00E65096">
        <w:trPr>
          <w:trHeight w:val="288"/>
        </w:trPr>
        <w:tc>
          <w:tcPr>
            <w:tcW w:w="2134" w:type="dxa"/>
            <w:tcBorders>
              <w:top w:val="single" w:sz="4" w:space="0" w:color="FFFFFF"/>
              <w:left w:val="nil"/>
              <w:bottom w:val="single" w:sz="4" w:space="0" w:color="FFFFFF"/>
              <w:right w:val="single" w:sz="4" w:space="0" w:color="FFFFFF"/>
            </w:tcBorders>
            <w:shd w:val="clear" w:color="D9E1F2" w:fill="D9E1F2"/>
            <w:noWrap/>
            <w:vAlign w:val="bottom"/>
            <w:hideMark/>
          </w:tcPr>
          <w:p w14:paraId="3F7F145F"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Profit Margin</w:t>
            </w:r>
          </w:p>
        </w:tc>
        <w:tc>
          <w:tcPr>
            <w:tcW w:w="197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93D5BDA"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0.49</w:t>
            </w:r>
          </w:p>
        </w:tc>
        <w:tc>
          <w:tcPr>
            <w:tcW w:w="1984"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1F97DC9"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0.03</w:t>
            </w:r>
          </w:p>
        </w:tc>
        <w:tc>
          <w:tcPr>
            <w:tcW w:w="2268"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2B5B355A"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0.35</w:t>
            </w:r>
          </w:p>
        </w:tc>
        <w:tc>
          <w:tcPr>
            <w:tcW w:w="2268" w:type="dxa"/>
            <w:tcBorders>
              <w:top w:val="single" w:sz="4" w:space="0" w:color="FFFFFF"/>
              <w:left w:val="single" w:sz="4" w:space="0" w:color="FFFFFF"/>
              <w:bottom w:val="single" w:sz="4" w:space="0" w:color="FFFFFF"/>
              <w:right w:val="nil"/>
            </w:tcBorders>
            <w:shd w:val="clear" w:color="D9E1F2" w:fill="D9E1F2"/>
            <w:noWrap/>
            <w:vAlign w:val="bottom"/>
            <w:hideMark/>
          </w:tcPr>
          <w:p w14:paraId="651A9369"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0.26</w:t>
            </w:r>
          </w:p>
        </w:tc>
      </w:tr>
      <w:tr w:rsidR="0079701B" w:rsidRPr="00F92AC7" w14:paraId="6F069BBE" w14:textId="77777777" w:rsidTr="00E65096">
        <w:trPr>
          <w:trHeight w:val="288"/>
        </w:trPr>
        <w:tc>
          <w:tcPr>
            <w:tcW w:w="2134" w:type="dxa"/>
            <w:tcBorders>
              <w:top w:val="single" w:sz="4" w:space="0" w:color="FFFFFF"/>
              <w:left w:val="nil"/>
              <w:bottom w:val="nil"/>
              <w:right w:val="single" w:sz="4" w:space="0" w:color="FFFFFF"/>
            </w:tcBorders>
            <w:shd w:val="clear" w:color="B4C6E7" w:fill="B4C6E7"/>
            <w:noWrap/>
            <w:vAlign w:val="bottom"/>
            <w:hideMark/>
          </w:tcPr>
          <w:p w14:paraId="64ABEC74" w14:textId="77777777" w:rsidR="0079701B" w:rsidRPr="00F92AC7" w:rsidRDefault="0079701B" w:rsidP="00E65096">
            <w:pPr>
              <w:spacing w:after="0" w:line="240" w:lineRule="auto"/>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Operating Margin</w:t>
            </w:r>
          </w:p>
        </w:tc>
        <w:tc>
          <w:tcPr>
            <w:tcW w:w="1978" w:type="dxa"/>
            <w:tcBorders>
              <w:top w:val="single" w:sz="4" w:space="0" w:color="FFFFFF"/>
              <w:left w:val="single" w:sz="4" w:space="0" w:color="FFFFFF"/>
              <w:bottom w:val="nil"/>
              <w:right w:val="single" w:sz="4" w:space="0" w:color="FFFFFF"/>
            </w:tcBorders>
            <w:shd w:val="clear" w:color="B4C6E7" w:fill="B4C6E7"/>
            <w:noWrap/>
            <w:vAlign w:val="bottom"/>
            <w:hideMark/>
          </w:tcPr>
          <w:p w14:paraId="329AFE20"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0.43</w:t>
            </w:r>
          </w:p>
        </w:tc>
        <w:tc>
          <w:tcPr>
            <w:tcW w:w="1984" w:type="dxa"/>
            <w:tcBorders>
              <w:top w:val="single" w:sz="4" w:space="0" w:color="FFFFFF"/>
              <w:left w:val="single" w:sz="4" w:space="0" w:color="FFFFFF"/>
              <w:bottom w:val="nil"/>
              <w:right w:val="single" w:sz="4" w:space="0" w:color="FFFFFF"/>
            </w:tcBorders>
            <w:shd w:val="clear" w:color="B4C6E7" w:fill="B4C6E7"/>
            <w:noWrap/>
            <w:vAlign w:val="bottom"/>
            <w:hideMark/>
          </w:tcPr>
          <w:p w14:paraId="7F13DF3F"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0.04</w:t>
            </w:r>
          </w:p>
        </w:tc>
        <w:tc>
          <w:tcPr>
            <w:tcW w:w="2268" w:type="dxa"/>
            <w:tcBorders>
              <w:top w:val="single" w:sz="4" w:space="0" w:color="FFFFFF"/>
              <w:left w:val="single" w:sz="4" w:space="0" w:color="FFFFFF"/>
              <w:bottom w:val="nil"/>
              <w:right w:val="single" w:sz="4" w:space="0" w:color="FFFFFF"/>
            </w:tcBorders>
            <w:shd w:val="clear" w:color="B4C6E7" w:fill="B4C6E7"/>
            <w:noWrap/>
            <w:vAlign w:val="bottom"/>
            <w:hideMark/>
          </w:tcPr>
          <w:p w14:paraId="38687AFC"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1.21</w:t>
            </w:r>
          </w:p>
        </w:tc>
        <w:tc>
          <w:tcPr>
            <w:tcW w:w="2268" w:type="dxa"/>
            <w:tcBorders>
              <w:top w:val="single" w:sz="4" w:space="0" w:color="FFFFFF"/>
              <w:left w:val="single" w:sz="4" w:space="0" w:color="FFFFFF"/>
              <w:bottom w:val="nil"/>
              <w:right w:val="nil"/>
            </w:tcBorders>
            <w:shd w:val="clear" w:color="B4C6E7" w:fill="B4C6E7"/>
            <w:noWrap/>
            <w:vAlign w:val="bottom"/>
            <w:hideMark/>
          </w:tcPr>
          <w:p w14:paraId="1B42DC35" w14:textId="77777777" w:rsidR="0079701B" w:rsidRPr="00F92AC7" w:rsidRDefault="0079701B" w:rsidP="00E65096">
            <w:pPr>
              <w:spacing w:after="0" w:line="240" w:lineRule="auto"/>
              <w:jc w:val="right"/>
              <w:rPr>
                <w:rFonts w:ascii="Calibri" w:eastAsia="Times New Roman" w:hAnsi="Calibri" w:cs="Calibri"/>
                <w:color w:val="000000"/>
                <w:kern w:val="0"/>
                <w:sz w:val="18"/>
                <w:szCs w:val="18"/>
                <w:lang w:eastAsia="en-GB"/>
                <w14:ligatures w14:val="none"/>
              </w:rPr>
            </w:pPr>
            <w:r w:rsidRPr="00F92AC7">
              <w:rPr>
                <w:rFonts w:ascii="Calibri" w:eastAsia="Times New Roman" w:hAnsi="Calibri" w:cs="Calibri"/>
                <w:color w:val="000000"/>
                <w:kern w:val="0"/>
                <w:sz w:val="18"/>
                <w:szCs w:val="18"/>
                <w:lang w:eastAsia="en-GB"/>
                <w14:ligatures w14:val="none"/>
              </w:rPr>
              <w:t>0.39</w:t>
            </w:r>
          </w:p>
        </w:tc>
      </w:tr>
    </w:tbl>
    <w:p w14:paraId="4210EF4B" w14:textId="07EF8F44" w:rsidR="000E1C3E" w:rsidRDefault="000E1C3E" w:rsidP="00F936A7"/>
    <w:p w14:paraId="3BFDC3C8" w14:textId="3A27DD70" w:rsidR="0079701B" w:rsidRDefault="00242594" w:rsidP="00F936A7">
      <w:r>
        <w:rPr>
          <w:noProof/>
        </w:rPr>
        <w:drawing>
          <wp:inline distT="0" distB="0" distL="0" distR="0" wp14:anchorId="2666D3ED" wp14:editId="51DCF474">
            <wp:extent cx="4547235" cy="2714625"/>
            <wp:effectExtent l="0" t="0" r="5715" b="9525"/>
            <wp:docPr id="1755221008" name="Chart 1">
              <a:extLst xmlns:a="http://schemas.openxmlformats.org/drawingml/2006/main">
                <a:ext uri="{FF2B5EF4-FFF2-40B4-BE49-F238E27FC236}">
                  <a16:creationId xmlns:a16="http://schemas.microsoft.com/office/drawing/2014/main" id="{24F3C041-A32E-80FC-B9C2-E8488B3C65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3313D8" w14:textId="7DBD218E" w:rsidR="00242594" w:rsidRDefault="00242594" w:rsidP="00F936A7">
      <w:r>
        <w:rPr>
          <w:noProof/>
        </w:rPr>
        <w:drawing>
          <wp:inline distT="0" distB="0" distL="0" distR="0" wp14:anchorId="5BBD4649" wp14:editId="073E488C">
            <wp:extent cx="4572000" cy="2691493"/>
            <wp:effectExtent l="0" t="0" r="0" b="13970"/>
            <wp:docPr id="1315290108" name="Chart 1">
              <a:extLst xmlns:a="http://schemas.openxmlformats.org/drawingml/2006/main">
                <a:ext uri="{FF2B5EF4-FFF2-40B4-BE49-F238E27FC236}">
                  <a16:creationId xmlns:a16="http://schemas.microsoft.com/office/drawing/2014/main" id="{7E983D39-B973-CAD4-5EE4-419CC619B7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715D83" w14:textId="189DF87E" w:rsidR="00242594" w:rsidRDefault="00242594" w:rsidP="00F936A7">
      <w:r>
        <w:rPr>
          <w:noProof/>
        </w:rPr>
        <w:lastRenderedPageBreak/>
        <w:drawing>
          <wp:inline distT="0" distB="0" distL="0" distR="0" wp14:anchorId="7F52B484" wp14:editId="22E420E1">
            <wp:extent cx="4577443" cy="2684145"/>
            <wp:effectExtent l="0" t="0" r="13970" b="1905"/>
            <wp:docPr id="337239794" name="Chart 1">
              <a:extLst xmlns:a="http://schemas.openxmlformats.org/drawingml/2006/main">
                <a:ext uri="{FF2B5EF4-FFF2-40B4-BE49-F238E27FC236}">
                  <a16:creationId xmlns:a16="http://schemas.microsoft.com/office/drawing/2014/main" id="{543B8F24-C5FD-C3EF-2EA1-F2F6F4247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9C30" w14:textId="09D7D83D" w:rsidR="0064564F" w:rsidRDefault="00C119A1" w:rsidP="00F936A7">
      <w:r w:rsidRPr="00C119A1">
        <w:t>Johnson &amp; Johnson is medical technology company that is valued at a market capitalisation of $375.32 billion and employ 132,000 people.</w:t>
      </w:r>
      <w:r>
        <w:t xml:space="preserve"> </w:t>
      </w:r>
      <w:r w:rsidR="001527CF">
        <w:t xml:space="preserve">While list prices for Johnson &amp; Johnson couldn’t be found, </w:t>
      </w:r>
      <w:r w:rsidR="0049122B">
        <w:t xml:space="preserve">net price data is available. Net prices are the prices charged by a company after rebates, discounts and/or fees. </w:t>
      </w:r>
      <w:r w:rsidR="00402E25">
        <w:t>The 2022 Jansen US Pricing Transparency brief states that  f</w:t>
      </w:r>
      <w:r w:rsidR="0049122B">
        <w:t>rom 2021 to 2022, net prices fell by 3.5% despite revenue increasing by 1%</w:t>
      </w:r>
      <w:r w:rsidR="00B349F7">
        <w:t xml:space="preserve"> (3) </w:t>
      </w:r>
      <w:r w:rsidR="0049122B">
        <w:t xml:space="preserve">. </w:t>
      </w:r>
      <w:r w:rsidR="00402E25">
        <w:t>This is further reinforced by how prices overall fell by 0.8% in 2022 while sales volume rose by 6.9%.</w:t>
      </w:r>
      <w:r w:rsidR="009368B5">
        <w:t xml:space="preserve"> </w:t>
      </w:r>
      <w:r w:rsidR="0049122B">
        <w:t>This means that a higher sales volume led to the higher revenue</w:t>
      </w:r>
      <w:r w:rsidR="009368B5">
        <w:t xml:space="preserve"> than prices</w:t>
      </w:r>
      <w:r w:rsidR="00B349F7">
        <w:t xml:space="preserve"> (4) </w:t>
      </w:r>
      <w:r w:rsidR="009368B5">
        <w:t>.</w:t>
      </w:r>
    </w:p>
    <w:p w14:paraId="71CAF48E" w14:textId="4AAD7C7A" w:rsidR="00C70304" w:rsidRDefault="00374E06" w:rsidP="00C70304">
      <w:r>
        <w:t xml:space="preserve">Patents have been an effective driver of revenue such as Johnson &amp; Johnson’s product </w:t>
      </w:r>
      <w:r w:rsidRPr="00374E06">
        <w:t>STELARA</w:t>
      </w:r>
      <w:r>
        <w:t xml:space="preserve"> making up roughly 10.2% of revenue in 2022. </w:t>
      </w:r>
      <w:r w:rsidR="00F30351">
        <w:t xml:space="preserve">The second product </w:t>
      </w:r>
      <w:r w:rsidR="00F30351" w:rsidRPr="00F30351">
        <w:t>DARZALEX</w:t>
      </w:r>
      <w:r w:rsidR="00F30351">
        <w:t xml:space="preserve"> was approximately 8.4% of revenues.</w:t>
      </w:r>
      <w:r w:rsidR="0064564F">
        <w:t xml:space="preserve"> </w:t>
      </w:r>
      <w:r w:rsidR="00F30351">
        <w:t>The related cost of accumulated amortization was half the gross revenue of patents and trademarks, leading to net patent profit being half of patent revenue.</w:t>
      </w:r>
      <w:r w:rsidR="00A700D4">
        <w:t xml:space="preserve"> So accumulated amortization had a 50% correlation with patent revenues.</w:t>
      </w:r>
      <w:r w:rsidR="00402E25">
        <w:t xml:space="preserve"> In addition, t</w:t>
      </w:r>
      <w:r w:rsidR="0064564F">
        <w:t>he most effective revenue driver is n</w:t>
      </w:r>
      <w:r w:rsidR="00C70304">
        <w:t>ew products</w:t>
      </w:r>
      <w:r w:rsidR="0064564F">
        <w:t xml:space="preserve"> that have been</w:t>
      </w:r>
      <w:r w:rsidR="00C70304">
        <w:t xml:space="preserve"> introduced within the past five years </w:t>
      </w:r>
      <w:r w:rsidR="0064564F">
        <w:t>where they accounted for</w:t>
      </w:r>
      <w:r w:rsidR="00C70304">
        <w:t xml:space="preserve"> approximately 25% of 2022 sales.</w:t>
      </w:r>
      <w:r w:rsidR="00371676">
        <w:t xml:space="preserve"> </w:t>
      </w:r>
      <w:r w:rsidR="008D0B00">
        <w:t>Th</w:t>
      </w:r>
      <w:r w:rsidR="00402E25">
        <w:t xml:space="preserve">is revenue driver can most likely be attributed to research and development costs which can range from 19% to 22% of costs which is roughly </w:t>
      </w:r>
      <w:proofErr w:type="gramStart"/>
      <w:r w:rsidR="00402E25">
        <w:t>similar to</w:t>
      </w:r>
      <w:proofErr w:type="gramEnd"/>
      <w:r w:rsidR="00402E25">
        <w:t xml:space="preserve"> the revenue driver of new products.</w:t>
      </w:r>
      <w:r w:rsidR="004A0348">
        <w:t xml:space="preserve"> This research and development </w:t>
      </w:r>
      <w:proofErr w:type="gramStart"/>
      <w:r w:rsidR="004A0348">
        <w:t>is</w:t>
      </w:r>
      <w:proofErr w:type="gramEnd"/>
      <w:r w:rsidR="004A0348">
        <w:t xml:space="preserve"> a variable cost that is based on improving Johnson &amp; Johnson’s products and services. </w:t>
      </w:r>
      <w:r w:rsidR="00402E25">
        <w:t>Therefore, the cost driver of research and development costs are strongly correlated with new products.</w:t>
      </w:r>
      <w:r w:rsidR="004A0348">
        <w:t xml:space="preserve"> </w:t>
      </w:r>
    </w:p>
    <w:p w14:paraId="4CCE213C" w14:textId="79C0F6D4" w:rsidR="0064564F" w:rsidRDefault="008C1A1B" w:rsidP="00371676">
      <w:r>
        <w:t xml:space="preserve">Furthermore, </w:t>
      </w:r>
      <w:r w:rsidR="00B26962">
        <w:t xml:space="preserve">Johnson &amp; Johnson had 3 segments for their wholesalers distributing products representing </w:t>
      </w:r>
      <w:r w:rsidR="00371676">
        <w:t xml:space="preserve">14%, 11% and 11% in 2021 and 16.5%, 13% and 12% respectively in 2022 of total consolidated revenues. In 2018, the Company announced restructuring plans to implement actions across its Global Supply Chain that included improving its supply chain network and growing their strategic collaborations which leads directly to wholesale distributions and negotiations. This makes restructuring plans the cost equivalent of wholesale distributions, but there is not much of a correlation between these drivers since restructuring makes less than 0.5% of </w:t>
      </w:r>
      <w:r w:rsidR="00402E25">
        <w:t>costs</w:t>
      </w:r>
      <w:r w:rsidR="00371676">
        <w:t>.</w:t>
      </w:r>
      <w:r w:rsidR="002A65CA">
        <w:t xml:space="preserve"> This is a variable cost since this will rise as negotiations with wholesale distributers increase. Overall, </w:t>
      </w:r>
      <w:r w:rsidR="00364AF9">
        <w:t>Johnson &amp; Johnson</w:t>
      </w:r>
      <w:r w:rsidR="008F091B">
        <w:t xml:space="preserve"> was able to keep costs down relative to revenue growth. </w:t>
      </w:r>
    </w:p>
    <w:tbl>
      <w:tblPr>
        <w:tblW w:w="9400" w:type="dxa"/>
        <w:tblLook w:val="04A0" w:firstRow="1" w:lastRow="0" w:firstColumn="1" w:lastColumn="0" w:noHBand="0" w:noVBand="1"/>
      </w:tblPr>
      <w:tblGrid>
        <w:gridCol w:w="4180"/>
        <w:gridCol w:w="680"/>
        <w:gridCol w:w="720"/>
        <w:gridCol w:w="760"/>
        <w:gridCol w:w="700"/>
        <w:gridCol w:w="720"/>
        <w:gridCol w:w="820"/>
        <w:gridCol w:w="820"/>
      </w:tblGrid>
      <w:tr w:rsidR="00CD7DC6" w:rsidRPr="00CD7DC6" w14:paraId="143145C7" w14:textId="77777777" w:rsidTr="00CD7DC6">
        <w:trPr>
          <w:trHeight w:val="288"/>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8D04"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CA5803D"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2022</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43556F7"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D55FB0D"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468CF9D7"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295977F6"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2022</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85BDD73"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74B70C0"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2020</w:t>
            </w:r>
          </w:p>
        </w:tc>
      </w:tr>
      <w:tr w:rsidR="00CD7DC6" w:rsidRPr="00CD7DC6" w14:paraId="4E522111"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14E9678"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Costs</w:t>
            </w:r>
          </w:p>
        </w:tc>
        <w:tc>
          <w:tcPr>
            <w:tcW w:w="680" w:type="dxa"/>
            <w:tcBorders>
              <w:top w:val="nil"/>
              <w:left w:val="nil"/>
              <w:bottom w:val="single" w:sz="4" w:space="0" w:color="auto"/>
              <w:right w:val="single" w:sz="4" w:space="0" w:color="auto"/>
            </w:tcBorders>
            <w:shd w:val="clear" w:color="auto" w:fill="auto"/>
            <w:noWrap/>
            <w:vAlign w:val="bottom"/>
            <w:hideMark/>
          </w:tcPr>
          <w:p w14:paraId="7EEF55C1"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EB9B6FD"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60" w:type="dxa"/>
            <w:tcBorders>
              <w:top w:val="nil"/>
              <w:left w:val="nil"/>
              <w:bottom w:val="single" w:sz="4" w:space="0" w:color="auto"/>
              <w:right w:val="single" w:sz="4" w:space="0" w:color="auto"/>
            </w:tcBorders>
            <w:shd w:val="clear" w:color="auto" w:fill="auto"/>
            <w:noWrap/>
            <w:vAlign w:val="bottom"/>
            <w:hideMark/>
          </w:tcPr>
          <w:p w14:paraId="75ADD4B5"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00" w:type="dxa"/>
            <w:tcBorders>
              <w:top w:val="nil"/>
              <w:left w:val="nil"/>
              <w:bottom w:val="single" w:sz="4" w:space="0" w:color="auto"/>
              <w:right w:val="single" w:sz="4" w:space="0" w:color="auto"/>
            </w:tcBorders>
            <w:shd w:val="clear" w:color="auto" w:fill="auto"/>
            <w:noWrap/>
            <w:vAlign w:val="bottom"/>
            <w:hideMark/>
          </w:tcPr>
          <w:p w14:paraId="28C62AED"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236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6993A6"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Cost Percentile Breakdown</w:t>
            </w:r>
          </w:p>
        </w:tc>
      </w:tr>
      <w:tr w:rsidR="00CD7DC6" w:rsidRPr="00CD7DC6" w14:paraId="59C7F22C"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FCB7A3E"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lastRenderedPageBreak/>
              <w:t>Cost of products sold</w:t>
            </w:r>
          </w:p>
        </w:tc>
        <w:tc>
          <w:tcPr>
            <w:tcW w:w="680" w:type="dxa"/>
            <w:tcBorders>
              <w:top w:val="nil"/>
              <w:left w:val="nil"/>
              <w:bottom w:val="single" w:sz="4" w:space="0" w:color="auto"/>
              <w:right w:val="single" w:sz="4" w:space="0" w:color="auto"/>
            </w:tcBorders>
            <w:shd w:val="clear" w:color="auto" w:fill="auto"/>
            <w:noWrap/>
            <w:vAlign w:val="bottom"/>
            <w:hideMark/>
          </w:tcPr>
          <w:p w14:paraId="7C1D7A0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31089</w:t>
            </w:r>
          </w:p>
        </w:tc>
        <w:tc>
          <w:tcPr>
            <w:tcW w:w="720" w:type="dxa"/>
            <w:tcBorders>
              <w:top w:val="nil"/>
              <w:left w:val="nil"/>
              <w:bottom w:val="single" w:sz="4" w:space="0" w:color="auto"/>
              <w:right w:val="single" w:sz="4" w:space="0" w:color="auto"/>
            </w:tcBorders>
            <w:shd w:val="clear" w:color="auto" w:fill="auto"/>
            <w:noWrap/>
            <w:vAlign w:val="bottom"/>
            <w:hideMark/>
          </w:tcPr>
          <w:p w14:paraId="11DF7920"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29855</w:t>
            </w:r>
          </w:p>
        </w:tc>
        <w:tc>
          <w:tcPr>
            <w:tcW w:w="760" w:type="dxa"/>
            <w:tcBorders>
              <w:top w:val="nil"/>
              <w:left w:val="nil"/>
              <w:bottom w:val="single" w:sz="4" w:space="0" w:color="auto"/>
              <w:right w:val="single" w:sz="4" w:space="0" w:color="auto"/>
            </w:tcBorders>
            <w:shd w:val="clear" w:color="auto" w:fill="auto"/>
            <w:noWrap/>
            <w:vAlign w:val="bottom"/>
            <w:hideMark/>
          </w:tcPr>
          <w:p w14:paraId="4536699C"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28427</w:t>
            </w:r>
          </w:p>
        </w:tc>
        <w:tc>
          <w:tcPr>
            <w:tcW w:w="700" w:type="dxa"/>
            <w:tcBorders>
              <w:top w:val="nil"/>
              <w:left w:val="nil"/>
              <w:bottom w:val="single" w:sz="4" w:space="0" w:color="auto"/>
              <w:right w:val="single" w:sz="4" w:space="0" w:color="auto"/>
            </w:tcBorders>
            <w:shd w:val="clear" w:color="auto" w:fill="auto"/>
            <w:noWrap/>
            <w:vAlign w:val="bottom"/>
            <w:hideMark/>
          </w:tcPr>
          <w:p w14:paraId="537E6D39"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3430FE99"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43.28%</w:t>
            </w:r>
          </w:p>
        </w:tc>
        <w:tc>
          <w:tcPr>
            <w:tcW w:w="820" w:type="dxa"/>
            <w:tcBorders>
              <w:top w:val="nil"/>
              <w:left w:val="nil"/>
              <w:bottom w:val="single" w:sz="4" w:space="0" w:color="auto"/>
              <w:right w:val="single" w:sz="4" w:space="0" w:color="auto"/>
            </w:tcBorders>
            <w:shd w:val="clear" w:color="auto" w:fill="auto"/>
            <w:noWrap/>
            <w:vAlign w:val="bottom"/>
            <w:hideMark/>
          </w:tcPr>
          <w:p w14:paraId="56A3F3B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42.31%</w:t>
            </w:r>
          </w:p>
        </w:tc>
        <w:tc>
          <w:tcPr>
            <w:tcW w:w="820" w:type="dxa"/>
            <w:tcBorders>
              <w:top w:val="nil"/>
              <w:left w:val="nil"/>
              <w:bottom w:val="single" w:sz="4" w:space="0" w:color="auto"/>
              <w:right w:val="single" w:sz="4" w:space="0" w:color="auto"/>
            </w:tcBorders>
            <w:shd w:val="clear" w:color="auto" w:fill="auto"/>
            <w:noWrap/>
            <w:vAlign w:val="bottom"/>
            <w:hideMark/>
          </w:tcPr>
          <w:p w14:paraId="6AC9C643"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44.91%</w:t>
            </w:r>
          </w:p>
        </w:tc>
      </w:tr>
      <w:tr w:rsidR="00CD7DC6" w:rsidRPr="00CD7DC6" w14:paraId="615719F4"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6A2694F"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Selling, marketing and administrative expenses</w:t>
            </w:r>
          </w:p>
        </w:tc>
        <w:tc>
          <w:tcPr>
            <w:tcW w:w="680" w:type="dxa"/>
            <w:tcBorders>
              <w:top w:val="nil"/>
              <w:left w:val="nil"/>
              <w:bottom w:val="single" w:sz="4" w:space="0" w:color="auto"/>
              <w:right w:val="single" w:sz="4" w:space="0" w:color="auto"/>
            </w:tcBorders>
            <w:shd w:val="clear" w:color="auto" w:fill="auto"/>
            <w:noWrap/>
            <w:vAlign w:val="bottom"/>
            <w:hideMark/>
          </w:tcPr>
          <w:p w14:paraId="7FAEE80B"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24765</w:t>
            </w:r>
          </w:p>
        </w:tc>
        <w:tc>
          <w:tcPr>
            <w:tcW w:w="720" w:type="dxa"/>
            <w:tcBorders>
              <w:top w:val="nil"/>
              <w:left w:val="nil"/>
              <w:bottom w:val="single" w:sz="4" w:space="0" w:color="auto"/>
              <w:right w:val="single" w:sz="4" w:space="0" w:color="auto"/>
            </w:tcBorders>
            <w:shd w:val="clear" w:color="auto" w:fill="auto"/>
            <w:noWrap/>
            <w:vAlign w:val="bottom"/>
            <w:hideMark/>
          </w:tcPr>
          <w:p w14:paraId="7408E0DC"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24659</w:t>
            </w:r>
          </w:p>
        </w:tc>
        <w:tc>
          <w:tcPr>
            <w:tcW w:w="760" w:type="dxa"/>
            <w:tcBorders>
              <w:top w:val="nil"/>
              <w:left w:val="nil"/>
              <w:bottom w:val="single" w:sz="4" w:space="0" w:color="auto"/>
              <w:right w:val="single" w:sz="4" w:space="0" w:color="auto"/>
            </w:tcBorders>
            <w:shd w:val="clear" w:color="auto" w:fill="auto"/>
            <w:noWrap/>
            <w:vAlign w:val="bottom"/>
            <w:hideMark/>
          </w:tcPr>
          <w:p w14:paraId="13A7434C"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22084</w:t>
            </w:r>
          </w:p>
        </w:tc>
        <w:tc>
          <w:tcPr>
            <w:tcW w:w="700" w:type="dxa"/>
            <w:tcBorders>
              <w:top w:val="nil"/>
              <w:left w:val="nil"/>
              <w:bottom w:val="single" w:sz="4" w:space="0" w:color="auto"/>
              <w:right w:val="single" w:sz="4" w:space="0" w:color="auto"/>
            </w:tcBorders>
            <w:shd w:val="clear" w:color="auto" w:fill="auto"/>
            <w:noWrap/>
            <w:vAlign w:val="bottom"/>
            <w:hideMark/>
          </w:tcPr>
          <w:p w14:paraId="12CD7954"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FB44043"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34.47%</w:t>
            </w:r>
          </w:p>
        </w:tc>
        <w:tc>
          <w:tcPr>
            <w:tcW w:w="820" w:type="dxa"/>
            <w:tcBorders>
              <w:top w:val="nil"/>
              <w:left w:val="nil"/>
              <w:bottom w:val="single" w:sz="4" w:space="0" w:color="auto"/>
              <w:right w:val="single" w:sz="4" w:space="0" w:color="auto"/>
            </w:tcBorders>
            <w:shd w:val="clear" w:color="auto" w:fill="auto"/>
            <w:noWrap/>
            <w:vAlign w:val="bottom"/>
            <w:hideMark/>
          </w:tcPr>
          <w:p w14:paraId="711245BE"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34.95%</w:t>
            </w:r>
          </w:p>
        </w:tc>
        <w:tc>
          <w:tcPr>
            <w:tcW w:w="820" w:type="dxa"/>
            <w:tcBorders>
              <w:top w:val="nil"/>
              <w:left w:val="nil"/>
              <w:bottom w:val="single" w:sz="4" w:space="0" w:color="auto"/>
              <w:right w:val="single" w:sz="4" w:space="0" w:color="auto"/>
            </w:tcBorders>
            <w:shd w:val="clear" w:color="auto" w:fill="auto"/>
            <w:noWrap/>
            <w:vAlign w:val="bottom"/>
            <w:hideMark/>
          </w:tcPr>
          <w:p w14:paraId="650A9085"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34.89%</w:t>
            </w:r>
          </w:p>
        </w:tc>
      </w:tr>
      <w:tr w:rsidR="00CD7DC6" w:rsidRPr="00CD7DC6" w14:paraId="58500B9E"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58B8519"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Research and development expenses</w:t>
            </w:r>
          </w:p>
        </w:tc>
        <w:tc>
          <w:tcPr>
            <w:tcW w:w="680" w:type="dxa"/>
            <w:tcBorders>
              <w:top w:val="nil"/>
              <w:left w:val="nil"/>
              <w:bottom w:val="single" w:sz="4" w:space="0" w:color="auto"/>
              <w:right w:val="single" w:sz="4" w:space="0" w:color="auto"/>
            </w:tcBorders>
            <w:shd w:val="clear" w:color="auto" w:fill="auto"/>
            <w:noWrap/>
            <w:vAlign w:val="bottom"/>
            <w:hideMark/>
          </w:tcPr>
          <w:p w14:paraId="347DF9A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14603</w:t>
            </w:r>
          </w:p>
        </w:tc>
        <w:tc>
          <w:tcPr>
            <w:tcW w:w="720" w:type="dxa"/>
            <w:tcBorders>
              <w:top w:val="nil"/>
              <w:left w:val="nil"/>
              <w:bottom w:val="single" w:sz="4" w:space="0" w:color="auto"/>
              <w:right w:val="single" w:sz="4" w:space="0" w:color="auto"/>
            </w:tcBorders>
            <w:shd w:val="clear" w:color="auto" w:fill="auto"/>
            <w:noWrap/>
            <w:vAlign w:val="bottom"/>
            <w:hideMark/>
          </w:tcPr>
          <w:p w14:paraId="5FDF793F"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14714</w:t>
            </w:r>
          </w:p>
        </w:tc>
        <w:tc>
          <w:tcPr>
            <w:tcW w:w="760" w:type="dxa"/>
            <w:tcBorders>
              <w:top w:val="nil"/>
              <w:left w:val="nil"/>
              <w:bottom w:val="single" w:sz="4" w:space="0" w:color="auto"/>
              <w:right w:val="single" w:sz="4" w:space="0" w:color="auto"/>
            </w:tcBorders>
            <w:shd w:val="clear" w:color="auto" w:fill="auto"/>
            <w:noWrap/>
            <w:vAlign w:val="bottom"/>
            <w:hideMark/>
          </w:tcPr>
          <w:p w14:paraId="1B3B5036"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12159</w:t>
            </w:r>
          </w:p>
        </w:tc>
        <w:tc>
          <w:tcPr>
            <w:tcW w:w="700" w:type="dxa"/>
            <w:tcBorders>
              <w:top w:val="nil"/>
              <w:left w:val="nil"/>
              <w:bottom w:val="single" w:sz="4" w:space="0" w:color="auto"/>
              <w:right w:val="single" w:sz="4" w:space="0" w:color="auto"/>
            </w:tcBorders>
            <w:shd w:val="clear" w:color="auto" w:fill="auto"/>
            <w:noWrap/>
            <w:vAlign w:val="bottom"/>
            <w:hideMark/>
          </w:tcPr>
          <w:p w14:paraId="4D80F7CA"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EE7DB"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20.33%</w:t>
            </w:r>
          </w:p>
        </w:tc>
        <w:tc>
          <w:tcPr>
            <w:tcW w:w="820" w:type="dxa"/>
            <w:tcBorders>
              <w:top w:val="nil"/>
              <w:left w:val="nil"/>
              <w:bottom w:val="single" w:sz="4" w:space="0" w:color="auto"/>
              <w:right w:val="single" w:sz="4" w:space="0" w:color="auto"/>
            </w:tcBorders>
            <w:shd w:val="clear" w:color="auto" w:fill="auto"/>
            <w:noWrap/>
            <w:vAlign w:val="bottom"/>
            <w:hideMark/>
          </w:tcPr>
          <w:p w14:paraId="3C01B6D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20.85%</w:t>
            </w:r>
          </w:p>
        </w:tc>
        <w:tc>
          <w:tcPr>
            <w:tcW w:w="820" w:type="dxa"/>
            <w:tcBorders>
              <w:top w:val="nil"/>
              <w:left w:val="nil"/>
              <w:bottom w:val="single" w:sz="4" w:space="0" w:color="auto"/>
              <w:right w:val="single" w:sz="4" w:space="0" w:color="auto"/>
            </w:tcBorders>
            <w:shd w:val="clear" w:color="auto" w:fill="auto"/>
            <w:noWrap/>
            <w:vAlign w:val="bottom"/>
            <w:hideMark/>
          </w:tcPr>
          <w:p w14:paraId="28D040BB"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19.21%</w:t>
            </w:r>
          </w:p>
        </w:tc>
      </w:tr>
      <w:tr w:rsidR="00CD7DC6" w:rsidRPr="00CD7DC6" w14:paraId="7D73DCAB"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1DA8365"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xml:space="preserve">In-process research </w:t>
            </w:r>
            <w:proofErr w:type="spellStart"/>
            <w:proofErr w:type="gramStart"/>
            <w:r w:rsidRPr="00CD7DC6">
              <w:rPr>
                <w:rFonts w:ascii="Calibri" w:eastAsia="Times New Roman" w:hAnsi="Calibri" w:cs="Calibri"/>
                <w:color w:val="000000"/>
                <w:kern w:val="0"/>
                <w:sz w:val="16"/>
                <w:szCs w:val="16"/>
                <w:lang w:eastAsia="en-GB"/>
                <w14:ligatures w14:val="none"/>
              </w:rPr>
              <w:t>an</w:t>
            </w:r>
            <w:proofErr w:type="spellEnd"/>
            <w:proofErr w:type="gramEnd"/>
            <w:r w:rsidRPr="00CD7DC6">
              <w:rPr>
                <w:rFonts w:ascii="Calibri" w:eastAsia="Times New Roman" w:hAnsi="Calibri" w:cs="Calibri"/>
                <w:color w:val="000000"/>
                <w:kern w:val="0"/>
                <w:sz w:val="16"/>
                <w:szCs w:val="16"/>
                <w:lang w:eastAsia="en-GB"/>
                <w14:ligatures w14:val="none"/>
              </w:rPr>
              <w:t xml:space="preserve"> development (Note 5)</w:t>
            </w:r>
          </w:p>
        </w:tc>
        <w:tc>
          <w:tcPr>
            <w:tcW w:w="680" w:type="dxa"/>
            <w:tcBorders>
              <w:top w:val="nil"/>
              <w:left w:val="nil"/>
              <w:bottom w:val="single" w:sz="4" w:space="0" w:color="auto"/>
              <w:right w:val="single" w:sz="4" w:space="0" w:color="auto"/>
            </w:tcBorders>
            <w:shd w:val="clear" w:color="auto" w:fill="auto"/>
            <w:noWrap/>
            <w:vAlign w:val="bottom"/>
            <w:hideMark/>
          </w:tcPr>
          <w:p w14:paraId="06EF68C0"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783</w:t>
            </w:r>
          </w:p>
        </w:tc>
        <w:tc>
          <w:tcPr>
            <w:tcW w:w="720" w:type="dxa"/>
            <w:tcBorders>
              <w:top w:val="nil"/>
              <w:left w:val="nil"/>
              <w:bottom w:val="single" w:sz="4" w:space="0" w:color="auto"/>
              <w:right w:val="single" w:sz="4" w:space="0" w:color="auto"/>
            </w:tcBorders>
            <w:shd w:val="clear" w:color="auto" w:fill="auto"/>
            <w:noWrap/>
            <w:vAlign w:val="bottom"/>
            <w:hideMark/>
          </w:tcPr>
          <w:p w14:paraId="299243ED"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900</w:t>
            </w:r>
          </w:p>
        </w:tc>
        <w:tc>
          <w:tcPr>
            <w:tcW w:w="760" w:type="dxa"/>
            <w:tcBorders>
              <w:top w:val="nil"/>
              <w:left w:val="nil"/>
              <w:bottom w:val="single" w:sz="4" w:space="0" w:color="auto"/>
              <w:right w:val="single" w:sz="4" w:space="0" w:color="auto"/>
            </w:tcBorders>
            <w:shd w:val="clear" w:color="auto" w:fill="auto"/>
            <w:noWrap/>
            <w:vAlign w:val="bottom"/>
            <w:hideMark/>
          </w:tcPr>
          <w:p w14:paraId="6B449B16"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181</w:t>
            </w:r>
          </w:p>
        </w:tc>
        <w:tc>
          <w:tcPr>
            <w:tcW w:w="700" w:type="dxa"/>
            <w:tcBorders>
              <w:top w:val="nil"/>
              <w:left w:val="nil"/>
              <w:bottom w:val="single" w:sz="4" w:space="0" w:color="auto"/>
              <w:right w:val="single" w:sz="4" w:space="0" w:color="auto"/>
            </w:tcBorders>
            <w:shd w:val="clear" w:color="auto" w:fill="auto"/>
            <w:noWrap/>
            <w:vAlign w:val="bottom"/>
            <w:hideMark/>
          </w:tcPr>
          <w:p w14:paraId="41FE797A"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A87191B"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1.09%</w:t>
            </w:r>
          </w:p>
        </w:tc>
        <w:tc>
          <w:tcPr>
            <w:tcW w:w="820" w:type="dxa"/>
            <w:tcBorders>
              <w:top w:val="nil"/>
              <w:left w:val="nil"/>
              <w:bottom w:val="single" w:sz="4" w:space="0" w:color="auto"/>
              <w:right w:val="single" w:sz="4" w:space="0" w:color="auto"/>
            </w:tcBorders>
            <w:shd w:val="clear" w:color="auto" w:fill="auto"/>
            <w:noWrap/>
            <w:vAlign w:val="bottom"/>
            <w:hideMark/>
          </w:tcPr>
          <w:p w14:paraId="0BDB0E35"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1.28%</w:t>
            </w:r>
          </w:p>
        </w:tc>
        <w:tc>
          <w:tcPr>
            <w:tcW w:w="820" w:type="dxa"/>
            <w:tcBorders>
              <w:top w:val="nil"/>
              <w:left w:val="nil"/>
              <w:bottom w:val="single" w:sz="4" w:space="0" w:color="auto"/>
              <w:right w:val="single" w:sz="4" w:space="0" w:color="auto"/>
            </w:tcBorders>
            <w:shd w:val="clear" w:color="auto" w:fill="auto"/>
            <w:noWrap/>
            <w:vAlign w:val="bottom"/>
            <w:hideMark/>
          </w:tcPr>
          <w:p w14:paraId="6DBCC23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0.29%</w:t>
            </w:r>
          </w:p>
        </w:tc>
      </w:tr>
      <w:tr w:rsidR="00CD7DC6" w:rsidRPr="00CD7DC6" w14:paraId="5C2B9FAB"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60E595EA"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Interest expense, net of portion capitalized (Note 4)</w:t>
            </w:r>
          </w:p>
        </w:tc>
        <w:tc>
          <w:tcPr>
            <w:tcW w:w="680" w:type="dxa"/>
            <w:tcBorders>
              <w:top w:val="nil"/>
              <w:left w:val="nil"/>
              <w:bottom w:val="single" w:sz="4" w:space="0" w:color="auto"/>
              <w:right w:val="single" w:sz="4" w:space="0" w:color="auto"/>
            </w:tcBorders>
            <w:shd w:val="clear" w:color="auto" w:fill="auto"/>
            <w:noWrap/>
            <w:vAlign w:val="bottom"/>
            <w:hideMark/>
          </w:tcPr>
          <w:p w14:paraId="62B50D5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276</w:t>
            </w:r>
          </w:p>
        </w:tc>
        <w:tc>
          <w:tcPr>
            <w:tcW w:w="720" w:type="dxa"/>
            <w:tcBorders>
              <w:top w:val="nil"/>
              <w:left w:val="nil"/>
              <w:bottom w:val="single" w:sz="4" w:space="0" w:color="auto"/>
              <w:right w:val="single" w:sz="4" w:space="0" w:color="auto"/>
            </w:tcBorders>
            <w:shd w:val="clear" w:color="auto" w:fill="auto"/>
            <w:noWrap/>
            <w:vAlign w:val="bottom"/>
            <w:hideMark/>
          </w:tcPr>
          <w:p w14:paraId="56CDD2EB"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183</w:t>
            </w:r>
          </w:p>
        </w:tc>
        <w:tc>
          <w:tcPr>
            <w:tcW w:w="760" w:type="dxa"/>
            <w:tcBorders>
              <w:top w:val="nil"/>
              <w:left w:val="nil"/>
              <w:bottom w:val="single" w:sz="4" w:space="0" w:color="auto"/>
              <w:right w:val="single" w:sz="4" w:space="0" w:color="auto"/>
            </w:tcBorders>
            <w:shd w:val="clear" w:color="auto" w:fill="auto"/>
            <w:noWrap/>
            <w:vAlign w:val="bottom"/>
            <w:hideMark/>
          </w:tcPr>
          <w:p w14:paraId="31215511"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201</w:t>
            </w:r>
          </w:p>
        </w:tc>
        <w:tc>
          <w:tcPr>
            <w:tcW w:w="700" w:type="dxa"/>
            <w:tcBorders>
              <w:top w:val="nil"/>
              <w:left w:val="nil"/>
              <w:bottom w:val="single" w:sz="4" w:space="0" w:color="auto"/>
              <w:right w:val="single" w:sz="4" w:space="0" w:color="auto"/>
            </w:tcBorders>
            <w:shd w:val="clear" w:color="auto" w:fill="auto"/>
            <w:noWrap/>
            <w:vAlign w:val="bottom"/>
            <w:hideMark/>
          </w:tcPr>
          <w:p w14:paraId="66C942E4"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52181D3D"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0.38%</w:t>
            </w:r>
          </w:p>
        </w:tc>
        <w:tc>
          <w:tcPr>
            <w:tcW w:w="820" w:type="dxa"/>
            <w:tcBorders>
              <w:top w:val="nil"/>
              <w:left w:val="nil"/>
              <w:bottom w:val="single" w:sz="4" w:space="0" w:color="auto"/>
              <w:right w:val="single" w:sz="4" w:space="0" w:color="auto"/>
            </w:tcBorders>
            <w:shd w:val="clear" w:color="auto" w:fill="auto"/>
            <w:noWrap/>
            <w:vAlign w:val="bottom"/>
            <w:hideMark/>
          </w:tcPr>
          <w:p w14:paraId="02268308"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0.26%</w:t>
            </w:r>
          </w:p>
        </w:tc>
        <w:tc>
          <w:tcPr>
            <w:tcW w:w="820" w:type="dxa"/>
            <w:tcBorders>
              <w:top w:val="nil"/>
              <w:left w:val="nil"/>
              <w:bottom w:val="single" w:sz="4" w:space="0" w:color="auto"/>
              <w:right w:val="single" w:sz="4" w:space="0" w:color="auto"/>
            </w:tcBorders>
            <w:shd w:val="clear" w:color="auto" w:fill="auto"/>
            <w:noWrap/>
            <w:vAlign w:val="bottom"/>
            <w:hideMark/>
          </w:tcPr>
          <w:p w14:paraId="1A7D8387"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0.32%</w:t>
            </w:r>
          </w:p>
        </w:tc>
      </w:tr>
      <w:tr w:rsidR="00CD7DC6" w:rsidRPr="00CD7DC6" w14:paraId="1E29DFEF"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0995ADC"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Restructuring (Note 20)</w:t>
            </w:r>
          </w:p>
        </w:tc>
        <w:tc>
          <w:tcPr>
            <w:tcW w:w="680" w:type="dxa"/>
            <w:tcBorders>
              <w:top w:val="nil"/>
              <w:left w:val="nil"/>
              <w:bottom w:val="single" w:sz="4" w:space="0" w:color="auto"/>
              <w:right w:val="single" w:sz="4" w:space="0" w:color="auto"/>
            </w:tcBorders>
            <w:shd w:val="clear" w:color="auto" w:fill="auto"/>
            <w:noWrap/>
            <w:vAlign w:val="bottom"/>
            <w:hideMark/>
          </w:tcPr>
          <w:p w14:paraId="663F6770"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321</w:t>
            </w:r>
          </w:p>
        </w:tc>
        <w:tc>
          <w:tcPr>
            <w:tcW w:w="720" w:type="dxa"/>
            <w:tcBorders>
              <w:top w:val="nil"/>
              <w:left w:val="nil"/>
              <w:bottom w:val="single" w:sz="4" w:space="0" w:color="auto"/>
              <w:right w:val="single" w:sz="4" w:space="0" w:color="auto"/>
            </w:tcBorders>
            <w:shd w:val="clear" w:color="auto" w:fill="auto"/>
            <w:noWrap/>
            <w:vAlign w:val="bottom"/>
            <w:hideMark/>
          </w:tcPr>
          <w:p w14:paraId="29701266"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252</w:t>
            </w:r>
          </w:p>
        </w:tc>
        <w:tc>
          <w:tcPr>
            <w:tcW w:w="760" w:type="dxa"/>
            <w:tcBorders>
              <w:top w:val="nil"/>
              <w:left w:val="nil"/>
              <w:bottom w:val="single" w:sz="4" w:space="0" w:color="auto"/>
              <w:right w:val="single" w:sz="4" w:space="0" w:color="auto"/>
            </w:tcBorders>
            <w:shd w:val="clear" w:color="auto" w:fill="auto"/>
            <w:noWrap/>
            <w:vAlign w:val="bottom"/>
            <w:hideMark/>
          </w:tcPr>
          <w:p w14:paraId="4B7E9D4F"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247</w:t>
            </w:r>
          </w:p>
        </w:tc>
        <w:tc>
          <w:tcPr>
            <w:tcW w:w="700" w:type="dxa"/>
            <w:tcBorders>
              <w:top w:val="nil"/>
              <w:left w:val="nil"/>
              <w:bottom w:val="single" w:sz="4" w:space="0" w:color="auto"/>
              <w:right w:val="single" w:sz="4" w:space="0" w:color="auto"/>
            </w:tcBorders>
            <w:shd w:val="clear" w:color="auto" w:fill="auto"/>
            <w:noWrap/>
            <w:vAlign w:val="bottom"/>
            <w:hideMark/>
          </w:tcPr>
          <w:p w14:paraId="5365B9C3"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0094546C"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0.45%</w:t>
            </w:r>
          </w:p>
        </w:tc>
        <w:tc>
          <w:tcPr>
            <w:tcW w:w="820" w:type="dxa"/>
            <w:tcBorders>
              <w:top w:val="nil"/>
              <w:left w:val="nil"/>
              <w:bottom w:val="single" w:sz="4" w:space="0" w:color="auto"/>
              <w:right w:val="single" w:sz="4" w:space="0" w:color="auto"/>
            </w:tcBorders>
            <w:shd w:val="clear" w:color="auto" w:fill="auto"/>
            <w:noWrap/>
            <w:vAlign w:val="bottom"/>
            <w:hideMark/>
          </w:tcPr>
          <w:p w14:paraId="557759E5"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0.36%</w:t>
            </w:r>
          </w:p>
        </w:tc>
        <w:tc>
          <w:tcPr>
            <w:tcW w:w="820" w:type="dxa"/>
            <w:tcBorders>
              <w:top w:val="nil"/>
              <w:left w:val="nil"/>
              <w:bottom w:val="single" w:sz="4" w:space="0" w:color="auto"/>
              <w:right w:val="single" w:sz="4" w:space="0" w:color="auto"/>
            </w:tcBorders>
            <w:shd w:val="clear" w:color="auto" w:fill="auto"/>
            <w:noWrap/>
            <w:vAlign w:val="bottom"/>
            <w:hideMark/>
          </w:tcPr>
          <w:p w14:paraId="5EC09BE7"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0.39%</w:t>
            </w:r>
          </w:p>
        </w:tc>
      </w:tr>
      <w:tr w:rsidR="00CD7DC6" w:rsidRPr="00CD7DC6" w14:paraId="14D9F125" w14:textId="77777777" w:rsidTr="00CD7DC6">
        <w:trPr>
          <w:trHeight w:val="288"/>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4780A6B2"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Total Costs</w:t>
            </w:r>
          </w:p>
        </w:tc>
        <w:tc>
          <w:tcPr>
            <w:tcW w:w="680" w:type="dxa"/>
            <w:tcBorders>
              <w:top w:val="nil"/>
              <w:left w:val="nil"/>
              <w:bottom w:val="single" w:sz="4" w:space="0" w:color="auto"/>
              <w:right w:val="single" w:sz="4" w:space="0" w:color="auto"/>
            </w:tcBorders>
            <w:shd w:val="clear" w:color="auto" w:fill="auto"/>
            <w:noWrap/>
            <w:vAlign w:val="bottom"/>
            <w:hideMark/>
          </w:tcPr>
          <w:p w14:paraId="2D87D075"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71837</w:t>
            </w:r>
          </w:p>
        </w:tc>
        <w:tc>
          <w:tcPr>
            <w:tcW w:w="720" w:type="dxa"/>
            <w:tcBorders>
              <w:top w:val="nil"/>
              <w:left w:val="nil"/>
              <w:bottom w:val="single" w:sz="4" w:space="0" w:color="auto"/>
              <w:right w:val="single" w:sz="4" w:space="0" w:color="auto"/>
            </w:tcBorders>
            <w:shd w:val="clear" w:color="auto" w:fill="auto"/>
            <w:noWrap/>
            <w:vAlign w:val="bottom"/>
            <w:hideMark/>
          </w:tcPr>
          <w:p w14:paraId="4E54F185"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70563</w:t>
            </w:r>
          </w:p>
        </w:tc>
        <w:tc>
          <w:tcPr>
            <w:tcW w:w="760" w:type="dxa"/>
            <w:tcBorders>
              <w:top w:val="nil"/>
              <w:left w:val="nil"/>
              <w:bottom w:val="single" w:sz="4" w:space="0" w:color="auto"/>
              <w:right w:val="single" w:sz="4" w:space="0" w:color="auto"/>
            </w:tcBorders>
            <w:shd w:val="clear" w:color="auto" w:fill="auto"/>
            <w:noWrap/>
            <w:vAlign w:val="bottom"/>
            <w:hideMark/>
          </w:tcPr>
          <w:p w14:paraId="2BC24D11" w14:textId="77777777" w:rsidR="00CD7DC6" w:rsidRPr="00CD7DC6" w:rsidRDefault="00CD7DC6" w:rsidP="00CD7DC6">
            <w:pPr>
              <w:spacing w:after="0" w:line="240" w:lineRule="auto"/>
              <w:jc w:val="right"/>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63299</w:t>
            </w:r>
          </w:p>
        </w:tc>
        <w:tc>
          <w:tcPr>
            <w:tcW w:w="700" w:type="dxa"/>
            <w:tcBorders>
              <w:top w:val="nil"/>
              <w:left w:val="nil"/>
              <w:bottom w:val="single" w:sz="4" w:space="0" w:color="auto"/>
              <w:right w:val="single" w:sz="4" w:space="0" w:color="auto"/>
            </w:tcBorders>
            <w:shd w:val="clear" w:color="auto" w:fill="auto"/>
            <w:noWrap/>
            <w:vAlign w:val="bottom"/>
            <w:hideMark/>
          </w:tcPr>
          <w:p w14:paraId="58133F2B"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720" w:type="dxa"/>
            <w:tcBorders>
              <w:top w:val="nil"/>
              <w:left w:val="nil"/>
              <w:bottom w:val="single" w:sz="4" w:space="0" w:color="auto"/>
              <w:right w:val="single" w:sz="4" w:space="0" w:color="auto"/>
            </w:tcBorders>
            <w:shd w:val="clear" w:color="auto" w:fill="auto"/>
            <w:noWrap/>
            <w:vAlign w:val="bottom"/>
            <w:hideMark/>
          </w:tcPr>
          <w:p w14:paraId="756B4516"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2F464F7C"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c>
          <w:tcPr>
            <w:tcW w:w="820" w:type="dxa"/>
            <w:tcBorders>
              <w:top w:val="nil"/>
              <w:left w:val="nil"/>
              <w:bottom w:val="single" w:sz="4" w:space="0" w:color="auto"/>
              <w:right w:val="single" w:sz="4" w:space="0" w:color="auto"/>
            </w:tcBorders>
            <w:shd w:val="clear" w:color="auto" w:fill="auto"/>
            <w:noWrap/>
            <w:vAlign w:val="bottom"/>
            <w:hideMark/>
          </w:tcPr>
          <w:p w14:paraId="37641081" w14:textId="77777777" w:rsidR="00CD7DC6" w:rsidRPr="00CD7DC6" w:rsidRDefault="00CD7DC6" w:rsidP="00CD7DC6">
            <w:pPr>
              <w:spacing w:after="0" w:line="240" w:lineRule="auto"/>
              <w:rPr>
                <w:rFonts w:ascii="Calibri" w:eastAsia="Times New Roman" w:hAnsi="Calibri" w:cs="Calibri"/>
                <w:color w:val="000000"/>
                <w:kern w:val="0"/>
                <w:sz w:val="16"/>
                <w:szCs w:val="16"/>
                <w:lang w:eastAsia="en-GB"/>
                <w14:ligatures w14:val="none"/>
              </w:rPr>
            </w:pPr>
            <w:r w:rsidRPr="00CD7DC6">
              <w:rPr>
                <w:rFonts w:ascii="Calibri" w:eastAsia="Times New Roman" w:hAnsi="Calibri" w:cs="Calibri"/>
                <w:color w:val="000000"/>
                <w:kern w:val="0"/>
                <w:sz w:val="16"/>
                <w:szCs w:val="16"/>
                <w:lang w:eastAsia="en-GB"/>
                <w14:ligatures w14:val="none"/>
              </w:rPr>
              <w:t> </w:t>
            </w:r>
          </w:p>
        </w:tc>
      </w:tr>
    </w:tbl>
    <w:p w14:paraId="5C2E3438" w14:textId="1E405BAB" w:rsidR="009822BE" w:rsidRDefault="009822BE" w:rsidP="00CD7DC6"/>
    <w:p w14:paraId="05DFEE42" w14:textId="69D0A5FB" w:rsidR="00A513C6" w:rsidRDefault="00A513C6" w:rsidP="00A513C6">
      <w:r w:rsidRPr="00940DDD">
        <w:t>The 3 peer</w:t>
      </w:r>
      <w:r w:rsidR="00DE66AC">
        <w:t xml:space="preserve"> companies</w:t>
      </w:r>
      <w:r w:rsidRPr="00940DDD">
        <w:t xml:space="preserve"> I have chosen for </w:t>
      </w:r>
      <w:r w:rsidR="00DE66AC">
        <w:t>Johnson &amp; Johnson</w:t>
      </w:r>
      <w:r w:rsidRPr="00940DDD">
        <w:t xml:space="preserve"> within the </w:t>
      </w:r>
      <w:r w:rsidR="00C119A1">
        <w:t>medical technology</w:t>
      </w:r>
      <w:r w:rsidRPr="00940DDD">
        <w:t xml:space="preserve"> sector are </w:t>
      </w:r>
      <w:r w:rsidR="00DE66AC">
        <w:t>Medtronic plc, Abbott Laboratories and Danaher Corporation</w:t>
      </w:r>
      <w:r w:rsidRPr="00940DDD">
        <w:t>.</w:t>
      </w:r>
    </w:p>
    <w:p w14:paraId="7AC3FC71" w14:textId="02A7964B" w:rsidR="00A513C6" w:rsidRDefault="00DE66AC" w:rsidP="00D70B94">
      <w:pPr>
        <w:pStyle w:val="ListParagraph"/>
        <w:numPr>
          <w:ilvl w:val="0"/>
          <w:numId w:val="1"/>
        </w:numPr>
      </w:pPr>
      <w:r>
        <w:t>M</w:t>
      </w:r>
      <w:r w:rsidRPr="00DE66AC">
        <w:t>e</w:t>
      </w:r>
      <w:r>
        <w:t>dtronic plc</w:t>
      </w:r>
      <w:r w:rsidRPr="00DE66AC">
        <w:t xml:space="preserve">’s trailing P/E, Enterprise value/Revenue and Enterprise value/EBITDA ratio are lower than </w:t>
      </w:r>
      <w:r>
        <w:t>Johnson &amp; Johnson</w:t>
      </w:r>
      <w:r w:rsidRPr="00DE66AC">
        <w:t xml:space="preserve">, while </w:t>
      </w:r>
      <w:r>
        <w:t>Johnsons &amp; Johnson</w:t>
      </w:r>
      <w:r w:rsidRPr="00DE66AC">
        <w:t xml:space="preserve"> only has a lower forward P/</w:t>
      </w:r>
      <w:proofErr w:type="gramStart"/>
      <w:r w:rsidRPr="00DE66AC">
        <w:t>E</w:t>
      </w:r>
      <w:proofErr w:type="gramEnd"/>
      <w:r w:rsidRPr="00DE66AC">
        <w:t xml:space="preserve"> so </w:t>
      </w:r>
      <w:r>
        <w:t>Medtronic</w:t>
      </w:r>
      <w:r w:rsidRPr="00DE66AC">
        <w:t xml:space="preserve"> is mostly undervalued compared to </w:t>
      </w:r>
      <w:r>
        <w:t>Johnson &amp; Johnson</w:t>
      </w:r>
      <w:r w:rsidR="00A513C6" w:rsidRPr="00FF7BB0">
        <w:t>. M</w:t>
      </w:r>
      <w:r w:rsidR="00A513C6">
        <w:t xml:space="preserve">oreover, </w:t>
      </w:r>
      <w:r w:rsidR="003B452E">
        <w:t>Johnson &amp; Johnson has more than triple the market capitalisation value of Medtronic plc, meaning Johnson &amp; Johnson has a greater market presence</w:t>
      </w:r>
      <w:r w:rsidR="00A513C6" w:rsidRPr="00FF7BB0">
        <w:t xml:space="preserve">. </w:t>
      </w:r>
      <w:r w:rsidR="00D70B94">
        <w:t>Both companies’</w:t>
      </w:r>
      <w:r w:rsidR="00A513C6">
        <w:t xml:space="preserve"> enterprise value didn’t differ much from its market cap value</w:t>
      </w:r>
      <w:r w:rsidR="00D70B94">
        <w:t xml:space="preserve"> implying</w:t>
      </w:r>
      <w:r w:rsidR="00A513C6">
        <w:t xml:space="preserve"> that </w:t>
      </w:r>
      <w:r w:rsidR="00D70B94">
        <w:t>neither company</w:t>
      </w:r>
      <w:r w:rsidR="00A513C6">
        <w:t xml:space="preserve"> didn’t depend much on debt for its operations. </w:t>
      </w:r>
      <w:r w:rsidR="00D70B94">
        <w:t>Johnson &amp; Johnson</w:t>
      </w:r>
      <w:r w:rsidR="00A513C6">
        <w:t xml:space="preserve"> is much more profitable, has more effective management and a greater customer base due to higher operating and profit margins than </w:t>
      </w:r>
      <w:r w:rsidR="00D70B94">
        <w:t xml:space="preserve">Medtronic plc. </w:t>
      </w:r>
    </w:p>
    <w:p w14:paraId="4BB86A2B" w14:textId="27AD7D95" w:rsidR="00A513C6" w:rsidRDefault="00F500CF" w:rsidP="00CB7F84">
      <w:pPr>
        <w:pStyle w:val="ListParagraph"/>
        <w:numPr>
          <w:ilvl w:val="0"/>
          <w:numId w:val="1"/>
        </w:numPr>
      </w:pPr>
      <w:bookmarkStart w:id="0" w:name="_Hlk161995597"/>
      <w:bookmarkStart w:id="1" w:name="_Hlk161995680"/>
      <w:r>
        <w:t>Johnson &amp; Johnson</w:t>
      </w:r>
      <w:r w:rsidRPr="00F500CF">
        <w:t xml:space="preserve"> has smaller trailing P/E, forward P/E, Enterprise/Revenue and Enterprise/EBITDA values than </w:t>
      </w:r>
      <w:r>
        <w:t>Abbott Laboratories</w:t>
      </w:r>
      <w:r w:rsidRPr="00F500CF">
        <w:t xml:space="preserve"> meaning that </w:t>
      </w:r>
      <w:r>
        <w:t>Johnson &amp; Johnson</w:t>
      </w:r>
      <w:r w:rsidRPr="00F500CF">
        <w:t xml:space="preserve"> is very undervalued compared to </w:t>
      </w:r>
      <w:r>
        <w:t>Abbott Laboratories</w:t>
      </w:r>
      <w:bookmarkEnd w:id="0"/>
      <w:r w:rsidR="00A513C6">
        <w:t xml:space="preserve">. </w:t>
      </w:r>
      <w:bookmarkEnd w:id="1"/>
      <w:r w:rsidR="00A513C6">
        <w:t>In addition,</w:t>
      </w:r>
      <w:r>
        <w:t xml:space="preserve"> Johnson &amp; Johnson</w:t>
      </w:r>
      <w:r w:rsidR="00A513C6">
        <w:t xml:space="preserve"> has a greater market presence than </w:t>
      </w:r>
      <w:r>
        <w:t>Abbot Laboratories</w:t>
      </w:r>
      <w:r w:rsidR="00A513C6">
        <w:t xml:space="preserve"> due to a much higher market capitalisation value</w:t>
      </w:r>
      <w:r w:rsidR="00CB7F84">
        <w:t>. Neither companies’ Enterprise value varies much with the market cap value</w:t>
      </w:r>
      <w:r w:rsidR="00A513C6">
        <w:t xml:space="preserve"> </w:t>
      </w:r>
      <w:r w:rsidR="00CB7F84">
        <w:t>so neither are in much debt</w:t>
      </w:r>
      <w:r w:rsidR="00A513C6">
        <w:t>. In addition,</w:t>
      </w:r>
      <w:r w:rsidR="00CB7F84">
        <w:t xml:space="preserve"> Abbot</w:t>
      </w:r>
      <w:r w:rsidR="00A513C6">
        <w:t xml:space="preserve"> is not very profitable and has a smaller customer base relative to </w:t>
      </w:r>
      <w:r w:rsidR="00CB7F84">
        <w:t>Johnson &amp; Johnson</w:t>
      </w:r>
      <w:r w:rsidR="00A513C6">
        <w:t xml:space="preserve"> due to lower profit and operating margins.</w:t>
      </w:r>
    </w:p>
    <w:p w14:paraId="7CCDDBD8" w14:textId="7AC49F49" w:rsidR="00A513C6" w:rsidRDefault="006D3A75" w:rsidP="00D02064">
      <w:pPr>
        <w:pStyle w:val="ListParagraph"/>
        <w:numPr>
          <w:ilvl w:val="0"/>
          <w:numId w:val="1"/>
        </w:numPr>
      </w:pPr>
      <w:r>
        <w:t>Danaher Corporation</w:t>
      </w:r>
      <w:r w:rsidRPr="006D3A75">
        <w:t xml:space="preserve"> has </w:t>
      </w:r>
      <w:r>
        <w:t>larg</w:t>
      </w:r>
      <w:r w:rsidRPr="006D3A75">
        <w:t xml:space="preserve">er trailing P/E, forward P/E, Enterprise/Revenue and Enterprise/EBITDA values than </w:t>
      </w:r>
      <w:r>
        <w:t>Johnson &amp; Johnson</w:t>
      </w:r>
      <w:r w:rsidRPr="006D3A75">
        <w:t xml:space="preserve"> meaning that Johnson &amp; Johnson is very undervalued compared to </w:t>
      </w:r>
      <w:r>
        <w:t>Danaher Corporation.</w:t>
      </w:r>
      <w:r w:rsidR="00D02064">
        <w:t xml:space="preserve"> </w:t>
      </w:r>
      <w:r>
        <w:t>Danaher</w:t>
      </w:r>
      <w:r w:rsidR="00A513C6">
        <w:t xml:space="preserve">’s lower market cap value demonstrates a lower market presence than </w:t>
      </w:r>
      <w:r>
        <w:t>Johnson &amp; Johnson</w:t>
      </w:r>
      <w:r w:rsidR="00A513C6">
        <w:t>.</w:t>
      </w:r>
      <w:r w:rsidR="00D02064">
        <w:t xml:space="preserve"> Like the other companies in this peer group, both Danaher and Johnson &amp; Johnson’s market cap and enterprise value are quite similar so don’t </w:t>
      </w:r>
      <w:r w:rsidR="00A513C6">
        <w:t>depend on debt for growth</w:t>
      </w:r>
      <w:r w:rsidR="00D02064">
        <w:t xml:space="preserve"> much</w:t>
      </w:r>
      <w:r w:rsidR="00A513C6">
        <w:t xml:space="preserve">. </w:t>
      </w:r>
      <w:r w:rsidR="00D02064">
        <w:t>Johnson &amp; Johnson</w:t>
      </w:r>
      <w:r w:rsidR="00A513C6" w:rsidRPr="00FA45F5">
        <w:t xml:space="preserve">’s higher operating and profit margins in contrast to </w:t>
      </w:r>
      <w:r w:rsidR="00D02064">
        <w:t>Danahe</w:t>
      </w:r>
      <w:r w:rsidR="00A513C6" w:rsidRPr="00FA45F5">
        <w:t>r’s low</w:t>
      </w:r>
      <w:r w:rsidR="00DE0A0C">
        <w:t>er</w:t>
      </w:r>
      <w:r w:rsidR="00A513C6" w:rsidRPr="00FA45F5">
        <w:t xml:space="preserve"> profit margin gives the impression that </w:t>
      </w:r>
      <w:r w:rsidR="00D02064">
        <w:t>Johnson &amp; Johnson</w:t>
      </w:r>
      <w:r w:rsidR="00A513C6" w:rsidRPr="00FA45F5">
        <w:t xml:space="preserve"> is much more profitable, has better management and a better access to a large customer base.  </w:t>
      </w:r>
    </w:p>
    <w:tbl>
      <w:tblPr>
        <w:tblW w:w="7960" w:type="dxa"/>
        <w:tblLook w:val="04A0" w:firstRow="1" w:lastRow="0" w:firstColumn="1" w:lastColumn="0" w:noHBand="0" w:noVBand="1"/>
      </w:tblPr>
      <w:tblGrid>
        <w:gridCol w:w="2200"/>
        <w:gridCol w:w="1520"/>
        <w:gridCol w:w="1360"/>
        <w:gridCol w:w="1460"/>
        <w:gridCol w:w="1420"/>
      </w:tblGrid>
      <w:tr w:rsidR="00D4031D" w:rsidRPr="00D4031D" w14:paraId="5D1D1E0F" w14:textId="77777777" w:rsidTr="00D4031D">
        <w:trPr>
          <w:trHeight w:val="288"/>
        </w:trPr>
        <w:tc>
          <w:tcPr>
            <w:tcW w:w="2200" w:type="dxa"/>
            <w:tcBorders>
              <w:top w:val="nil"/>
              <w:left w:val="nil"/>
              <w:bottom w:val="single" w:sz="12" w:space="0" w:color="FFFFFF"/>
              <w:right w:val="single" w:sz="4" w:space="0" w:color="FFFFFF"/>
            </w:tcBorders>
            <w:shd w:val="clear" w:color="4472C4" w:fill="4472C4"/>
            <w:noWrap/>
            <w:vAlign w:val="bottom"/>
            <w:hideMark/>
          </w:tcPr>
          <w:p w14:paraId="35D98B10" w14:textId="77777777" w:rsidR="00D4031D" w:rsidRPr="00D4031D" w:rsidRDefault="00D4031D" w:rsidP="00D4031D">
            <w:pPr>
              <w:spacing w:after="0" w:line="240" w:lineRule="auto"/>
              <w:rPr>
                <w:rFonts w:ascii="Calibri" w:eastAsia="Times New Roman" w:hAnsi="Calibri" w:cs="Calibri"/>
                <w:b/>
                <w:bCs/>
                <w:color w:val="FFFFFF"/>
                <w:kern w:val="0"/>
                <w:sz w:val="16"/>
                <w:szCs w:val="16"/>
                <w:lang w:eastAsia="en-GB"/>
                <w14:ligatures w14:val="none"/>
              </w:rPr>
            </w:pPr>
            <w:r w:rsidRPr="00D4031D">
              <w:rPr>
                <w:rFonts w:ascii="Calibri" w:eastAsia="Times New Roman" w:hAnsi="Calibri" w:cs="Calibri"/>
                <w:b/>
                <w:bCs/>
                <w:color w:val="FFFFFF"/>
                <w:kern w:val="0"/>
                <w:sz w:val="16"/>
                <w:szCs w:val="16"/>
                <w:lang w:eastAsia="en-GB"/>
                <w14:ligatures w14:val="none"/>
              </w:rPr>
              <w:t xml:space="preserve">Company </w:t>
            </w:r>
          </w:p>
        </w:tc>
        <w:tc>
          <w:tcPr>
            <w:tcW w:w="1520" w:type="dxa"/>
            <w:tcBorders>
              <w:top w:val="nil"/>
              <w:left w:val="single" w:sz="4" w:space="0" w:color="FFFFFF"/>
              <w:bottom w:val="single" w:sz="12" w:space="0" w:color="FFFFFF"/>
              <w:right w:val="single" w:sz="4" w:space="0" w:color="FFFFFF"/>
            </w:tcBorders>
            <w:shd w:val="clear" w:color="4472C4" w:fill="4472C4"/>
            <w:noWrap/>
            <w:vAlign w:val="bottom"/>
            <w:hideMark/>
          </w:tcPr>
          <w:p w14:paraId="75B8C17F" w14:textId="77777777" w:rsidR="00D4031D" w:rsidRPr="00D4031D" w:rsidRDefault="00D4031D" w:rsidP="00D4031D">
            <w:pPr>
              <w:spacing w:after="0" w:line="240" w:lineRule="auto"/>
              <w:rPr>
                <w:rFonts w:ascii="Calibri" w:eastAsia="Times New Roman" w:hAnsi="Calibri" w:cs="Calibri"/>
                <w:b/>
                <w:bCs/>
                <w:color w:val="FFFFFF"/>
                <w:kern w:val="0"/>
                <w:sz w:val="16"/>
                <w:szCs w:val="16"/>
                <w:lang w:eastAsia="en-GB"/>
                <w14:ligatures w14:val="none"/>
              </w:rPr>
            </w:pPr>
            <w:r w:rsidRPr="00D4031D">
              <w:rPr>
                <w:rFonts w:ascii="Calibri" w:eastAsia="Times New Roman" w:hAnsi="Calibri" w:cs="Calibri"/>
                <w:b/>
                <w:bCs/>
                <w:color w:val="FFFFFF"/>
                <w:kern w:val="0"/>
                <w:sz w:val="16"/>
                <w:szCs w:val="16"/>
                <w:lang w:eastAsia="en-GB"/>
                <w14:ligatures w14:val="none"/>
              </w:rPr>
              <w:t>Johnson &amp; Johnson</w:t>
            </w:r>
          </w:p>
        </w:tc>
        <w:tc>
          <w:tcPr>
            <w:tcW w:w="1360" w:type="dxa"/>
            <w:tcBorders>
              <w:top w:val="nil"/>
              <w:left w:val="single" w:sz="4" w:space="0" w:color="FFFFFF"/>
              <w:bottom w:val="single" w:sz="12" w:space="0" w:color="FFFFFF"/>
              <w:right w:val="single" w:sz="4" w:space="0" w:color="FFFFFF"/>
            </w:tcBorders>
            <w:shd w:val="clear" w:color="4472C4" w:fill="4472C4"/>
            <w:noWrap/>
            <w:vAlign w:val="bottom"/>
            <w:hideMark/>
          </w:tcPr>
          <w:p w14:paraId="4BE4196D" w14:textId="77777777" w:rsidR="00D4031D" w:rsidRPr="00D4031D" w:rsidRDefault="00D4031D" w:rsidP="00D4031D">
            <w:pPr>
              <w:spacing w:after="0" w:line="240" w:lineRule="auto"/>
              <w:rPr>
                <w:rFonts w:ascii="Calibri" w:eastAsia="Times New Roman" w:hAnsi="Calibri" w:cs="Calibri"/>
                <w:b/>
                <w:bCs/>
                <w:color w:val="FFFFFF"/>
                <w:kern w:val="0"/>
                <w:sz w:val="16"/>
                <w:szCs w:val="16"/>
                <w:lang w:eastAsia="en-GB"/>
                <w14:ligatures w14:val="none"/>
              </w:rPr>
            </w:pPr>
            <w:r w:rsidRPr="00D4031D">
              <w:rPr>
                <w:rFonts w:ascii="Calibri" w:eastAsia="Times New Roman" w:hAnsi="Calibri" w:cs="Calibri"/>
                <w:b/>
                <w:bCs/>
                <w:color w:val="FFFFFF"/>
                <w:kern w:val="0"/>
                <w:sz w:val="16"/>
                <w:szCs w:val="16"/>
                <w:lang w:eastAsia="en-GB"/>
                <w14:ligatures w14:val="none"/>
              </w:rPr>
              <w:t>Medtronic plc</w:t>
            </w:r>
          </w:p>
        </w:tc>
        <w:tc>
          <w:tcPr>
            <w:tcW w:w="1460" w:type="dxa"/>
            <w:tcBorders>
              <w:top w:val="nil"/>
              <w:left w:val="single" w:sz="4" w:space="0" w:color="FFFFFF"/>
              <w:bottom w:val="single" w:sz="12" w:space="0" w:color="FFFFFF"/>
              <w:right w:val="single" w:sz="4" w:space="0" w:color="FFFFFF"/>
            </w:tcBorders>
            <w:shd w:val="clear" w:color="4472C4" w:fill="4472C4"/>
            <w:noWrap/>
            <w:vAlign w:val="bottom"/>
            <w:hideMark/>
          </w:tcPr>
          <w:p w14:paraId="08B040D8" w14:textId="77777777" w:rsidR="00D4031D" w:rsidRPr="00D4031D" w:rsidRDefault="00D4031D" w:rsidP="00D4031D">
            <w:pPr>
              <w:spacing w:after="0" w:line="240" w:lineRule="auto"/>
              <w:rPr>
                <w:rFonts w:ascii="Calibri" w:eastAsia="Times New Roman" w:hAnsi="Calibri" w:cs="Calibri"/>
                <w:b/>
                <w:bCs/>
                <w:color w:val="FFFFFF"/>
                <w:kern w:val="0"/>
                <w:sz w:val="16"/>
                <w:szCs w:val="16"/>
                <w:lang w:eastAsia="en-GB"/>
                <w14:ligatures w14:val="none"/>
              </w:rPr>
            </w:pPr>
            <w:r w:rsidRPr="00D4031D">
              <w:rPr>
                <w:rFonts w:ascii="Calibri" w:eastAsia="Times New Roman" w:hAnsi="Calibri" w:cs="Calibri"/>
                <w:b/>
                <w:bCs/>
                <w:color w:val="FFFFFF"/>
                <w:kern w:val="0"/>
                <w:sz w:val="16"/>
                <w:szCs w:val="16"/>
                <w:lang w:eastAsia="en-GB"/>
                <w14:ligatures w14:val="none"/>
              </w:rPr>
              <w:t>Abbott Laboratories</w:t>
            </w:r>
          </w:p>
        </w:tc>
        <w:tc>
          <w:tcPr>
            <w:tcW w:w="1420" w:type="dxa"/>
            <w:tcBorders>
              <w:top w:val="nil"/>
              <w:left w:val="single" w:sz="4" w:space="0" w:color="FFFFFF"/>
              <w:bottom w:val="single" w:sz="12" w:space="0" w:color="FFFFFF"/>
              <w:right w:val="nil"/>
            </w:tcBorders>
            <w:shd w:val="clear" w:color="4472C4" w:fill="4472C4"/>
            <w:noWrap/>
            <w:vAlign w:val="bottom"/>
            <w:hideMark/>
          </w:tcPr>
          <w:p w14:paraId="6CB45491" w14:textId="77777777" w:rsidR="00D4031D" w:rsidRPr="00D4031D" w:rsidRDefault="00D4031D" w:rsidP="00D4031D">
            <w:pPr>
              <w:spacing w:after="0" w:line="240" w:lineRule="auto"/>
              <w:rPr>
                <w:rFonts w:ascii="Calibri" w:eastAsia="Times New Roman" w:hAnsi="Calibri" w:cs="Calibri"/>
                <w:b/>
                <w:bCs/>
                <w:color w:val="FFFFFF"/>
                <w:kern w:val="0"/>
                <w:sz w:val="16"/>
                <w:szCs w:val="16"/>
                <w:lang w:eastAsia="en-GB"/>
                <w14:ligatures w14:val="none"/>
              </w:rPr>
            </w:pPr>
            <w:r w:rsidRPr="00D4031D">
              <w:rPr>
                <w:rFonts w:ascii="Calibri" w:eastAsia="Times New Roman" w:hAnsi="Calibri" w:cs="Calibri"/>
                <w:b/>
                <w:bCs/>
                <w:color w:val="FFFFFF"/>
                <w:kern w:val="0"/>
                <w:sz w:val="16"/>
                <w:szCs w:val="16"/>
                <w:lang w:eastAsia="en-GB"/>
                <w14:ligatures w14:val="none"/>
              </w:rPr>
              <w:t>Danaher Corporation</w:t>
            </w:r>
          </w:p>
        </w:tc>
      </w:tr>
      <w:tr w:rsidR="00D4031D" w:rsidRPr="00D4031D" w14:paraId="308F7B8C"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B4C6E7" w:fill="B4C6E7"/>
            <w:noWrap/>
            <w:vAlign w:val="bottom"/>
            <w:hideMark/>
          </w:tcPr>
          <w:p w14:paraId="4117082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Stock Price</w:t>
            </w:r>
          </w:p>
        </w:tc>
        <w:tc>
          <w:tcPr>
            <w:tcW w:w="15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9FBC4C"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$155.75 </w:t>
            </w:r>
          </w:p>
        </w:tc>
        <w:tc>
          <w:tcPr>
            <w:tcW w:w="13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A076F13"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$83.41 </w:t>
            </w:r>
          </w:p>
        </w:tc>
        <w:tc>
          <w:tcPr>
            <w:tcW w:w="14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A3CFFF8"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$111.51 </w:t>
            </w:r>
          </w:p>
        </w:tc>
        <w:tc>
          <w:tcPr>
            <w:tcW w:w="1420" w:type="dxa"/>
            <w:tcBorders>
              <w:top w:val="single" w:sz="4" w:space="0" w:color="FFFFFF"/>
              <w:left w:val="single" w:sz="4" w:space="0" w:color="FFFFFF"/>
              <w:bottom w:val="single" w:sz="4" w:space="0" w:color="FFFFFF"/>
              <w:right w:val="nil"/>
            </w:tcBorders>
            <w:shd w:val="clear" w:color="B4C6E7" w:fill="B4C6E7"/>
            <w:noWrap/>
            <w:vAlign w:val="bottom"/>
            <w:hideMark/>
          </w:tcPr>
          <w:p w14:paraId="1134C5A8"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$254.11 </w:t>
            </w:r>
          </w:p>
        </w:tc>
      </w:tr>
      <w:tr w:rsidR="00D4031D" w:rsidRPr="00D4031D" w14:paraId="737552A3"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D9E1F2" w:fill="D9E1F2"/>
            <w:noWrap/>
            <w:vAlign w:val="bottom"/>
            <w:hideMark/>
          </w:tcPr>
          <w:p w14:paraId="0B838892"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Market Cap</w:t>
            </w:r>
          </w:p>
        </w:tc>
        <w:tc>
          <w:tcPr>
            <w:tcW w:w="15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01B134B"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$375320000000 </w:t>
            </w:r>
          </w:p>
        </w:tc>
        <w:tc>
          <w:tcPr>
            <w:tcW w:w="13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9BFFE50"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$110750000000 </w:t>
            </w:r>
          </w:p>
        </w:tc>
        <w:tc>
          <w:tcPr>
            <w:tcW w:w="14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58C0347"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$193490000000 </w:t>
            </w:r>
          </w:p>
        </w:tc>
        <w:tc>
          <w:tcPr>
            <w:tcW w:w="1420" w:type="dxa"/>
            <w:tcBorders>
              <w:top w:val="single" w:sz="4" w:space="0" w:color="FFFFFF"/>
              <w:left w:val="single" w:sz="4" w:space="0" w:color="FFFFFF"/>
              <w:bottom w:val="single" w:sz="4" w:space="0" w:color="FFFFFF"/>
              <w:right w:val="nil"/>
            </w:tcBorders>
            <w:shd w:val="clear" w:color="D9E1F2" w:fill="D9E1F2"/>
            <w:noWrap/>
            <w:vAlign w:val="bottom"/>
            <w:hideMark/>
          </w:tcPr>
          <w:p w14:paraId="376687D2"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$187970000000 </w:t>
            </w:r>
          </w:p>
        </w:tc>
      </w:tr>
      <w:tr w:rsidR="00D4031D" w:rsidRPr="00D4031D" w14:paraId="2B9443AD"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B4C6E7" w:fill="B4C6E7"/>
            <w:noWrap/>
            <w:vAlign w:val="bottom"/>
            <w:hideMark/>
          </w:tcPr>
          <w:p w14:paraId="76F01EC3"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Enterprise Value</w:t>
            </w:r>
          </w:p>
        </w:tc>
        <w:tc>
          <w:tcPr>
            <w:tcW w:w="15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D9203D"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$381730000000 </w:t>
            </w:r>
          </w:p>
        </w:tc>
        <w:tc>
          <w:tcPr>
            <w:tcW w:w="13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8B6B8AC"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$127610000000 </w:t>
            </w:r>
          </w:p>
        </w:tc>
        <w:tc>
          <w:tcPr>
            <w:tcW w:w="14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D789B5"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$201840000000 </w:t>
            </w:r>
          </w:p>
        </w:tc>
        <w:tc>
          <w:tcPr>
            <w:tcW w:w="1420" w:type="dxa"/>
            <w:tcBorders>
              <w:top w:val="single" w:sz="4" w:space="0" w:color="FFFFFF"/>
              <w:left w:val="single" w:sz="4" w:space="0" w:color="FFFFFF"/>
              <w:bottom w:val="single" w:sz="4" w:space="0" w:color="FFFFFF"/>
              <w:right w:val="nil"/>
            </w:tcBorders>
            <w:shd w:val="clear" w:color="B4C6E7" w:fill="B4C6E7"/>
            <w:noWrap/>
            <w:vAlign w:val="bottom"/>
            <w:hideMark/>
          </w:tcPr>
          <w:p w14:paraId="7BCABBD1"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 xml:space="preserve"> $201640000000 </w:t>
            </w:r>
          </w:p>
        </w:tc>
      </w:tr>
      <w:tr w:rsidR="00D4031D" w:rsidRPr="00D4031D" w14:paraId="2584FCA1"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D9E1F2" w:fill="D9E1F2"/>
            <w:noWrap/>
            <w:vAlign w:val="bottom"/>
            <w:hideMark/>
          </w:tcPr>
          <w:p w14:paraId="71F51C56"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Trailing P/E</w:t>
            </w:r>
          </w:p>
        </w:tc>
        <w:tc>
          <w:tcPr>
            <w:tcW w:w="15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34CFCEF"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29.95</w:t>
            </w:r>
          </w:p>
        </w:tc>
        <w:tc>
          <w:tcPr>
            <w:tcW w:w="13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B905A08"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26.48</w:t>
            </w:r>
          </w:p>
        </w:tc>
        <w:tc>
          <w:tcPr>
            <w:tcW w:w="14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BDAAC64"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34.21</w:t>
            </w:r>
          </w:p>
        </w:tc>
        <w:tc>
          <w:tcPr>
            <w:tcW w:w="1420" w:type="dxa"/>
            <w:tcBorders>
              <w:top w:val="single" w:sz="4" w:space="0" w:color="FFFFFF"/>
              <w:left w:val="single" w:sz="4" w:space="0" w:color="FFFFFF"/>
              <w:bottom w:val="single" w:sz="4" w:space="0" w:color="FFFFFF"/>
              <w:right w:val="nil"/>
            </w:tcBorders>
            <w:shd w:val="clear" w:color="D9E1F2" w:fill="D9E1F2"/>
            <w:noWrap/>
            <w:vAlign w:val="bottom"/>
            <w:hideMark/>
          </w:tcPr>
          <w:p w14:paraId="5F1436BE"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44.98</w:t>
            </w:r>
          </w:p>
        </w:tc>
      </w:tr>
      <w:tr w:rsidR="00D4031D" w:rsidRPr="00D4031D" w14:paraId="1AA5967C"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B4C6E7" w:fill="B4C6E7"/>
            <w:noWrap/>
            <w:vAlign w:val="bottom"/>
            <w:hideMark/>
          </w:tcPr>
          <w:p w14:paraId="79DC6BA6"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Forward P/E</w:t>
            </w:r>
          </w:p>
        </w:tc>
        <w:tc>
          <w:tcPr>
            <w:tcW w:w="15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81AC43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14.62</w:t>
            </w:r>
          </w:p>
        </w:tc>
        <w:tc>
          <w:tcPr>
            <w:tcW w:w="13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5E6C7E6"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15.27</w:t>
            </w:r>
          </w:p>
        </w:tc>
        <w:tc>
          <w:tcPr>
            <w:tcW w:w="14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18FB2CD"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24.15</w:t>
            </w:r>
          </w:p>
        </w:tc>
        <w:tc>
          <w:tcPr>
            <w:tcW w:w="1420" w:type="dxa"/>
            <w:tcBorders>
              <w:top w:val="single" w:sz="4" w:space="0" w:color="FFFFFF"/>
              <w:left w:val="single" w:sz="4" w:space="0" w:color="FFFFFF"/>
              <w:bottom w:val="single" w:sz="4" w:space="0" w:color="FFFFFF"/>
              <w:right w:val="nil"/>
            </w:tcBorders>
            <w:shd w:val="clear" w:color="B4C6E7" w:fill="B4C6E7"/>
            <w:noWrap/>
            <w:vAlign w:val="bottom"/>
            <w:hideMark/>
          </w:tcPr>
          <w:p w14:paraId="50CB19B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33.33</w:t>
            </w:r>
          </w:p>
        </w:tc>
      </w:tr>
      <w:tr w:rsidR="00D4031D" w:rsidRPr="00D4031D" w14:paraId="33EEBD7F"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D9E1F2" w:fill="D9E1F2"/>
            <w:noWrap/>
            <w:vAlign w:val="bottom"/>
            <w:hideMark/>
          </w:tcPr>
          <w:p w14:paraId="5D8ADE33"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Enterprise Value/Revenue</w:t>
            </w:r>
          </w:p>
        </w:tc>
        <w:tc>
          <w:tcPr>
            <w:tcW w:w="15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37B2B7C"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4.48</w:t>
            </w:r>
          </w:p>
        </w:tc>
        <w:tc>
          <w:tcPr>
            <w:tcW w:w="13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7400F8A"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3.95</w:t>
            </w:r>
          </w:p>
        </w:tc>
        <w:tc>
          <w:tcPr>
            <w:tcW w:w="14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0FA0CC4B"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5.03</w:t>
            </w:r>
          </w:p>
        </w:tc>
        <w:tc>
          <w:tcPr>
            <w:tcW w:w="1420" w:type="dxa"/>
            <w:tcBorders>
              <w:top w:val="single" w:sz="4" w:space="0" w:color="FFFFFF"/>
              <w:left w:val="single" w:sz="4" w:space="0" w:color="FFFFFF"/>
              <w:bottom w:val="single" w:sz="4" w:space="0" w:color="FFFFFF"/>
              <w:right w:val="nil"/>
            </w:tcBorders>
            <w:shd w:val="clear" w:color="D9E1F2" w:fill="D9E1F2"/>
            <w:noWrap/>
            <w:vAlign w:val="bottom"/>
            <w:hideMark/>
          </w:tcPr>
          <w:p w14:paraId="26CA24B3"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8.44</w:t>
            </w:r>
          </w:p>
        </w:tc>
      </w:tr>
      <w:tr w:rsidR="00D4031D" w:rsidRPr="00D4031D" w14:paraId="338876FA"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B4C6E7" w:fill="B4C6E7"/>
            <w:noWrap/>
            <w:vAlign w:val="bottom"/>
            <w:hideMark/>
          </w:tcPr>
          <w:p w14:paraId="68E87C23"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Enterprise Value/EBITDA</w:t>
            </w:r>
          </w:p>
        </w:tc>
        <w:tc>
          <w:tcPr>
            <w:tcW w:w="15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39EF4419"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16.37</w:t>
            </w:r>
          </w:p>
        </w:tc>
        <w:tc>
          <w:tcPr>
            <w:tcW w:w="13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B1456D0"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14.32</w:t>
            </w:r>
          </w:p>
        </w:tc>
        <w:tc>
          <w:tcPr>
            <w:tcW w:w="14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46533A56"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19.14</w:t>
            </w:r>
          </w:p>
        </w:tc>
        <w:tc>
          <w:tcPr>
            <w:tcW w:w="1420" w:type="dxa"/>
            <w:tcBorders>
              <w:top w:val="single" w:sz="4" w:space="0" w:color="FFFFFF"/>
              <w:left w:val="single" w:sz="4" w:space="0" w:color="FFFFFF"/>
              <w:bottom w:val="single" w:sz="4" w:space="0" w:color="FFFFFF"/>
              <w:right w:val="nil"/>
            </w:tcBorders>
            <w:shd w:val="clear" w:color="B4C6E7" w:fill="B4C6E7"/>
            <w:noWrap/>
            <w:vAlign w:val="bottom"/>
            <w:hideMark/>
          </w:tcPr>
          <w:p w14:paraId="01F1C7BE"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26.90</w:t>
            </w:r>
          </w:p>
        </w:tc>
      </w:tr>
      <w:tr w:rsidR="00D4031D" w:rsidRPr="00D4031D" w14:paraId="400FB8F2" w14:textId="77777777" w:rsidTr="00D4031D">
        <w:trPr>
          <w:trHeight w:val="288"/>
        </w:trPr>
        <w:tc>
          <w:tcPr>
            <w:tcW w:w="2200" w:type="dxa"/>
            <w:tcBorders>
              <w:top w:val="single" w:sz="4" w:space="0" w:color="FFFFFF"/>
              <w:left w:val="nil"/>
              <w:bottom w:val="single" w:sz="4" w:space="0" w:color="FFFFFF"/>
              <w:right w:val="single" w:sz="4" w:space="0" w:color="FFFFFF"/>
            </w:tcBorders>
            <w:shd w:val="clear" w:color="D9E1F2" w:fill="D9E1F2"/>
            <w:noWrap/>
            <w:vAlign w:val="bottom"/>
            <w:hideMark/>
          </w:tcPr>
          <w:p w14:paraId="15491C15"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Profit Margin</w:t>
            </w:r>
          </w:p>
        </w:tc>
        <w:tc>
          <w:tcPr>
            <w:tcW w:w="15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30C71225"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0.41</w:t>
            </w:r>
          </w:p>
        </w:tc>
        <w:tc>
          <w:tcPr>
            <w:tcW w:w="13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00FD7FA"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0.13</w:t>
            </w:r>
          </w:p>
        </w:tc>
        <w:tc>
          <w:tcPr>
            <w:tcW w:w="146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5ADD770C"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0.14</w:t>
            </w:r>
          </w:p>
        </w:tc>
        <w:tc>
          <w:tcPr>
            <w:tcW w:w="1420" w:type="dxa"/>
            <w:tcBorders>
              <w:top w:val="single" w:sz="4" w:space="0" w:color="FFFFFF"/>
              <w:left w:val="single" w:sz="4" w:space="0" w:color="FFFFFF"/>
              <w:bottom w:val="single" w:sz="4" w:space="0" w:color="FFFFFF"/>
              <w:right w:val="nil"/>
            </w:tcBorders>
            <w:shd w:val="clear" w:color="D9E1F2" w:fill="D9E1F2"/>
            <w:noWrap/>
            <w:vAlign w:val="bottom"/>
            <w:hideMark/>
          </w:tcPr>
          <w:p w14:paraId="7D2CF068"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0.20</w:t>
            </w:r>
          </w:p>
        </w:tc>
      </w:tr>
      <w:tr w:rsidR="00D4031D" w:rsidRPr="00D4031D" w14:paraId="78B82FC6" w14:textId="77777777" w:rsidTr="00D4031D">
        <w:trPr>
          <w:trHeight w:val="288"/>
        </w:trPr>
        <w:tc>
          <w:tcPr>
            <w:tcW w:w="2200" w:type="dxa"/>
            <w:tcBorders>
              <w:top w:val="single" w:sz="4" w:space="0" w:color="FFFFFF"/>
              <w:left w:val="nil"/>
              <w:bottom w:val="nil"/>
              <w:right w:val="single" w:sz="4" w:space="0" w:color="FFFFFF"/>
            </w:tcBorders>
            <w:shd w:val="clear" w:color="B4C6E7" w:fill="B4C6E7"/>
            <w:noWrap/>
            <w:vAlign w:val="bottom"/>
            <w:hideMark/>
          </w:tcPr>
          <w:p w14:paraId="3636FCCC" w14:textId="77777777" w:rsidR="00D4031D" w:rsidRPr="00D4031D" w:rsidRDefault="00D4031D" w:rsidP="00D4031D">
            <w:pPr>
              <w:spacing w:after="0" w:line="240" w:lineRule="auto"/>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lastRenderedPageBreak/>
              <w:t>Operating Margin</w:t>
            </w:r>
          </w:p>
        </w:tc>
        <w:tc>
          <w:tcPr>
            <w:tcW w:w="1520" w:type="dxa"/>
            <w:tcBorders>
              <w:top w:val="single" w:sz="4" w:space="0" w:color="FFFFFF"/>
              <w:left w:val="single" w:sz="4" w:space="0" w:color="FFFFFF"/>
              <w:bottom w:val="nil"/>
              <w:right w:val="single" w:sz="4" w:space="0" w:color="FFFFFF"/>
            </w:tcBorders>
            <w:shd w:val="clear" w:color="B4C6E7" w:fill="B4C6E7"/>
            <w:noWrap/>
            <w:vAlign w:val="bottom"/>
            <w:hideMark/>
          </w:tcPr>
          <w:p w14:paraId="768CF2A0"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0.22</w:t>
            </w:r>
          </w:p>
        </w:tc>
        <w:tc>
          <w:tcPr>
            <w:tcW w:w="1360" w:type="dxa"/>
            <w:tcBorders>
              <w:top w:val="single" w:sz="4" w:space="0" w:color="FFFFFF"/>
              <w:left w:val="single" w:sz="4" w:space="0" w:color="FFFFFF"/>
              <w:bottom w:val="nil"/>
              <w:right w:val="single" w:sz="4" w:space="0" w:color="FFFFFF"/>
            </w:tcBorders>
            <w:shd w:val="clear" w:color="B4C6E7" w:fill="B4C6E7"/>
            <w:noWrap/>
            <w:vAlign w:val="bottom"/>
            <w:hideMark/>
          </w:tcPr>
          <w:p w14:paraId="1844E02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0.08</w:t>
            </w:r>
          </w:p>
        </w:tc>
        <w:tc>
          <w:tcPr>
            <w:tcW w:w="1460" w:type="dxa"/>
            <w:tcBorders>
              <w:top w:val="single" w:sz="4" w:space="0" w:color="FFFFFF"/>
              <w:left w:val="single" w:sz="4" w:space="0" w:color="FFFFFF"/>
              <w:bottom w:val="nil"/>
              <w:right w:val="single" w:sz="4" w:space="0" w:color="FFFFFF"/>
            </w:tcBorders>
            <w:shd w:val="clear" w:color="B4C6E7" w:fill="B4C6E7"/>
            <w:noWrap/>
            <w:vAlign w:val="bottom"/>
            <w:hideMark/>
          </w:tcPr>
          <w:p w14:paraId="25574382"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0.20</w:t>
            </w:r>
          </w:p>
        </w:tc>
        <w:tc>
          <w:tcPr>
            <w:tcW w:w="1420" w:type="dxa"/>
            <w:tcBorders>
              <w:top w:val="single" w:sz="4" w:space="0" w:color="FFFFFF"/>
              <w:left w:val="single" w:sz="4" w:space="0" w:color="FFFFFF"/>
              <w:bottom w:val="nil"/>
              <w:right w:val="nil"/>
            </w:tcBorders>
            <w:shd w:val="clear" w:color="B4C6E7" w:fill="B4C6E7"/>
            <w:noWrap/>
            <w:vAlign w:val="bottom"/>
            <w:hideMark/>
          </w:tcPr>
          <w:p w14:paraId="1FC58CD3" w14:textId="77777777" w:rsidR="00D4031D" w:rsidRPr="00D4031D" w:rsidRDefault="00D4031D" w:rsidP="00D4031D">
            <w:pPr>
              <w:spacing w:after="0" w:line="240" w:lineRule="auto"/>
              <w:jc w:val="right"/>
              <w:rPr>
                <w:rFonts w:ascii="Calibri" w:eastAsia="Times New Roman" w:hAnsi="Calibri" w:cs="Calibri"/>
                <w:color w:val="000000"/>
                <w:kern w:val="0"/>
                <w:sz w:val="16"/>
                <w:szCs w:val="16"/>
                <w:lang w:eastAsia="en-GB"/>
                <w14:ligatures w14:val="none"/>
              </w:rPr>
            </w:pPr>
            <w:r w:rsidRPr="00D4031D">
              <w:rPr>
                <w:rFonts w:ascii="Calibri" w:eastAsia="Times New Roman" w:hAnsi="Calibri" w:cs="Calibri"/>
                <w:color w:val="000000"/>
                <w:kern w:val="0"/>
                <w:sz w:val="16"/>
                <w:szCs w:val="16"/>
                <w:lang w:eastAsia="en-GB"/>
                <w14:ligatures w14:val="none"/>
              </w:rPr>
              <w:t>0.21</w:t>
            </w:r>
          </w:p>
        </w:tc>
      </w:tr>
    </w:tbl>
    <w:p w14:paraId="3CF87568" w14:textId="77777777" w:rsidR="00D4031D" w:rsidRDefault="00D4031D" w:rsidP="00D4031D"/>
    <w:p w14:paraId="22C00261" w14:textId="033B1497" w:rsidR="00242594" w:rsidRDefault="00242594" w:rsidP="00C70304">
      <w:r>
        <w:rPr>
          <w:noProof/>
        </w:rPr>
        <w:drawing>
          <wp:inline distT="0" distB="0" distL="0" distR="0" wp14:anchorId="0C919544" wp14:editId="481802DA">
            <wp:extent cx="3699329" cy="2794000"/>
            <wp:effectExtent l="0" t="0" r="15875" b="6350"/>
            <wp:docPr id="747216005" name="Chart 1">
              <a:extLst xmlns:a="http://schemas.openxmlformats.org/drawingml/2006/main">
                <a:ext uri="{FF2B5EF4-FFF2-40B4-BE49-F238E27FC236}">
                  <a16:creationId xmlns:a16="http://schemas.microsoft.com/office/drawing/2014/main" id="{9EAE59D0-7B52-4D85-A7BB-C11815563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CF9872" w14:textId="0D1086FE" w:rsidR="00242594" w:rsidRDefault="00242594" w:rsidP="00C70304">
      <w:r>
        <w:rPr>
          <w:noProof/>
        </w:rPr>
        <w:drawing>
          <wp:inline distT="0" distB="0" distL="0" distR="0" wp14:anchorId="4E176C5B" wp14:editId="73A4ADBB">
            <wp:extent cx="4559300" cy="2794000"/>
            <wp:effectExtent l="0" t="0" r="12700" b="6350"/>
            <wp:docPr id="1754329977" name="Chart 1">
              <a:extLst xmlns:a="http://schemas.openxmlformats.org/drawingml/2006/main">
                <a:ext uri="{FF2B5EF4-FFF2-40B4-BE49-F238E27FC236}">
                  <a16:creationId xmlns:a16="http://schemas.microsoft.com/office/drawing/2014/main" id="{827D86DB-2FF0-98A4-5E76-AD8353785A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C83B89" w14:textId="10656263" w:rsidR="00242594" w:rsidRDefault="00242594" w:rsidP="00C70304">
      <w:r>
        <w:rPr>
          <w:noProof/>
        </w:rPr>
        <w:lastRenderedPageBreak/>
        <w:drawing>
          <wp:inline distT="0" distB="0" distL="0" distR="0" wp14:anchorId="1C7C23BE" wp14:editId="6173F734">
            <wp:extent cx="4572000" cy="2743200"/>
            <wp:effectExtent l="0" t="0" r="0" b="0"/>
            <wp:docPr id="1079456138" name="Chart 1">
              <a:extLst xmlns:a="http://schemas.openxmlformats.org/drawingml/2006/main">
                <a:ext uri="{FF2B5EF4-FFF2-40B4-BE49-F238E27FC236}">
                  <a16:creationId xmlns:a16="http://schemas.microsoft.com/office/drawing/2014/main" id="{28D8B05A-E253-4AFA-D6FC-E5B4EB9425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4D9628" w14:textId="0F2893EF" w:rsidR="00A513C6" w:rsidRDefault="00EE7CB2" w:rsidP="00C70304">
      <w:r>
        <w:t>Sources:</w:t>
      </w:r>
    </w:p>
    <w:p w14:paraId="35EA01C9" w14:textId="24722F8D" w:rsidR="008F091B" w:rsidRDefault="00242594" w:rsidP="00B349F7">
      <w:pPr>
        <w:pStyle w:val="ListParagraph"/>
        <w:numPr>
          <w:ilvl w:val="0"/>
          <w:numId w:val="3"/>
        </w:numPr>
      </w:pPr>
      <w:hyperlink r:id="rId13" w:history="1">
        <w:r w:rsidR="00B349F7" w:rsidRPr="00483F3B">
          <w:rPr>
            <w:rStyle w:val="Hyperlink"/>
          </w:rPr>
          <w:t>https://marriott.gcs-web.com/static-files/c0fb865c-15b1-4166-9846-49b548da1ce4</w:t>
        </w:r>
      </w:hyperlink>
    </w:p>
    <w:p w14:paraId="44898D17" w14:textId="6ED2F22A" w:rsidR="008F091B" w:rsidRDefault="00242594" w:rsidP="00B349F7">
      <w:pPr>
        <w:pStyle w:val="ListParagraph"/>
        <w:numPr>
          <w:ilvl w:val="0"/>
          <w:numId w:val="3"/>
        </w:numPr>
      </w:pPr>
      <w:hyperlink r:id="rId14" w:history="1">
        <w:r w:rsidR="00B349F7" w:rsidRPr="00483F3B">
          <w:rPr>
            <w:rStyle w:val="Hyperlink"/>
          </w:rPr>
          <w:t>https://marriott.gcs-web.com/static-files/0f66a698-c5bd-4fdd-9c03-95b3111600e9</w:t>
        </w:r>
      </w:hyperlink>
    </w:p>
    <w:p w14:paraId="48D98EC2" w14:textId="01537180" w:rsidR="00EE7CB2" w:rsidRDefault="00242594" w:rsidP="00B349F7">
      <w:pPr>
        <w:pStyle w:val="ListParagraph"/>
        <w:numPr>
          <w:ilvl w:val="0"/>
          <w:numId w:val="3"/>
        </w:numPr>
      </w:pPr>
      <w:hyperlink r:id="rId15" w:history="1">
        <w:r w:rsidR="00EE7CB2" w:rsidRPr="00483F3B">
          <w:rPr>
            <w:rStyle w:val="Hyperlink"/>
          </w:rPr>
          <w:t>https://transparencyreport.janssen.com/_document/2022-janssen-transparency-report-pdf?id=00000188-267e-d95e-abca-7e7e58750000</w:t>
        </w:r>
      </w:hyperlink>
    </w:p>
    <w:p w14:paraId="7D153F63" w14:textId="322664F6" w:rsidR="00B349F7" w:rsidRDefault="00242594" w:rsidP="00B349F7">
      <w:pPr>
        <w:pStyle w:val="ListParagraph"/>
        <w:numPr>
          <w:ilvl w:val="0"/>
          <w:numId w:val="3"/>
        </w:numPr>
      </w:pPr>
      <w:hyperlink r:id="rId16" w:history="1">
        <w:r w:rsidR="00B349F7" w:rsidRPr="00483F3B">
          <w:rPr>
            <w:rStyle w:val="Hyperlink"/>
          </w:rPr>
          <w:t>https://www.investor.jnj.com/files/doc_financials/2022/ar/2022-annual-report.pdf</w:t>
        </w:r>
      </w:hyperlink>
    </w:p>
    <w:p w14:paraId="66CD584D" w14:textId="77777777" w:rsidR="00B349F7" w:rsidRDefault="00B349F7" w:rsidP="00C70304"/>
    <w:p w14:paraId="20C31D5A" w14:textId="77777777" w:rsidR="00EE7CB2" w:rsidRDefault="00EE7CB2" w:rsidP="00C70304"/>
    <w:sectPr w:rsidR="00EE7C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1E1F" w14:textId="77777777" w:rsidR="00684310" w:rsidRDefault="00684310" w:rsidP="00684310">
      <w:pPr>
        <w:spacing w:after="0" w:line="240" w:lineRule="auto"/>
      </w:pPr>
      <w:r>
        <w:separator/>
      </w:r>
    </w:p>
  </w:endnote>
  <w:endnote w:type="continuationSeparator" w:id="0">
    <w:p w14:paraId="3D960525" w14:textId="77777777" w:rsidR="00684310" w:rsidRDefault="00684310" w:rsidP="0068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8D64" w14:textId="77777777" w:rsidR="00684310" w:rsidRDefault="00684310" w:rsidP="00684310">
      <w:pPr>
        <w:spacing w:after="0" w:line="240" w:lineRule="auto"/>
      </w:pPr>
      <w:r>
        <w:separator/>
      </w:r>
    </w:p>
  </w:footnote>
  <w:footnote w:type="continuationSeparator" w:id="0">
    <w:p w14:paraId="19B9F606" w14:textId="77777777" w:rsidR="00684310" w:rsidRDefault="00684310" w:rsidP="0068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619D"/>
    <w:multiLevelType w:val="hybridMultilevel"/>
    <w:tmpl w:val="10A61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320935"/>
    <w:multiLevelType w:val="hybridMultilevel"/>
    <w:tmpl w:val="0E067E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2A120A"/>
    <w:multiLevelType w:val="hybridMultilevel"/>
    <w:tmpl w:val="796C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ED0FC0"/>
    <w:multiLevelType w:val="hybridMultilevel"/>
    <w:tmpl w:val="8D16EB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1468487">
    <w:abstractNumId w:val="0"/>
  </w:num>
  <w:num w:numId="2" w16cid:durableId="450906181">
    <w:abstractNumId w:val="3"/>
  </w:num>
  <w:num w:numId="3" w16cid:durableId="1117023012">
    <w:abstractNumId w:val="1"/>
  </w:num>
  <w:num w:numId="4" w16cid:durableId="634990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37"/>
    <w:rsid w:val="000D29DF"/>
    <w:rsid w:val="000E1C3E"/>
    <w:rsid w:val="00145320"/>
    <w:rsid w:val="001527CF"/>
    <w:rsid w:val="00214CF9"/>
    <w:rsid w:val="0023717C"/>
    <w:rsid w:val="00242594"/>
    <w:rsid w:val="00263F0A"/>
    <w:rsid w:val="00297D28"/>
    <w:rsid w:val="002A65CA"/>
    <w:rsid w:val="002B41FC"/>
    <w:rsid w:val="002C5B3D"/>
    <w:rsid w:val="002F16AE"/>
    <w:rsid w:val="00362FBD"/>
    <w:rsid w:val="00364AF9"/>
    <w:rsid w:val="00371676"/>
    <w:rsid w:val="00374E06"/>
    <w:rsid w:val="003B452E"/>
    <w:rsid w:val="003E3E1A"/>
    <w:rsid w:val="003F6476"/>
    <w:rsid w:val="00402E25"/>
    <w:rsid w:val="00414526"/>
    <w:rsid w:val="0049122B"/>
    <w:rsid w:val="00491941"/>
    <w:rsid w:val="004A0348"/>
    <w:rsid w:val="004A0C7A"/>
    <w:rsid w:val="004D30E0"/>
    <w:rsid w:val="004F368E"/>
    <w:rsid w:val="005C6FCA"/>
    <w:rsid w:val="0064564F"/>
    <w:rsid w:val="00681808"/>
    <w:rsid w:val="00684310"/>
    <w:rsid w:val="006B1A46"/>
    <w:rsid w:val="006D3A75"/>
    <w:rsid w:val="006F60B6"/>
    <w:rsid w:val="0076552D"/>
    <w:rsid w:val="0079701B"/>
    <w:rsid w:val="007F3392"/>
    <w:rsid w:val="00864242"/>
    <w:rsid w:val="008C1A1B"/>
    <w:rsid w:val="008D0B00"/>
    <w:rsid w:val="008F091B"/>
    <w:rsid w:val="00936270"/>
    <w:rsid w:val="009368B5"/>
    <w:rsid w:val="009822BE"/>
    <w:rsid w:val="009E01AA"/>
    <w:rsid w:val="00A05137"/>
    <w:rsid w:val="00A4154D"/>
    <w:rsid w:val="00A513C6"/>
    <w:rsid w:val="00A5635E"/>
    <w:rsid w:val="00A64D06"/>
    <w:rsid w:val="00A700D4"/>
    <w:rsid w:val="00AA36F7"/>
    <w:rsid w:val="00AD0BF1"/>
    <w:rsid w:val="00AD68D6"/>
    <w:rsid w:val="00B06C49"/>
    <w:rsid w:val="00B26962"/>
    <w:rsid w:val="00B349F7"/>
    <w:rsid w:val="00BA2D3A"/>
    <w:rsid w:val="00BE4AE3"/>
    <w:rsid w:val="00C119A1"/>
    <w:rsid w:val="00C312A3"/>
    <w:rsid w:val="00C4159E"/>
    <w:rsid w:val="00C70304"/>
    <w:rsid w:val="00C84BD8"/>
    <w:rsid w:val="00CA03D9"/>
    <w:rsid w:val="00CB7F84"/>
    <w:rsid w:val="00CC425D"/>
    <w:rsid w:val="00CD7DC6"/>
    <w:rsid w:val="00D02064"/>
    <w:rsid w:val="00D4031D"/>
    <w:rsid w:val="00D70B94"/>
    <w:rsid w:val="00DC2559"/>
    <w:rsid w:val="00DE0A0C"/>
    <w:rsid w:val="00DE66AC"/>
    <w:rsid w:val="00DF571D"/>
    <w:rsid w:val="00E110BC"/>
    <w:rsid w:val="00EC0D89"/>
    <w:rsid w:val="00EE0898"/>
    <w:rsid w:val="00EE57A2"/>
    <w:rsid w:val="00EE7CB2"/>
    <w:rsid w:val="00F00C1A"/>
    <w:rsid w:val="00F30351"/>
    <w:rsid w:val="00F500CF"/>
    <w:rsid w:val="00F60A90"/>
    <w:rsid w:val="00F77E37"/>
    <w:rsid w:val="00F936A7"/>
    <w:rsid w:val="00FE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5B18"/>
  <w15:chartTrackingRefBased/>
  <w15:docId w15:val="{C4E4BC8E-B7AF-43DC-9AB2-BC3AFCB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7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7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7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7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7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7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7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7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7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7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E37"/>
    <w:rPr>
      <w:rFonts w:eastAsiaTheme="majorEastAsia" w:cstheme="majorBidi"/>
      <w:color w:val="272727" w:themeColor="text1" w:themeTint="D8"/>
    </w:rPr>
  </w:style>
  <w:style w:type="paragraph" w:styleId="Title">
    <w:name w:val="Title"/>
    <w:basedOn w:val="Normal"/>
    <w:next w:val="Normal"/>
    <w:link w:val="TitleChar"/>
    <w:uiPriority w:val="10"/>
    <w:qFormat/>
    <w:rsid w:val="00F77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E37"/>
    <w:pPr>
      <w:spacing w:before="160"/>
      <w:jc w:val="center"/>
    </w:pPr>
    <w:rPr>
      <w:i/>
      <w:iCs/>
      <w:color w:val="404040" w:themeColor="text1" w:themeTint="BF"/>
    </w:rPr>
  </w:style>
  <w:style w:type="character" w:customStyle="1" w:styleId="QuoteChar">
    <w:name w:val="Quote Char"/>
    <w:basedOn w:val="DefaultParagraphFont"/>
    <w:link w:val="Quote"/>
    <w:uiPriority w:val="29"/>
    <w:rsid w:val="00F77E37"/>
    <w:rPr>
      <w:i/>
      <w:iCs/>
      <w:color w:val="404040" w:themeColor="text1" w:themeTint="BF"/>
    </w:rPr>
  </w:style>
  <w:style w:type="paragraph" w:styleId="ListParagraph">
    <w:name w:val="List Paragraph"/>
    <w:basedOn w:val="Normal"/>
    <w:uiPriority w:val="34"/>
    <w:qFormat/>
    <w:rsid w:val="00F77E37"/>
    <w:pPr>
      <w:ind w:left="720"/>
      <w:contextualSpacing/>
    </w:pPr>
  </w:style>
  <w:style w:type="character" w:styleId="IntenseEmphasis">
    <w:name w:val="Intense Emphasis"/>
    <w:basedOn w:val="DefaultParagraphFont"/>
    <w:uiPriority w:val="21"/>
    <w:qFormat/>
    <w:rsid w:val="00F77E37"/>
    <w:rPr>
      <w:i/>
      <w:iCs/>
      <w:color w:val="0F4761" w:themeColor="accent1" w:themeShade="BF"/>
    </w:rPr>
  </w:style>
  <w:style w:type="paragraph" w:styleId="IntenseQuote">
    <w:name w:val="Intense Quote"/>
    <w:basedOn w:val="Normal"/>
    <w:next w:val="Normal"/>
    <w:link w:val="IntenseQuoteChar"/>
    <w:uiPriority w:val="30"/>
    <w:qFormat/>
    <w:rsid w:val="00F77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7E37"/>
    <w:rPr>
      <w:i/>
      <w:iCs/>
      <w:color w:val="0F4761" w:themeColor="accent1" w:themeShade="BF"/>
    </w:rPr>
  </w:style>
  <w:style w:type="character" w:styleId="IntenseReference">
    <w:name w:val="Intense Reference"/>
    <w:basedOn w:val="DefaultParagraphFont"/>
    <w:uiPriority w:val="32"/>
    <w:qFormat/>
    <w:rsid w:val="00F77E37"/>
    <w:rPr>
      <w:b/>
      <w:bCs/>
      <w:smallCaps/>
      <w:color w:val="0F4761" w:themeColor="accent1" w:themeShade="BF"/>
      <w:spacing w:val="5"/>
    </w:rPr>
  </w:style>
  <w:style w:type="paragraph" w:styleId="Header">
    <w:name w:val="header"/>
    <w:basedOn w:val="Normal"/>
    <w:link w:val="HeaderChar"/>
    <w:uiPriority w:val="99"/>
    <w:unhideWhenUsed/>
    <w:rsid w:val="00684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310"/>
  </w:style>
  <w:style w:type="paragraph" w:styleId="Footer">
    <w:name w:val="footer"/>
    <w:basedOn w:val="Normal"/>
    <w:link w:val="FooterChar"/>
    <w:uiPriority w:val="99"/>
    <w:unhideWhenUsed/>
    <w:rsid w:val="00684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310"/>
  </w:style>
  <w:style w:type="character" w:styleId="Hyperlink">
    <w:name w:val="Hyperlink"/>
    <w:basedOn w:val="DefaultParagraphFont"/>
    <w:uiPriority w:val="99"/>
    <w:unhideWhenUsed/>
    <w:rsid w:val="00EE7CB2"/>
    <w:rPr>
      <w:color w:val="467886" w:themeColor="hyperlink"/>
      <w:u w:val="single"/>
    </w:rPr>
  </w:style>
  <w:style w:type="character" w:styleId="UnresolvedMention">
    <w:name w:val="Unresolved Mention"/>
    <w:basedOn w:val="DefaultParagraphFont"/>
    <w:uiPriority w:val="99"/>
    <w:semiHidden/>
    <w:unhideWhenUsed/>
    <w:rsid w:val="00EE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7280">
      <w:bodyDiv w:val="1"/>
      <w:marLeft w:val="0"/>
      <w:marRight w:val="0"/>
      <w:marTop w:val="0"/>
      <w:marBottom w:val="0"/>
      <w:divBdr>
        <w:top w:val="none" w:sz="0" w:space="0" w:color="auto"/>
        <w:left w:val="none" w:sz="0" w:space="0" w:color="auto"/>
        <w:bottom w:val="none" w:sz="0" w:space="0" w:color="auto"/>
        <w:right w:val="none" w:sz="0" w:space="0" w:color="auto"/>
      </w:divBdr>
    </w:div>
    <w:div w:id="490293525">
      <w:bodyDiv w:val="1"/>
      <w:marLeft w:val="0"/>
      <w:marRight w:val="0"/>
      <w:marTop w:val="0"/>
      <w:marBottom w:val="0"/>
      <w:divBdr>
        <w:top w:val="none" w:sz="0" w:space="0" w:color="auto"/>
        <w:left w:val="none" w:sz="0" w:space="0" w:color="auto"/>
        <w:bottom w:val="none" w:sz="0" w:space="0" w:color="auto"/>
        <w:right w:val="none" w:sz="0" w:space="0" w:color="auto"/>
      </w:divBdr>
    </w:div>
    <w:div w:id="1083987187">
      <w:bodyDiv w:val="1"/>
      <w:marLeft w:val="0"/>
      <w:marRight w:val="0"/>
      <w:marTop w:val="0"/>
      <w:marBottom w:val="0"/>
      <w:divBdr>
        <w:top w:val="none" w:sz="0" w:space="0" w:color="auto"/>
        <w:left w:val="none" w:sz="0" w:space="0" w:color="auto"/>
        <w:bottom w:val="none" w:sz="0" w:space="0" w:color="auto"/>
        <w:right w:val="none" w:sz="0" w:space="0" w:color="auto"/>
      </w:divBdr>
    </w:div>
    <w:div w:id="1330133614">
      <w:bodyDiv w:val="1"/>
      <w:marLeft w:val="0"/>
      <w:marRight w:val="0"/>
      <w:marTop w:val="0"/>
      <w:marBottom w:val="0"/>
      <w:divBdr>
        <w:top w:val="none" w:sz="0" w:space="0" w:color="auto"/>
        <w:left w:val="none" w:sz="0" w:space="0" w:color="auto"/>
        <w:bottom w:val="none" w:sz="0" w:space="0" w:color="auto"/>
        <w:right w:val="none" w:sz="0" w:space="0" w:color="auto"/>
      </w:divBdr>
    </w:div>
    <w:div w:id="1763182457">
      <w:bodyDiv w:val="1"/>
      <w:marLeft w:val="0"/>
      <w:marRight w:val="0"/>
      <w:marTop w:val="0"/>
      <w:marBottom w:val="0"/>
      <w:divBdr>
        <w:top w:val="none" w:sz="0" w:space="0" w:color="auto"/>
        <w:left w:val="none" w:sz="0" w:space="0" w:color="auto"/>
        <w:bottom w:val="none" w:sz="0" w:space="0" w:color="auto"/>
        <w:right w:val="none" w:sz="0" w:space="0" w:color="auto"/>
      </w:divBdr>
    </w:div>
    <w:div w:id="198098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marriott.gcs-web.com/static-files/c0fb865c-15b1-4166-9846-49b548da1ce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vestor.jnj.com/files/doc_financials/2022/ar/2022-annual-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transparencyreport.janssen.com/_document/2022-janssen-transparency-report-pdf?id=00000188-267e-d95e-abca-7e7e58750000"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marriott.gcs-web.com/static-files/0f66a698-c5bd-4fdd-9c03-95b3111600e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Stock</a:t>
            </a:r>
            <a:r>
              <a:rPr lang="en-GB" baseline="0"/>
              <a:t> Prices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c:f>
              <c:strCache>
                <c:ptCount val="1"/>
                <c:pt idx="0">
                  <c:v>Marriot Inc</c:v>
                </c:pt>
              </c:strCache>
            </c:strRef>
          </c:tx>
          <c:spPr>
            <a:solidFill>
              <a:schemeClr val="accent1"/>
            </a:solidFill>
            <a:ln>
              <a:noFill/>
            </a:ln>
            <a:effectLst/>
          </c:spPr>
          <c:invertIfNegative val="0"/>
          <c:cat>
            <c:strRef>
              <c:f>'Peer Analysis'!$C$7</c:f>
              <c:strCache>
                <c:ptCount val="1"/>
                <c:pt idx="0">
                  <c:v>Stock Price</c:v>
                </c:pt>
              </c:strCache>
              <c:extLst/>
            </c:strRef>
          </c:cat>
          <c:val>
            <c:numRef>
              <c:f>'Peer Analysis'!$D$7</c:f>
              <c:numCache>
                <c:formatCode>_([$$-409]* #,##0.00_);_([$$-409]* \(#,##0.00\);_([$$-409]* "-"??_);_(@_)</c:formatCode>
                <c:ptCount val="1"/>
                <c:pt idx="0">
                  <c:v>251.46</c:v>
                </c:pt>
              </c:numCache>
              <c:extLst/>
            </c:numRef>
          </c:val>
          <c:extLst>
            <c:ext xmlns:c16="http://schemas.microsoft.com/office/drawing/2014/chart" uri="{C3380CC4-5D6E-409C-BE32-E72D297353CC}">
              <c16:uniqueId val="{00000000-7A40-466E-BD50-8FDE6FBD87B4}"/>
            </c:ext>
          </c:extLst>
        </c:ser>
        <c:ser>
          <c:idx val="1"/>
          <c:order val="1"/>
          <c:tx>
            <c:strRef>
              <c:f>'Peer Analysis'!$E$6</c:f>
              <c:strCache>
                <c:ptCount val="1"/>
                <c:pt idx="0">
                  <c:v>Hyatt Hotels</c:v>
                </c:pt>
              </c:strCache>
            </c:strRef>
          </c:tx>
          <c:spPr>
            <a:solidFill>
              <a:schemeClr val="accent2"/>
            </a:solidFill>
            <a:ln>
              <a:noFill/>
            </a:ln>
            <a:effectLst/>
          </c:spPr>
          <c:invertIfNegative val="0"/>
          <c:cat>
            <c:strRef>
              <c:f>'Peer Analysis'!$C$7</c:f>
              <c:strCache>
                <c:ptCount val="1"/>
                <c:pt idx="0">
                  <c:v>Stock Price</c:v>
                </c:pt>
              </c:strCache>
              <c:extLst/>
            </c:strRef>
          </c:cat>
          <c:val>
            <c:numRef>
              <c:f>'Peer Analysis'!$E$7</c:f>
              <c:numCache>
                <c:formatCode>_([$$-409]* #,##0.00_);_([$$-409]* \(#,##0.00\);_([$$-409]* "-"??_);_(@_)</c:formatCode>
                <c:ptCount val="1"/>
                <c:pt idx="0">
                  <c:v>156.51</c:v>
                </c:pt>
              </c:numCache>
              <c:extLst/>
            </c:numRef>
          </c:val>
          <c:extLst>
            <c:ext xmlns:c16="http://schemas.microsoft.com/office/drawing/2014/chart" uri="{C3380CC4-5D6E-409C-BE32-E72D297353CC}">
              <c16:uniqueId val="{00000001-7A40-466E-BD50-8FDE6FBD87B4}"/>
            </c:ext>
          </c:extLst>
        </c:ser>
        <c:ser>
          <c:idx val="2"/>
          <c:order val="2"/>
          <c:tx>
            <c:strRef>
              <c:f>'Peer Analysis'!$F$6</c:f>
              <c:strCache>
                <c:ptCount val="1"/>
                <c:pt idx="0">
                  <c:v>Intercontinental Hotels</c:v>
                </c:pt>
              </c:strCache>
            </c:strRef>
          </c:tx>
          <c:spPr>
            <a:solidFill>
              <a:schemeClr val="accent3"/>
            </a:solidFill>
            <a:ln>
              <a:noFill/>
            </a:ln>
            <a:effectLst/>
          </c:spPr>
          <c:invertIfNegative val="0"/>
          <c:cat>
            <c:strRef>
              <c:f>'Peer Analysis'!$C$7</c:f>
              <c:strCache>
                <c:ptCount val="1"/>
                <c:pt idx="0">
                  <c:v>Stock Price</c:v>
                </c:pt>
              </c:strCache>
              <c:extLst/>
            </c:strRef>
          </c:cat>
          <c:val>
            <c:numRef>
              <c:f>'Peer Analysis'!$F$7</c:f>
              <c:numCache>
                <c:formatCode>_-[$$-409]* #,##0.00_ ;_-[$$-409]* \-#,##0.00\ ;_-[$$-409]* "-"??_ ;_-@_ </c:formatCode>
                <c:ptCount val="1"/>
                <c:pt idx="0">
                  <c:v>135.85920000000002</c:v>
                </c:pt>
              </c:numCache>
              <c:extLst/>
            </c:numRef>
          </c:val>
          <c:extLst>
            <c:ext xmlns:c16="http://schemas.microsoft.com/office/drawing/2014/chart" uri="{C3380CC4-5D6E-409C-BE32-E72D297353CC}">
              <c16:uniqueId val="{00000002-7A40-466E-BD50-8FDE6FBD87B4}"/>
            </c:ext>
          </c:extLst>
        </c:ser>
        <c:ser>
          <c:idx val="3"/>
          <c:order val="3"/>
          <c:tx>
            <c:strRef>
              <c:f>'Peer Analysis'!$G$6</c:f>
              <c:strCache>
                <c:ptCount val="1"/>
                <c:pt idx="0">
                  <c:v>Hilton Worldwide Holdings</c:v>
                </c:pt>
              </c:strCache>
            </c:strRef>
          </c:tx>
          <c:spPr>
            <a:solidFill>
              <a:schemeClr val="accent4"/>
            </a:solidFill>
            <a:ln>
              <a:noFill/>
            </a:ln>
            <a:effectLst/>
          </c:spPr>
          <c:invertIfNegative val="0"/>
          <c:cat>
            <c:strRef>
              <c:f>'Peer Analysis'!$C$7</c:f>
              <c:strCache>
                <c:ptCount val="1"/>
                <c:pt idx="0">
                  <c:v>Stock Price</c:v>
                </c:pt>
              </c:strCache>
              <c:extLst/>
            </c:strRef>
          </c:cat>
          <c:val>
            <c:numRef>
              <c:f>'Peer Analysis'!$G$7</c:f>
              <c:numCache>
                <c:formatCode>_([$$-409]* #,##0.00_);_([$$-409]* \(#,##0.00\);_([$$-409]* "-"??_);_(@_)</c:formatCode>
                <c:ptCount val="1"/>
                <c:pt idx="0">
                  <c:v>206.8</c:v>
                </c:pt>
              </c:numCache>
              <c:extLst/>
            </c:numRef>
          </c:val>
          <c:extLst>
            <c:ext xmlns:c16="http://schemas.microsoft.com/office/drawing/2014/chart" uri="{C3380CC4-5D6E-409C-BE32-E72D297353CC}">
              <c16:uniqueId val="{00000003-7A40-466E-BD50-8FDE6FBD87B4}"/>
            </c:ext>
          </c:extLst>
        </c:ser>
        <c:dLbls>
          <c:showLegendKey val="0"/>
          <c:showVal val="0"/>
          <c:showCatName val="0"/>
          <c:showSerName val="0"/>
          <c:showPercent val="0"/>
          <c:showBubbleSize val="0"/>
        </c:dLbls>
        <c:gapWidth val="219"/>
        <c:overlap val="-27"/>
        <c:axId val="628100448"/>
        <c:axId val="628101408"/>
      </c:barChart>
      <c:catAx>
        <c:axId val="62810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01408"/>
        <c:crosses val="autoZero"/>
        <c:auto val="1"/>
        <c:lblAlgn val="ctr"/>
        <c:lblOffset val="100"/>
        <c:noMultiLvlLbl val="0"/>
      </c:catAx>
      <c:valAx>
        <c:axId val="628101408"/>
        <c:scaling>
          <c:orientation val="minMax"/>
        </c:scaling>
        <c:delete val="0"/>
        <c:axPos val="l"/>
        <c:majorGridlines>
          <c:spPr>
            <a:ln w="9525" cap="flat" cmpd="sng" algn="ctr">
              <a:solidFill>
                <a:schemeClr val="tx1">
                  <a:lumMod val="15000"/>
                  <a:lumOff val="85000"/>
                </a:schemeClr>
              </a:solidFill>
              <a:round/>
            </a:ln>
            <a:effectLst/>
          </c:spPr>
        </c:majorGridlines>
        <c:numFmt formatCode="_([$$-409]* #,##0.00_);_([$$-409]* \(#,##0.0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0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Market</a:t>
            </a:r>
            <a:r>
              <a:rPr lang="en-GB" baseline="0"/>
              <a:t> Cap and Enterprise Value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'Peer Analysis'!$D$6</c:f>
              <c:strCache>
                <c:ptCount val="1"/>
                <c:pt idx="0">
                  <c:v>Marriot Inc</c:v>
                </c:pt>
              </c:strCache>
            </c:strRef>
          </c:tx>
          <c:spPr>
            <a:solidFill>
              <a:schemeClr val="accent1"/>
            </a:solidFill>
            <a:ln>
              <a:noFill/>
            </a:ln>
            <a:effectLst/>
          </c:spPr>
          <c:invertIfNegative val="0"/>
          <c:cat>
            <c:strRef>
              <c:f>'Peer Analysis'!$C$8:$C$9</c:f>
              <c:strCache>
                <c:ptCount val="2"/>
                <c:pt idx="0">
                  <c:v>Market Cap</c:v>
                </c:pt>
                <c:pt idx="1">
                  <c:v>Enterprise Value</c:v>
                </c:pt>
              </c:strCache>
              <c:extLst/>
            </c:strRef>
          </c:cat>
          <c:val>
            <c:numRef>
              <c:f>'Peer Analysis'!$D$8:$D$9</c:f>
              <c:numCache>
                <c:formatCode>_([$$-409]* #,##0_);_([$$-409]* \(#,##0\);_([$$-409]* "-"_);_(@_)</c:formatCode>
                <c:ptCount val="2"/>
                <c:pt idx="0">
                  <c:v>72440000000</c:v>
                </c:pt>
                <c:pt idx="1">
                  <c:v>84870000000</c:v>
                </c:pt>
              </c:numCache>
              <c:extLst/>
            </c:numRef>
          </c:val>
          <c:extLst>
            <c:ext xmlns:c16="http://schemas.microsoft.com/office/drawing/2014/chart" uri="{C3380CC4-5D6E-409C-BE32-E72D297353CC}">
              <c16:uniqueId val="{00000000-7C98-43F4-8C4C-AA736D644F7F}"/>
            </c:ext>
          </c:extLst>
        </c:ser>
        <c:ser>
          <c:idx val="1"/>
          <c:order val="1"/>
          <c:tx>
            <c:strRef>
              <c:f>'Peer Analysis'!$E$6</c:f>
              <c:strCache>
                <c:ptCount val="1"/>
                <c:pt idx="0">
                  <c:v>Hyatt Hotels</c:v>
                </c:pt>
              </c:strCache>
            </c:strRef>
          </c:tx>
          <c:spPr>
            <a:solidFill>
              <a:schemeClr val="accent2"/>
            </a:solidFill>
            <a:ln>
              <a:noFill/>
            </a:ln>
            <a:effectLst/>
          </c:spPr>
          <c:invertIfNegative val="0"/>
          <c:cat>
            <c:strRef>
              <c:f>'Peer Analysis'!$C$8:$C$9</c:f>
              <c:strCache>
                <c:ptCount val="2"/>
                <c:pt idx="0">
                  <c:v>Market Cap</c:v>
                </c:pt>
                <c:pt idx="1">
                  <c:v>Enterprise Value</c:v>
                </c:pt>
              </c:strCache>
              <c:extLst/>
            </c:strRef>
          </c:cat>
          <c:val>
            <c:numRef>
              <c:f>'Peer Analysis'!$E$8:$E$9</c:f>
              <c:numCache>
                <c:formatCode>_([$$-409]* #,##0_);_([$$-409]* \(#,##0\);_([$$-409]* "-"_);_(@_)</c:formatCode>
                <c:ptCount val="2"/>
                <c:pt idx="0">
                  <c:v>16120000000</c:v>
                </c:pt>
                <c:pt idx="1">
                  <c:v>18600000000</c:v>
                </c:pt>
              </c:numCache>
              <c:extLst/>
            </c:numRef>
          </c:val>
          <c:extLst>
            <c:ext xmlns:c16="http://schemas.microsoft.com/office/drawing/2014/chart" uri="{C3380CC4-5D6E-409C-BE32-E72D297353CC}">
              <c16:uniqueId val="{00000001-7C98-43F4-8C4C-AA736D644F7F}"/>
            </c:ext>
          </c:extLst>
        </c:ser>
        <c:ser>
          <c:idx val="2"/>
          <c:order val="2"/>
          <c:tx>
            <c:strRef>
              <c:f>'Peer Analysis'!$F$6</c:f>
              <c:strCache>
                <c:ptCount val="1"/>
                <c:pt idx="0">
                  <c:v>Intercontinental Hotels</c:v>
                </c:pt>
              </c:strCache>
            </c:strRef>
          </c:tx>
          <c:spPr>
            <a:solidFill>
              <a:schemeClr val="accent3"/>
            </a:solidFill>
            <a:ln>
              <a:noFill/>
            </a:ln>
            <a:effectLst/>
          </c:spPr>
          <c:invertIfNegative val="0"/>
          <c:cat>
            <c:strRef>
              <c:f>'Peer Analysis'!$C$8:$C$9</c:f>
              <c:strCache>
                <c:ptCount val="2"/>
                <c:pt idx="0">
                  <c:v>Market Cap</c:v>
                </c:pt>
                <c:pt idx="1">
                  <c:v>Enterprise Value</c:v>
                </c:pt>
              </c:strCache>
              <c:extLst/>
            </c:strRef>
          </c:cat>
          <c:val>
            <c:numRef>
              <c:f>'Peer Analysis'!$F$8:$F$9</c:f>
              <c:numCache>
                <c:formatCode>_-[$$-409]* #,##0.00_ ;_-[$$-409]* \-#,##0.00\ ;_-[$$-409]* "-"??_ ;_-@_ </c:formatCode>
                <c:ptCount val="2"/>
                <c:pt idx="0">
                  <c:v>22054400000</c:v>
                </c:pt>
                <c:pt idx="1">
                  <c:v>25024000000</c:v>
                </c:pt>
              </c:numCache>
              <c:extLst/>
            </c:numRef>
          </c:val>
          <c:extLst>
            <c:ext xmlns:c16="http://schemas.microsoft.com/office/drawing/2014/chart" uri="{C3380CC4-5D6E-409C-BE32-E72D297353CC}">
              <c16:uniqueId val="{00000002-7C98-43F4-8C4C-AA736D644F7F}"/>
            </c:ext>
          </c:extLst>
        </c:ser>
        <c:ser>
          <c:idx val="3"/>
          <c:order val="3"/>
          <c:tx>
            <c:strRef>
              <c:f>'Peer Analysis'!$G$6</c:f>
              <c:strCache>
                <c:ptCount val="1"/>
                <c:pt idx="0">
                  <c:v>Hilton Worldwide Holdings</c:v>
                </c:pt>
              </c:strCache>
            </c:strRef>
          </c:tx>
          <c:spPr>
            <a:solidFill>
              <a:schemeClr val="accent4"/>
            </a:solidFill>
            <a:ln>
              <a:noFill/>
            </a:ln>
            <a:effectLst/>
          </c:spPr>
          <c:invertIfNegative val="0"/>
          <c:cat>
            <c:strRef>
              <c:f>'Peer Analysis'!$C$8:$C$9</c:f>
              <c:strCache>
                <c:ptCount val="2"/>
                <c:pt idx="0">
                  <c:v>Market Cap</c:v>
                </c:pt>
                <c:pt idx="1">
                  <c:v>Enterprise Value</c:v>
                </c:pt>
              </c:strCache>
              <c:extLst/>
            </c:strRef>
          </c:cat>
          <c:val>
            <c:numRef>
              <c:f>'Peer Analysis'!$G$8:$G$9</c:f>
              <c:numCache>
                <c:formatCode>_([$$-409]* #,##0_);_([$$-409]* \(#,##0\);_([$$-409]* "-"_);_(@_)</c:formatCode>
                <c:ptCount val="2"/>
                <c:pt idx="0">
                  <c:v>51870000000</c:v>
                </c:pt>
                <c:pt idx="1">
                  <c:v>61190000000</c:v>
                </c:pt>
              </c:numCache>
              <c:extLst/>
            </c:numRef>
          </c:val>
          <c:extLst>
            <c:ext xmlns:c16="http://schemas.microsoft.com/office/drawing/2014/chart" uri="{C3380CC4-5D6E-409C-BE32-E72D297353CC}">
              <c16:uniqueId val="{00000003-7C98-43F4-8C4C-AA736D644F7F}"/>
            </c:ext>
          </c:extLst>
        </c:ser>
        <c:dLbls>
          <c:showLegendKey val="0"/>
          <c:showVal val="0"/>
          <c:showCatName val="0"/>
          <c:showSerName val="0"/>
          <c:showPercent val="0"/>
          <c:showBubbleSize val="0"/>
        </c:dLbls>
        <c:gapWidth val="219"/>
        <c:overlap val="-27"/>
        <c:axId val="1548683888"/>
        <c:axId val="1548678128"/>
      </c:barChart>
      <c:catAx>
        <c:axId val="154868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678128"/>
        <c:crosses val="autoZero"/>
        <c:auto val="1"/>
        <c:lblAlgn val="ctr"/>
        <c:lblOffset val="100"/>
        <c:noMultiLvlLbl val="0"/>
      </c:catAx>
      <c:valAx>
        <c:axId val="1548678128"/>
        <c:scaling>
          <c:orientation val="minMax"/>
        </c:scaling>
        <c:delete val="0"/>
        <c:axPos val="l"/>
        <c:majorGridlines>
          <c:spPr>
            <a:ln w="9525" cap="flat" cmpd="sng" algn="ctr">
              <a:solidFill>
                <a:schemeClr val="tx1">
                  <a:lumMod val="15000"/>
                  <a:lumOff val="85000"/>
                </a:schemeClr>
              </a:solidFill>
              <a:round/>
            </a:ln>
            <a:effectLst/>
          </c:spPr>
        </c:majorGridlines>
        <c:numFmt formatCode="_([$$-409]* #,##0_);_([$$-409]* \(#,##0\);_([$$-409]*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8683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Marriot Inc</c:v>
          </c:tx>
          <c:spPr>
            <a:solidFill>
              <a:schemeClr val="accent1"/>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Analysis'!$D$10:$D$15</c:f>
              <c:numCache>
                <c:formatCode>0.00</c:formatCode>
                <c:ptCount val="6"/>
                <c:pt idx="0">
                  <c:v>24.58</c:v>
                </c:pt>
                <c:pt idx="1">
                  <c:v>26.67</c:v>
                </c:pt>
                <c:pt idx="2">
                  <c:v>3.58</c:v>
                </c:pt>
                <c:pt idx="3">
                  <c:v>20.11</c:v>
                </c:pt>
                <c:pt idx="4">
                  <c:v>0.4894</c:v>
                </c:pt>
                <c:pt idx="5">
                  <c:v>0.43290000000000001</c:v>
                </c:pt>
              </c:numCache>
            </c:numRef>
          </c:val>
          <c:extLst>
            <c:ext xmlns:c16="http://schemas.microsoft.com/office/drawing/2014/chart" uri="{C3380CC4-5D6E-409C-BE32-E72D297353CC}">
              <c16:uniqueId val="{00000000-1238-4ED9-BF11-30125F6F0024}"/>
            </c:ext>
          </c:extLst>
        </c:ser>
        <c:ser>
          <c:idx val="1"/>
          <c:order val="1"/>
          <c:tx>
            <c:v>Hyatt Hotels</c:v>
          </c:tx>
          <c:spPr>
            <a:solidFill>
              <a:schemeClr val="accent2"/>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Analysis'!$E$10:$E$15</c:f>
              <c:numCache>
                <c:formatCode>0.00</c:formatCode>
                <c:ptCount val="6"/>
                <c:pt idx="0">
                  <c:v>76.44</c:v>
                </c:pt>
                <c:pt idx="1">
                  <c:v>43.48</c:v>
                </c:pt>
                <c:pt idx="2">
                  <c:v>2.79</c:v>
                </c:pt>
                <c:pt idx="3">
                  <c:v>20.8</c:v>
                </c:pt>
                <c:pt idx="4">
                  <c:v>3.3000000000000002E-2</c:v>
                </c:pt>
                <c:pt idx="5">
                  <c:v>3.5999999999999997E-2</c:v>
                </c:pt>
              </c:numCache>
            </c:numRef>
          </c:val>
          <c:extLst>
            <c:ext xmlns:c16="http://schemas.microsoft.com/office/drawing/2014/chart" uri="{C3380CC4-5D6E-409C-BE32-E72D297353CC}">
              <c16:uniqueId val="{00000001-1238-4ED9-BF11-30125F6F0024}"/>
            </c:ext>
          </c:extLst>
        </c:ser>
        <c:ser>
          <c:idx val="2"/>
          <c:order val="2"/>
          <c:tx>
            <c:v>Intercontinental Hotels</c:v>
          </c:tx>
          <c:spPr>
            <a:solidFill>
              <a:schemeClr val="accent3"/>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Analysis'!$F$10:$F$15</c:f>
              <c:numCache>
                <c:formatCode>0.00</c:formatCode>
                <c:ptCount val="6"/>
                <c:pt idx="0">
                  <c:v>24.01</c:v>
                </c:pt>
                <c:pt idx="1">
                  <c:v>24.63</c:v>
                </c:pt>
                <c:pt idx="2">
                  <c:v>4.2300000000000004</c:v>
                </c:pt>
                <c:pt idx="3">
                  <c:v>15.33</c:v>
                </c:pt>
                <c:pt idx="4">
                  <c:v>0.34660000000000002</c:v>
                </c:pt>
                <c:pt idx="5">
                  <c:v>1.2057</c:v>
                </c:pt>
              </c:numCache>
            </c:numRef>
          </c:val>
          <c:extLst>
            <c:ext xmlns:c16="http://schemas.microsoft.com/office/drawing/2014/chart" uri="{C3380CC4-5D6E-409C-BE32-E72D297353CC}">
              <c16:uniqueId val="{00000002-1238-4ED9-BF11-30125F6F0024}"/>
            </c:ext>
          </c:extLst>
        </c:ser>
        <c:ser>
          <c:idx val="3"/>
          <c:order val="3"/>
          <c:tx>
            <c:v>Hilton Worldwide Holdings</c:v>
          </c:tx>
          <c:spPr>
            <a:solidFill>
              <a:schemeClr val="accent4"/>
            </a:solidFill>
            <a:ln>
              <a:noFill/>
            </a:ln>
            <a:effectLst/>
          </c:spPr>
          <c:invertIfNegative val="0"/>
          <c:cat>
            <c:strRef>
              <c:f>'Peer Analysis'!$C$10:$C$15</c:f>
              <c:strCache>
                <c:ptCount val="6"/>
                <c:pt idx="0">
                  <c:v>Trailing P/E</c:v>
                </c:pt>
                <c:pt idx="1">
                  <c:v>Forward P/E</c:v>
                </c:pt>
                <c:pt idx="2">
                  <c:v>Enterprise Value/Revenue</c:v>
                </c:pt>
                <c:pt idx="3">
                  <c:v>Enterprise Value/EBITDA</c:v>
                </c:pt>
                <c:pt idx="4">
                  <c:v>Profit Margin</c:v>
                </c:pt>
                <c:pt idx="5">
                  <c:v>Operating Margin</c:v>
                </c:pt>
              </c:strCache>
            </c:strRef>
          </c:cat>
          <c:val>
            <c:numRef>
              <c:f>'Peer Analysis'!$G$10:$G$15</c:f>
              <c:numCache>
                <c:formatCode>0.00</c:formatCode>
                <c:ptCount val="6"/>
                <c:pt idx="0">
                  <c:v>47.51</c:v>
                </c:pt>
                <c:pt idx="1">
                  <c:v>29.15</c:v>
                </c:pt>
                <c:pt idx="2">
                  <c:v>5.98</c:v>
                </c:pt>
                <c:pt idx="3">
                  <c:v>26.57</c:v>
                </c:pt>
                <c:pt idx="4">
                  <c:v>0.25890000000000002</c:v>
                </c:pt>
                <c:pt idx="5">
                  <c:v>0.3921</c:v>
                </c:pt>
              </c:numCache>
            </c:numRef>
          </c:val>
          <c:extLst>
            <c:ext xmlns:c16="http://schemas.microsoft.com/office/drawing/2014/chart" uri="{C3380CC4-5D6E-409C-BE32-E72D297353CC}">
              <c16:uniqueId val="{00000003-1238-4ED9-BF11-30125F6F0024}"/>
            </c:ext>
          </c:extLst>
        </c:ser>
        <c:dLbls>
          <c:showLegendKey val="0"/>
          <c:showVal val="0"/>
          <c:showCatName val="0"/>
          <c:showSerName val="0"/>
          <c:showPercent val="0"/>
          <c:showBubbleSize val="0"/>
        </c:dLbls>
        <c:gapWidth val="219"/>
        <c:overlap val="-27"/>
        <c:axId val="1684574016"/>
        <c:axId val="1684567776"/>
      </c:barChart>
      <c:catAx>
        <c:axId val="168457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67776"/>
        <c:crosses val="autoZero"/>
        <c:auto val="1"/>
        <c:lblAlgn val="ctr"/>
        <c:lblOffset val="100"/>
        <c:noMultiLvlLbl val="0"/>
      </c:catAx>
      <c:valAx>
        <c:axId val="16845677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7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Operating</a:t>
            </a:r>
            <a:r>
              <a:rPr lang="en-GB" baseline="0"/>
              <a:t> and Profit Margins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Johnson &amp; Johnson</c:v>
          </c:tx>
          <c:spPr>
            <a:solidFill>
              <a:schemeClr val="accent1"/>
            </a:solidFill>
            <a:ln>
              <a:noFill/>
            </a:ln>
            <a:effectLst/>
          </c:spPr>
          <c:invertIfNegative val="0"/>
          <c:cat>
            <c:strRef>
              <c:f>'Johnson &amp; Johnson'!$I$16:$I$17</c:f>
              <c:strCache>
                <c:ptCount val="2"/>
                <c:pt idx="0">
                  <c:v>Profit Margin</c:v>
                </c:pt>
                <c:pt idx="1">
                  <c:v>Operating Margin</c:v>
                </c:pt>
              </c:strCache>
              <c:extLst/>
            </c:strRef>
          </c:cat>
          <c:val>
            <c:numRef>
              <c:f>'Johnson &amp; Johnson'!$J$16:$J$17</c:f>
              <c:numCache>
                <c:formatCode>0.00</c:formatCode>
                <c:ptCount val="2"/>
                <c:pt idx="0">
                  <c:v>0.4128</c:v>
                </c:pt>
                <c:pt idx="1">
                  <c:v>0.22109999999999999</c:v>
                </c:pt>
              </c:numCache>
              <c:extLst/>
            </c:numRef>
          </c:val>
          <c:extLst>
            <c:ext xmlns:c16="http://schemas.microsoft.com/office/drawing/2014/chart" uri="{C3380CC4-5D6E-409C-BE32-E72D297353CC}">
              <c16:uniqueId val="{00000000-3677-49AE-985F-E4159335FD9A}"/>
            </c:ext>
          </c:extLst>
        </c:ser>
        <c:ser>
          <c:idx val="1"/>
          <c:order val="1"/>
          <c:tx>
            <c:v>Medtronic plc</c:v>
          </c:tx>
          <c:spPr>
            <a:solidFill>
              <a:schemeClr val="accent2"/>
            </a:solidFill>
            <a:ln>
              <a:noFill/>
            </a:ln>
            <a:effectLst/>
          </c:spPr>
          <c:invertIfNegative val="0"/>
          <c:cat>
            <c:strRef>
              <c:f>'Johnson &amp; Johnson'!$I$16:$I$17</c:f>
              <c:strCache>
                <c:ptCount val="2"/>
                <c:pt idx="0">
                  <c:v>Profit Margin</c:v>
                </c:pt>
                <c:pt idx="1">
                  <c:v>Operating Margin</c:v>
                </c:pt>
              </c:strCache>
              <c:extLst/>
            </c:strRef>
          </c:cat>
          <c:val>
            <c:numRef>
              <c:f>'Johnson &amp; Johnson'!$K$16:$K$17</c:f>
              <c:numCache>
                <c:formatCode>0.00</c:formatCode>
                <c:ptCount val="2"/>
                <c:pt idx="0">
                  <c:v>0.13</c:v>
                </c:pt>
                <c:pt idx="1">
                  <c:v>8.1699999999999995E-2</c:v>
                </c:pt>
              </c:numCache>
              <c:extLst/>
            </c:numRef>
          </c:val>
          <c:extLst>
            <c:ext xmlns:c16="http://schemas.microsoft.com/office/drawing/2014/chart" uri="{C3380CC4-5D6E-409C-BE32-E72D297353CC}">
              <c16:uniqueId val="{00000001-3677-49AE-985F-E4159335FD9A}"/>
            </c:ext>
          </c:extLst>
        </c:ser>
        <c:ser>
          <c:idx val="2"/>
          <c:order val="2"/>
          <c:tx>
            <c:v>Abbot Laboratories</c:v>
          </c:tx>
          <c:spPr>
            <a:solidFill>
              <a:schemeClr val="accent3"/>
            </a:solidFill>
            <a:ln>
              <a:noFill/>
            </a:ln>
            <a:effectLst/>
          </c:spPr>
          <c:invertIfNegative val="0"/>
          <c:cat>
            <c:strRef>
              <c:f>'Johnson &amp; Johnson'!$I$16:$I$17</c:f>
              <c:strCache>
                <c:ptCount val="2"/>
                <c:pt idx="0">
                  <c:v>Profit Margin</c:v>
                </c:pt>
                <c:pt idx="1">
                  <c:v>Operating Margin</c:v>
                </c:pt>
              </c:strCache>
              <c:extLst/>
            </c:strRef>
          </c:cat>
          <c:val>
            <c:numRef>
              <c:f>'Johnson &amp; Johnson'!$L$16:$L$17</c:f>
              <c:numCache>
                <c:formatCode>0.00</c:formatCode>
                <c:ptCount val="2"/>
                <c:pt idx="0">
                  <c:v>0.14269999999999999</c:v>
                </c:pt>
                <c:pt idx="1">
                  <c:v>0.2009</c:v>
                </c:pt>
              </c:numCache>
              <c:extLst/>
            </c:numRef>
          </c:val>
          <c:extLst>
            <c:ext xmlns:c16="http://schemas.microsoft.com/office/drawing/2014/chart" uri="{C3380CC4-5D6E-409C-BE32-E72D297353CC}">
              <c16:uniqueId val="{00000002-3677-49AE-985F-E4159335FD9A}"/>
            </c:ext>
          </c:extLst>
        </c:ser>
        <c:ser>
          <c:idx val="3"/>
          <c:order val="3"/>
          <c:tx>
            <c:v>Danaher Corporation</c:v>
          </c:tx>
          <c:spPr>
            <a:solidFill>
              <a:schemeClr val="accent4"/>
            </a:solidFill>
            <a:ln>
              <a:noFill/>
            </a:ln>
            <a:effectLst/>
          </c:spPr>
          <c:invertIfNegative val="0"/>
          <c:cat>
            <c:strRef>
              <c:f>'Johnson &amp; Johnson'!$I$16:$I$17</c:f>
              <c:strCache>
                <c:ptCount val="2"/>
                <c:pt idx="0">
                  <c:v>Profit Margin</c:v>
                </c:pt>
                <c:pt idx="1">
                  <c:v>Operating Margin</c:v>
                </c:pt>
              </c:strCache>
              <c:extLst/>
            </c:strRef>
          </c:cat>
          <c:val>
            <c:numRef>
              <c:f>'Johnson &amp; Johnson'!$M$16:$M$17</c:f>
              <c:numCache>
                <c:formatCode>0.00</c:formatCode>
                <c:ptCount val="2"/>
                <c:pt idx="0">
                  <c:v>0.19939999999999999</c:v>
                </c:pt>
                <c:pt idx="1">
                  <c:v>0.2087</c:v>
                </c:pt>
              </c:numCache>
              <c:extLst/>
            </c:numRef>
          </c:val>
          <c:extLst>
            <c:ext xmlns:c16="http://schemas.microsoft.com/office/drawing/2014/chart" uri="{C3380CC4-5D6E-409C-BE32-E72D297353CC}">
              <c16:uniqueId val="{00000003-3677-49AE-985F-E4159335FD9A}"/>
            </c:ext>
          </c:extLst>
        </c:ser>
        <c:dLbls>
          <c:showLegendKey val="0"/>
          <c:showVal val="0"/>
          <c:showCatName val="0"/>
          <c:showSerName val="0"/>
          <c:showPercent val="0"/>
          <c:showBubbleSize val="0"/>
        </c:dLbls>
        <c:gapWidth val="219"/>
        <c:overlap val="-27"/>
        <c:axId val="951509599"/>
        <c:axId val="951504799"/>
      </c:barChart>
      <c:catAx>
        <c:axId val="95150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504799"/>
        <c:crosses val="autoZero"/>
        <c:auto val="1"/>
        <c:lblAlgn val="ctr"/>
        <c:lblOffset val="100"/>
        <c:noMultiLvlLbl val="0"/>
      </c:catAx>
      <c:valAx>
        <c:axId val="9515047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50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Financial</a:t>
            </a:r>
            <a:r>
              <a:rPr lang="en-GB" baseline="0"/>
              <a:t> Ratios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Johnson &amp; Johnson</c:v>
          </c:tx>
          <c:spPr>
            <a:solidFill>
              <a:schemeClr val="accent1"/>
            </a:solidFill>
            <a:ln>
              <a:noFill/>
            </a:ln>
            <a:effectLst/>
          </c:spPr>
          <c:invertIfNegative val="0"/>
          <c:cat>
            <c:strRef>
              <c:f>'Johnson &amp; Johnson'!$I$12:$I$15</c:f>
              <c:strCache>
                <c:ptCount val="4"/>
                <c:pt idx="0">
                  <c:v>Trailing P/E</c:v>
                </c:pt>
                <c:pt idx="1">
                  <c:v>Forward P/E</c:v>
                </c:pt>
                <c:pt idx="2">
                  <c:v>Enterprise Value/Revenue</c:v>
                </c:pt>
                <c:pt idx="3">
                  <c:v>Enterprise Value/EBITDA</c:v>
                </c:pt>
              </c:strCache>
              <c:extLst/>
            </c:strRef>
          </c:cat>
          <c:val>
            <c:numRef>
              <c:f>'Johnson &amp; Johnson'!$J$12:$J$15</c:f>
              <c:numCache>
                <c:formatCode>0.00</c:formatCode>
                <c:ptCount val="4"/>
                <c:pt idx="0">
                  <c:v>29.95</c:v>
                </c:pt>
                <c:pt idx="1">
                  <c:v>14.62</c:v>
                </c:pt>
                <c:pt idx="2">
                  <c:v>4.4800000000000004</c:v>
                </c:pt>
                <c:pt idx="3">
                  <c:v>16.37</c:v>
                </c:pt>
              </c:numCache>
              <c:extLst/>
            </c:numRef>
          </c:val>
          <c:extLst>
            <c:ext xmlns:c16="http://schemas.microsoft.com/office/drawing/2014/chart" uri="{C3380CC4-5D6E-409C-BE32-E72D297353CC}">
              <c16:uniqueId val="{00000000-E3DF-4227-935E-BE54EAA42D1D}"/>
            </c:ext>
          </c:extLst>
        </c:ser>
        <c:ser>
          <c:idx val="1"/>
          <c:order val="1"/>
          <c:tx>
            <c:v>Medtronic plc</c:v>
          </c:tx>
          <c:spPr>
            <a:solidFill>
              <a:schemeClr val="accent2"/>
            </a:solidFill>
            <a:ln>
              <a:noFill/>
            </a:ln>
            <a:effectLst/>
          </c:spPr>
          <c:invertIfNegative val="0"/>
          <c:cat>
            <c:strRef>
              <c:f>'Johnson &amp; Johnson'!$I$12:$I$15</c:f>
              <c:strCache>
                <c:ptCount val="4"/>
                <c:pt idx="0">
                  <c:v>Trailing P/E</c:v>
                </c:pt>
                <c:pt idx="1">
                  <c:v>Forward P/E</c:v>
                </c:pt>
                <c:pt idx="2">
                  <c:v>Enterprise Value/Revenue</c:v>
                </c:pt>
                <c:pt idx="3">
                  <c:v>Enterprise Value/EBITDA</c:v>
                </c:pt>
              </c:strCache>
              <c:extLst/>
            </c:strRef>
          </c:cat>
          <c:val>
            <c:numRef>
              <c:f>'Johnson &amp; Johnson'!$K$12:$K$15</c:f>
              <c:numCache>
                <c:formatCode>0.00</c:formatCode>
                <c:ptCount val="4"/>
                <c:pt idx="0">
                  <c:v>26.48</c:v>
                </c:pt>
                <c:pt idx="1">
                  <c:v>15.27</c:v>
                </c:pt>
                <c:pt idx="2">
                  <c:v>3.95</c:v>
                </c:pt>
                <c:pt idx="3">
                  <c:v>14.32</c:v>
                </c:pt>
              </c:numCache>
              <c:extLst/>
            </c:numRef>
          </c:val>
          <c:extLst>
            <c:ext xmlns:c16="http://schemas.microsoft.com/office/drawing/2014/chart" uri="{C3380CC4-5D6E-409C-BE32-E72D297353CC}">
              <c16:uniqueId val="{00000001-E3DF-4227-935E-BE54EAA42D1D}"/>
            </c:ext>
          </c:extLst>
        </c:ser>
        <c:ser>
          <c:idx val="2"/>
          <c:order val="2"/>
          <c:tx>
            <c:v>Abbot Laboratories</c:v>
          </c:tx>
          <c:spPr>
            <a:solidFill>
              <a:schemeClr val="accent3"/>
            </a:solidFill>
            <a:ln>
              <a:noFill/>
            </a:ln>
            <a:effectLst/>
          </c:spPr>
          <c:invertIfNegative val="0"/>
          <c:cat>
            <c:strRef>
              <c:f>'Johnson &amp; Johnson'!$I$12:$I$15</c:f>
              <c:strCache>
                <c:ptCount val="4"/>
                <c:pt idx="0">
                  <c:v>Trailing P/E</c:v>
                </c:pt>
                <c:pt idx="1">
                  <c:v>Forward P/E</c:v>
                </c:pt>
                <c:pt idx="2">
                  <c:v>Enterprise Value/Revenue</c:v>
                </c:pt>
                <c:pt idx="3">
                  <c:v>Enterprise Value/EBITDA</c:v>
                </c:pt>
              </c:strCache>
              <c:extLst/>
            </c:strRef>
          </c:cat>
          <c:val>
            <c:numRef>
              <c:f>'Johnson &amp; Johnson'!$L$12:$L$15</c:f>
              <c:numCache>
                <c:formatCode>0.00</c:formatCode>
                <c:ptCount val="4"/>
                <c:pt idx="0">
                  <c:v>34.21</c:v>
                </c:pt>
                <c:pt idx="1">
                  <c:v>24.15</c:v>
                </c:pt>
                <c:pt idx="2">
                  <c:v>5.03</c:v>
                </c:pt>
                <c:pt idx="3">
                  <c:v>19.14</c:v>
                </c:pt>
              </c:numCache>
              <c:extLst/>
            </c:numRef>
          </c:val>
          <c:extLst>
            <c:ext xmlns:c16="http://schemas.microsoft.com/office/drawing/2014/chart" uri="{C3380CC4-5D6E-409C-BE32-E72D297353CC}">
              <c16:uniqueId val="{00000002-E3DF-4227-935E-BE54EAA42D1D}"/>
            </c:ext>
          </c:extLst>
        </c:ser>
        <c:ser>
          <c:idx val="3"/>
          <c:order val="3"/>
          <c:tx>
            <c:v>Danaher Corporation</c:v>
          </c:tx>
          <c:spPr>
            <a:solidFill>
              <a:schemeClr val="accent4"/>
            </a:solidFill>
            <a:ln>
              <a:noFill/>
            </a:ln>
            <a:effectLst/>
          </c:spPr>
          <c:invertIfNegative val="0"/>
          <c:cat>
            <c:strRef>
              <c:f>'Johnson &amp; Johnson'!$I$12:$I$15</c:f>
              <c:strCache>
                <c:ptCount val="4"/>
                <c:pt idx="0">
                  <c:v>Trailing P/E</c:v>
                </c:pt>
                <c:pt idx="1">
                  <c:v>Forward P/E</c:v>
                </c:pt>
                <c:pt idx="2">
                  <c:v>Enterprise Value/Revenue</c:v>
                </c:pt>
                <c:pt idx="3">
                  <c:v>Enterprise Value/EBITDA</c:v>
                </c:pt>
              </c:strCache>
              <c:extLst/>
            </c:strRef>
          </c:cat>
          <c:val>
            <c:numRef>
              <c:f>'Johnson &amp; Johnson'!$M$12:$M$15</c:f>
              <c:numCache>
                <c:formatCode>0.00</c:formatCode>
                <c:ptCount val="4"/>
                <c:pt idx="0">
                  <c:v>44.98</c:v>
                </c:pt>
                <c:pt idx="1">
                  <c:v>33.33</c:v>
                </c:pt>
                <c:pt idx="2">
                  <c:v>8.44</c:v>
                </c:pt>
                <c:pt idx="3">
                  <c:v>26.9</c:v>
                </c:pt>
              </c:numCache>
              <c:extLst/>
            </c:numRef>
          </c:val>
          <c:extLst>
            <c:ext xmlns:c16="http://schemas.microsoft.com/office/drawing/2014/chart" uri="{C3380CC4-5D6E-409C-BE32-E72D297353CC}">
              <c16:uniqueId val="{00000003-E3DF-4227-935E-BE54EAA42D1D}"/>
            </c:ext>
          </c:extLst>
        </c:ser>
        <c:dLbls>
          <c:showLegendKey val="0"/>
          <c:showVal val="0"/>
          <c:showCatName val="0"/>
          <c:showSerName val="0"/>
          <c:showPercent val="0"/>
          <c:showBubbleSize val="0"/>
        </c:dLbls>
        <c:gapWidth val="219"/>
        <c:overlap val="-27"/>
        <c:axId val="951509599"/>
        <c:axId val="951504799"/>
      </c:barChart>
      <c:catAx>
        <c:axId val="951509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504799"/>
        <c:crosses val="autoZero"/>
        <c:auto val="1"/>
        <c:lblAlgn val="ctr"/>
        <c:lblOffset val="100"/>
        <c:noMultiLvlLbl val="0"/>
      </c:catAx>
      <c:valAx>
        <c:axId val="9515047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509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'Johnson &amp; Johnson'!$J$8</c:f>
              <c:strCache>
                <c:ptCount val="1"/>
                <c:pt idx="0">
                  <c:v>Johnson &amp; Johnson</c:v>
                </c:pt>
              </c:strCache>
            </c:strRef>
          </c:tx>
          <c:spPr>
            <a:solidFill>
              <a:schemeClr val="accent1"/>
            </a:solidFill>
            <a:ln>
              <a:noFill/>
            </a:ln>
            <a:effectLst/>
          </c:spPr>
          <c:invertIfNegative val="0"/>
          <c:cat>
            <c:strRef>
              <c:f>'Johnson &amp; Johnson'!$I$9:$I$11</c:f>
              <c:strCache>
                <c:ptCount val="3"/>
                <c:pt idx="0">
                  <c:v>Stock Price</c:v>
                </c:pt>
                <c:pt idx="1">
                  <c:v>Market Cap</c:v>
                </c:pt>
                <c:pt idx="2">
                  <c:v>Enterprise Value</c:v>
                </c:pt>
              </c:strCache>
              <c:extLst/>
            </c:strRef>
          </c:cat>
          <c:val>
            <c:numRef>
              <c:f>'Johnson &amp; Johnson'!$J$9:$J$11</c:f>
              <c:numCache>
                <c:formatCode>_-[$$-409]* #,##0.00_ ;_-[$$-409]* \-#,##0.00\ ;_-[$$-409]* "-"??_ ;_-@_ </c:formatCode>
                <c:ptCount val="3"/>
                <c:pt idx="0">
                  <c:v>0</c:v>
                </c:pt>
                <c:pt idx="1">
                  <c:v>0</c:v>
                </c:pt>
                <c:pt idx="2">
                  <c:v>0</c:v>
                </c:pt>
              </c:numCache>
              <c:extLst/>
            </c:numRef>
          </c:val>
          <c:extLst>
            <c:ext xmlns:c16="http://schemas.microsoft.com/office/drawing/2014/chart" uri="{C3380CC4-5D6E-409C-BE32-E72D297353CC}">
              <c16:uniqueId val="{00000000-4F15-469E-9A89-31E409CAC9E0}"/>
            </c:ext>
          </c:extLst>
        </c:ser>
        <c:ser>
          <c:idx val="1"/>
          <c:order val="1"/>
          <c:tx>
            <c:strRef>
              <c:f>'Johnson &amp; Johnson'!$K$8</c:f>
              <c:strCache>
                <c:ptCount val="1"/>
                <c:pt idx="0">
                  <c:v>Medtronic plc</c:v>
                </c:pt>
              </c:strCache>
            </c:strRef>
          </c:tx>
          <c:spPr>
            <a:solidFill>
              <a:schemeClr val="accent2"/>
            </a:solidFill>
            <a:ln>
              <a:noFill/>
            </a:ln>
            <a:effectLst/>
          </c:spPr>
          <c:invertIfNegative val="0"/>
          <c:cat>
            <c:strRef>
              <c:f>'Johnson &amp; Johnson'!$I$9:$I$11</c:f>
              <c:strCache>
                <c:ptCount val="3"/>
                <c:pt idx="0">
                  <c:v>Stock Price</c:v>
                </c:pt>
                <c:pt idx="1">
                  <c:v>Market Cap</c:v>
                </c:pt>
                <c:pt idx="2">
                  <c:v>Enterprise Value</c:v>
                </c:pt>
              </c:strCache>
              <c:extLst/>
            </c:strRef>
          </c:cat>
          <c:val>
            <c:numRef>
              <c:f>'Johnson &amp; Johnson'!$K$9:$K$11</c:f>
              <c:numCache>
                <c:formatCode>_-[$$-409]* #,##0.00_ ;_-[$$-409]* \-#,##0.00\ ;_-[$$-409]* "-"??_ ;_-@_ </c:formatCode>
                <c:ptCount val="3"/>
                <c:pt idx="0">
                  <c:v>0</c:v>
                </c:pt>
                <c:pt idx="1">
                  <c:v>0</c:v>
                </c:pt>
                <c:pt idx="2">
                  <c:v>0</c:v>
                </c:pt>
              </c:numCache>
              <c:extLst/>
            </c:numRef>
          </c:val>
          <c:extLst>
            <c:ext xmlns:c16="http://schemas.microsoft.com/office/drawing/2014/chart" uri="{C3380CC4-5D6E-409C-BE32-E72D297353CC}">
              <c16:uniqueId val="{00000001-4F15-469E-9A89-31E409CAC9E0}"/>
            </c:ext>
          </c:extLst>
        </c:ser>
        <c:ser>
          <c:idx val="2"/>
          <c:order val="2"/>
          <c:tx>
            <c:strRef>
              <c:f>'Johnson &amp; Johnson'!$L$8</c:f>
              <c:strCache>
                <c:ptCount val="1"/>
                <c:pt idx="0">
                  <c:v>Abbott Laboratories</c:v>
                </c:pt>
              </c:strCache>
            </c:strRef>
          </c:tx>
          <c:spPr>
            <a:solidFill>
              <a:schemeClr val="accent3"/>
            </a:solidFill>
            <a:ln>
              <a:noFill/>
            </a:ln>
            <a:effectLst/>
          </c:spPr>
          <c:invertIfNegative val="0"/>
          <c:cat>
            <c:strRef>
              <c:f>'Johnson &amp; Johnson'!$I$9:$I$11</c:f>
              <c:strCache>
                <c:ptCount val="3"/>
                <c:pt idx="0">
                  <c:v>Stock Price</c:v>
                </c:pt>
                <c:pt idx="1">
                  <c:v>Market Cap</c:v>
                </c:pt>
                <c:pt idx="2">
                  <c:v>Enterprise Value</c:v>
                </c:pt>
              </c:strCache>
              <c:extLst/>
            </c:strRef>
          </c:cat>
          <c:val>
            <c:numRef>
              <c:f>'Johnson &amp; Johnson'!$L$9:$L$11</c:f>
              <c:numCache>
                <c:formatCode>_-[$$-409]* #,##0.00_ ;_-[$$-409]* \-#,##0.00\ ;_-[$$-409]* "-"??_ ;_-@_ </c:formatCode>
                <c:ptCount val="3"/>
                <c:pt idx="0">
                  <c:v>0</c:v>
                </c:pt>
                <c:pt idx="1">
                  <c:v>0</c:v>
                </c:pt>
                <c:pt idx="2">
                  <c:v>0</c:v>
                </c:pt>
              </c:numCache>
              <c:extLst/>
            </c:numRef>
          </c:val>
          <c:extLst>
            <c:ext xmlns:c16="http://schemas.microsoft.com/office/drawing/2014/chart" uri="{C3380CC4-5D6E-409C-BE32-E72D297353CC}">
              <c16:uniqueId val="{00000002-4F15-469E-9A89-31E409CAC9E0}"/>
            </c:ext>
          </c:extLst>
        </c:ser>
        <c:ser>
          <c:idx val="3"/>
          <c:order val="3"/>
          <c:tx>
            <c:strRef>
              <c:f>'Johnson &amp; Johnson'!$M$8</c:f>
              <c:strCache>
                <c:ptCount val="1"/>
                <c:pt idx="0">
                  <c:v>Danaher Corporation</c:v>
                </c:pt>
              </c:strCache>
            </c:strRef>
          </c:tx>
          <c:spPr>
            <a:solidFill>
              <a:schemeClr val="accent4"/>
            </a:solidFill>
            <a:ln>
              <a:noFill/>
            </a:ln>
            <a:effectLst/>
          </c:spPr>
          <c:invertIfNegative val="0"/>
          <c:cat>
            <c:strRef>
              <c:f>'Johnson &amp; Johnson'!$I$9:$I$11</c:f>
              <c:strCache>
                <c:ptCount val="3"/>
                <c:pt idx="0">
                  <c:v>Stock Price</c:v>
                </c:pt>
                <c:pt idx="1">
                  <c:v>Market Cap</c:v>
                </c:pt>
                <c:pt idx="2">
                  <c:v>Enterprise Value</c:v>
                </c:pt>
              </c:strCache>
              <c:extLst/>
            </c:strRef>
          </c:cat>
          <c:val>
            <c:numRef>
              <c:f>'Johnson &amp; Johnson'!$M$9:$M$11</c:f>
              <c:numCache>
                <c:formatCode>_-[$$-409]* #,##0.00_ ;_-[$$-409]* \-#,##0.00\ ;_-[$$-409]* "-"??_ ;_-@_ </c:formatCode>
                <c:ptCount val="3"/>
                <c:pt idx="0">
                  <c:v>0</c:v>
                </c:pt>
                <c:pt idx="1">
                  <c:v>0</c:v>
                </c:pt>
                <c:pt idx="2">
                  <c:v>0</c:v>
                </c:pt>
              </c:numCache>
              <c:extLst/>
            </c:numRef>
          </c:val>
          <c:extLst>
            <c:ext xmlns:c16="http://schemas.microsoft.com/office/drawing/2014/chart" uri="{C3380CC4-5D6E-409C-BE32-E72D297353CC}">
              <c16:uniqueId val="{00000003-4F15-469E-9A89-31E409CAC9E0}"/>
            </c:ext>
          </c:extLst>
        </c:ser>
        <c:dLbls>
          <c:showLegendKey val="0"/>
          <c:showVal val="0"/>
          <c:showCatName val="0"/>
          <c:showSerName val="0"/>
          <c:showPercent val="0"/>
          <c:showBubbleSize val="0"/>
        </c:dLbls>
        <c:gapWidth val="219"/>
        <c:overlap val="-27"/>
        <c:axId val="49822095"/>
        <c:axId val="49823055"/>
      </c:barChart>
      <c:catAx>
        <c:axId val="4982209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3055"/>
        <c:crosses val="autoZero"/>
        <c:auto val="1"/>
        <c:lblAlgn val="ctr"/>
        <c:lblOffset val="100"/>
        <c:noMultiLvlLbl val="0"/>
      </c:catAx>
      <c:valAx>
        <c:axId val="49823055"/>
        <c:scaling>
          <c:orientation val="minMax"/>
        </c:scaling>
        <c:delete val="0"/>
        <c:axPos val="l"/>
        <c:majorGridlines>
          <c:spPr>
            <a:ln w="9525" cap="flat" cmpd="sng" algn="ctr">
              <a:solidFill>
                <a:schemeClr val="tx1">
                  <a:lumMod val="15000"/>
                  <a:lumOff val="85000"/>
                </a:schemeClr>
              </a:solidFill>
              <a:round/>
            </a:ln>
            <a:effectLst/>
          </c:spPr>
        </c:majorGridlines>
        <c:numFmt formatCode="_-[$$-409]* #,##0.00_ ;_-[$$-409]* \-#,##0.00\ ;_-[$$-409]* &quot;-&quot;??_ ;_-@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22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2236</TotalTime>
  <Pages>7</Pages>
  <Words>2138</Words>
  <Characters>12189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 Thiruseelan</dc:creator>
  <cp:keywords/>
  <dc:description/>
  <cp:lastModifiedBy>Tharun Thiruseelan</cp:lastModifiedBy>
  <cp:revision>31</cp:revision>
  <dcterms:created xsi:type="dcterms:W3CDTF">2024-03-18T21:19:00Z</dcterms:created>
  <dcterms:modified xsi:type="dcterms:W3CDTF">2024-03-25T15:46:00Z</dcterms:modified>
</cp:coreProperties>
</file>