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rPr>
          <w:rFonts w:hint="default"/>
          <w:b/>
          <w:bCs/>
          <w:lang w:val="en-US"/>
        </w:rPr>
      </w:pPr>
    </w:p>
    <w:p>
      <w:pPr>
        <w:numPr>
          <w:numId w:val="0"/>
        </w:numPr>
        <w:ind w:leftChars="0"/>
        <w:rPr>
          <w:rFonts w:hint="default"/>
          <w:b/>
          <w:bCs/>
          <w:lang w:val="en-US"/>
        </w:rPr>
      </w:pPr>
      <w:r>
        <w:rPr>
          <w:rFonts w:hint="default"/>
          <w:b/>
          <w:bCs/>
          <w:lang w:val="en-US"/>
        </w:rPr>
        <w:t>PEER GROUP 1</w:t>
      </w:r>
    </w:p>
    <w:p>
      <w:pPr>
        <w:numPr>
          <w:numId w:val="0"/>
        </w:numPr>
        <w:ind w:leftChars="0"/>
        <w:rPr>
          <w:rFonts w:hint="default"/>
          <w:b/>
          <w:bCs/>
          <w:lang w:val="en-US"/>
        </w:rPr>
      </w:pPr>
    </w:p>
    <w:p>
      <w:pPr>
        <w:numPr>
          <w:ilvl w:val="0"/>
          <w:numId w:val="1"/>
        </w:numPr>
        <w:tabs>
          <w:tab w:val="clear" w:pos="420"/>
        </w:tabs>
        <w:ind w:left="420" w:leftChars="0" w:right="0" w:rightChars="0" w:hanging="420" w:firstLineChars="0"/>
        <w:rPr>
          <w:sz w:val="20"/>
          <w:szCs w:val="20"/>
        </w:rPr>
      </w:pPr>
      <w:r>
        <w:rPr>
          <w:b/>
          <w:bCs/>
          <w:sz w:val="20"/>
          <w:szCs w:val="20"/>
        </w:rPr>
        <w:t>The Net margin</w:t>
      </w:r>
      <w:r>
        <w:rPr>
          <w:sz w:val="20"/>
          <w:szCs w:val="20"/>
        </w:rPr>
        <w:t xml:space="preserve"> of the peer</w:t>
      </w:r>
      <w:r>
        <w:rPr>
          <w:rFonts w:hint="default"/>
          <w:sz w:val="20"/>
          <w:szCs w:val="20"/>
          <w:lang w:val="en-US"/>
        </w:rPr>
        <w:t>s</w:t>
      </w:r>
      <w:r>
        <w:rPr>
          <w:sz w:val="20"/>
          <w:szCs w:val="20"/>
        </w:rPr>
        <w:t xml:space="preserve"> are</w:t>
      </w:r>
      <w:r>
        <w:rPr>
          <w:rFonts w:hint="default"/>
          <w:sz w:val="20"/>
          <w:szCs w:val="20"/>
          <w:lang w:val="en-US"/>
        </w:rPr>
        <w:t xml:space="preserve"> 13%, 3% and 11% </w:t>
      </w:r>
      <w:r>
        <w:rPr>
          <w:sz w:val="20"/>
          <w:szCs w:val="20"/>
        </w:rPr>
        <w:t xml:space="preserve"> for </w:t>
      </w:r>
      <w:r>
        <w:rPr>
          <w:rFonts w:hint="default"/>
          <w:sz w:val="20"/>
          <w:szCs w:val="20"/>
          <w:lang w:val="en-US"/>
        </w:rPr>
        <w:t>Marriott, Hyatt and Hilton Worldwide</w:t>
      </w:r>
      <w:r>
        <w:rPr>
          <w:sz w:val="20"/>
          <w:szCs w:val="20"/>
        </w:rPr>
        <w:t xml:space="preserve"> respectively</w:t>
      </w:r>
      <w:r>
        <w:rPr>
          <w:rFonts w:hint="default"/>
          <w:sz w:val="20"/>
          <w:szCs w:val="20"/>
          <w:lang w:val="en-US"/>
        </w:rPr>
        <w:t>. This figure implies</w:t>
      </w:r>
      <w:r>
        <w:rPr>
          <w:sz w:val="20"/>
          <w:szCs w:val="20"/>
        </w:rPr>
        <w:t xml:space="preserve"> that </w:t>
      </w:r>
      <w:r>
        <w:rPr>
          <w:rFonts w:hint="default"/>
          <w:sz w:val="20"/>
          <w:szCs w:val="20"/>
          <w:lang w:val="en-US"/>
        </w:rPr>
        <w:t>Marriott</w:t>
      </w:r>
      <w:r>
        <w:rPr>
          <w:sz w:val="20"/>
          <w:szCs w:val="20"/>
        </w:rPr>
        <w:t xml:space="preserve"> is the most profitable because it has the largest percentage of it revenue as net income among the peers</w:t>
      </w:r>
      <w:r>
        <w:rPr>
          <w:rFonts w:hint="default"/>
          <w:sz w:val="20"/>
          <w:szCs w:val="20"/>
          <w:lang w:val="en-US"/>
        </w:rPr>
        <w:t xml:space="preserve"> under consideration</w:t>
      </w:r>
      <w:r>
        <w:rPr>
          <w:sz w:val="20"/>
          <w:szCs w:val="20"/>
        </w:rPr>
        <w:t>.</w:t>
      </w:r>
      <w:r>
        <w:rPr>
          <w:rFonts w:hint="default"/>
          <w:sz w:val="20"/>
          <w:szCs w:val="20"/>
          <w:lang w:val="en-US"/>
        </w:rPr>
        <w:t xml:space="preserve"> </w:t>
      </w:r>
    </w:p>
    <w:p>
      <w:pPr>
        <w:numPr>
          <w:numId w:val="0"/>
        </w:numPr>
        <w:ind w:leftChars="0"/>
        <w:rPr>
          <w:rFonts w:hint="default"/>
          <w:b/>
          <w:bCs/>
          <w:lang w:val="en-US"/>
        </w:rPr>
      </w:pPr>
    </w:p>
    <w:p>
      <w:pPr>
        <w:numPr>
          <w:numId w:val="0"/>
        </w:numPr>
        <w:ind w:leftChars="0"/>
        <w:rPr>
          <w:rFonts w:hint="default"/>
          <w:b/>
          <w:bCs/>
          <w:lang w:val="en-US"/>
        </w:rPr>
      </w:pPr>
      <w:r>
        <w:drawing>
          <wp:inline distT="0" distB="0" distL="114300" distR="114300">
            <wp:extent cx="4502150" cy="264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4502150" cy="2641600"/>
                    </a:xfrm>
                    <a:prstGeom prst="rect">
                      <a:avLst/>
                    </a:prstGeom>
                    <a:noFill/>
                    <a:ln>
                      <a:noFill/>
                    </a:ln>
                  </pic:spPr>
                </pic:pic>
              </a:graphicData>
            </a:graphic>
          </wp:inline>
        </w:drawing>
      </w:r>
    </w:p>
    <w:p>
      <w:pPr>
        <w:numPr>
          <w:ilvl w:val="0"/>
          <w:numId w:val="2"/>
        </w:numPr>
        <w:tabs>
          <w:tab w:val="clear" w:pos="420"/>
        </w:tabs>
        <w:ind w:left="420" w:leftChars="0" w:hanging="420" w:firstLineChars="0"/>
        <w:rPr>
          <w:rFonts w:hint="default"/>
          <w:lang w:val="en-US"/>
        </w:rPr>
      </w:pPr>
      <w:r>
        <w:rPr>
          <w:rFonts w:hint="default"/>
          <w:lang w:val="en-US"/>
        </w:rPr>
        <w:t>J&amp;J has the highest return on asset at 0.12 indicating that its ability to generate profits relative to assets than the other. This is shown with the aid of the chart below:</w:t>
      </w:r>
    </w:p>
    <w:p>
      <w:pPr>
        <w:numPr>
          <w:numId w:val="0"/>
        </w:numPr>
        <w:rPr>
          <w:rFonts w:hint="default"/>
          <w:lang w:val="en-US"/>
        </w:rPr>
      </w:pPr>
    </w:p>
    <w:p>
      <w:pPr>
        <w:numPr>
          <w:numId w:val="0"/>
        </w:numPr>
      </w:pPr>
      <w:r>
        <w:rPr>
          <w:rFonts w:hint="default"/>
          <w:lang w:val="en-US"/>
        </w:rPr>
        <w:t xml:space="preserve">          </w:t>
      </w:r>
      <w:r>
        <w:drawing>
          <wp:inline distT="0" distB="0" distL="114300" distR="114300">
            <wp:extent cx="4498975" cy="2660650"/>
            <wp:effectExtent l="0" t="0" r="317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5"/>
                    <a:stretch>
                      <a:fillRect/>
                    </a:stretch>
                  </pic:blipFill>
                  <pic:spPr>
                    <a:xfrm>
                      <a:off x="0" y="0"/>
                      <a:ext cx="4498975" cy="2660650"/>
                    </a:xfrm>
                    <a:prstGeom prst="rect">
                      <a:avLst/>
                    </a:prstGeom>
                    <a:noFill/>
                    <a:ln>
                      <a:noFill/>
                    </a:ln>
                  </pic:spPr>
                </pic:pic>
              </a:graphicData>
            </a:graphic>
          </wp:inline>
        </w:drawing>
      </w:r>
    </w:p>
    <w:p>
      <w:pPr>
        <w:numPr>
          <w:numId w:val="0"/>
        </w:numPr>
        <w:rPr>
          <w:rFonts w:hint="default"/>
          <w:lang w:val="en-US"/>
        </w:rPr>
      </w:pPr>
    </w:p>
    <w:p>
      <w:pPr>
        <w:numPr>
          <w:ilvl w:val="0"/>
          <w:numId w:val="1"/>
        </w:numPr>
        <w:tabs>
          <w:tab w:val="clear" w:pos="420"/>
        </w:tabs>
        <w:ind w:left="420" w:leftChars="0" w:right="0" w:rightChars="0" w:hanging="420" w:firstLineChars="0"/>
        <w:rPr>
          <w:sz w:val="20"/>
          <w:szCs w:val="20"/>
        </w:rPr>
      </w:pPr>
      <w:r>
        <w:rPr>
          <w:rFonts w:hint="default"/>
          <w:sz w:val="20"/>
          <w:szCs w:val="20"/>
          <w:lang w:val="en-US"/>
        </w:rPr>
        <w:t>The</w:t>
      </w:r>
      <w:r>
        <w:rPr>
          <w:rFonts w:hint="default"/>
          <w:b/>
          <w:bCs/>
          <w:sz w:val="20"/>
          <w:szCs w:val="20"/>
          <w:lang w:val="en-US"/>
        </w:rPr>
        <w:t xml:space="preserve"> Return on Equity</w:t>
      </w:r>
      <w:r>
        <w:rPr>
          <w:rFonts w:hint="default"/>
          <w:sz w:val="20"/>
          <w:szCs w:val="20"/>
          <w:lang w:val="en-US"/>
        </w:rPr>
        <w:t xml:space="preserve"> is negative suggesting that the net income of Marriott is insufficient to cover its shareholders' equity. This </w:t>
      </w:r>
      <w:r>
        <w:rPr>
          <w:rFonts w:hint="default"/>
          <w:sz w:val="20"/>
          <w:szCs w:val="20"/>
        </w:rPr>
        <w:t>is caused by excessive debt that amplify the losses and reduce equity, leading to a negative Return on equity</w:t>
      </w:r>
      <w:r>
        <w:rPr>
          <w:rFonts w:hint="default"/>
          <w:sz w:val="20"/>
          <w:szCs w:val="20"/>
          <w:lang w:val="en-US"/>
        </w:rPr>
        <w:t xml:space="preserve"> as shown below.</w:t>
      </w:r>
    </w:p>
    <w:p>
      <w:pPr>
        <w:numPr>
          <w:numId w:val="0"/>
        </w:numPr>
        <w:ind w:right="0" w:rightChars="0"/>
        <w:rPr>
          <w:sz w:val="20"/>
          <w:szCs w:val="20"/>
        </w:rPr>
      </w:pPr>
    </w:p>
    <w:p>
      <w:pPr>
        <w:numPr>
          <w:ilvl w:val="0"/>
          <w:numId w:val="2"/>
        </w:numPr>
        <w:tabs>
          <w:tab w:val="clear" w:pos="420"/>
        </w:tabs>
        <w:ind w:left="420" w:leftChars="0" w:hanging="420" w:firstLineChars="0"/>
        <w:rPr>
          <w:rFonts w:hint="default"/>
          <w:lang w:val="en-US"/>
        </w:rPr>
      </w:pPr>
      <w:r>
        <w:rPr>
          <w:sz w:val="20"/>
          <w:szCs w:val="20"/>
        </w:rPr>
        <w:drawing>
          <wp:inline distT="0" distB="0" distL="114300" distR="114300">
            <wp:extent cx="5731510" cy="336994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rcRect/>
                    <a:stretch>
                      <a:fillRect/>
                    </a:stretch>
                  </pic:blipFill>
                  <pic:spPr>
                    <a:xfrm>
                      <a:off x="0" y="0"/>
                      <a:ext cx="5731510" cy="3369945"/>
                    </a:xfrm>
                    <a:prstGeom prst="rect">
                      <a:avLst/>
                    </a:prstGeom>
                  </pic:spPr>
                </pic:pic>
              </a:graphicData>
            </a:graphic>
          </wp:inline>
        </w:drawing>
      </w:r>
    </w:p>
    <w:p>
      <w:pPr>
        <w:numPr>
          <w:numId w:val="0"/>
        </w:numPr>
        <w:ind w:leftChars="0"/>
        <w:rPr>
          <w:rFonts w:hint="default"/>
          <w:b/>
          <w:bCs/>
          <w:lang w:val="en-US"/>
        </w:rPr>
      </w:pPr>
    </w:p>
    <w:p>
      <w:pPr>
        <w:numPr>
          <w:numId w:val="0"/>
        </w:numPr>
        <w:ind w:leftChars="0"/>
        <w:rPr>
          <w:rFonts w:hint="default"/>
          <w:b/>
          <w:bCs/>
          <w:lang w:val="en-US"/>
        </w:rPr>
      </w:pPr>
    </w:p>
    <w:p>
      <w:pPr>
        <w:numPr>
          <w:numId w:val="0"/>
        </w:numPr>
        <w:ind w:leftChars="0"/>
        <w:rPr>
          <w:rFonts w:hint="default"/>
          <w:b/>
          <w:bCs/>
          <w:lang w:val="en-US"/>
        </w:rPr>
      </w:pPr>
    </w:p>
    <w:p>
      <w:pPr>
        <w:numPr>
          <w:numId w:val="0"/>
        </w:numPr>
        <w:ind w:leftChars="0"/>
        <w:rPr>
          <w:rFonts w:hint="default"/>
          <w:b/>
          <w:bCs/>
          <w:lang w:val="en-US"/>
        </w:rPr>
      </w:pPr>
      <w:r>
        <w:rPr>
          <w:rFonts w:hint="default"/>
          <w:b/>
          <w:bCs/>
          <w:lang w:val="en-US"/>
        </w:rPr>
        <w:t>PEER GROUP 2</w:t>
      </w:r>
    </w:p>
    <w:p>
      <w:pPr>
        <w:numPr>
          <w:numId w:val="0"/>
        </w:numPr>
        <w:ind w:leftChars="0"/>
        <w:rPr>
          <w:rFonts w:hint="default"/>
          <w:lang w:val="en-US"/>
        </w:rPr>
      </w:pPr>
    </w:p>
    <w:p>
      <w:pPr>
        <w:numPr>
          <w:ilvl w:val="0"/>
          <w:numId w:val="2"/>
        </w:numPr>
        <w:tabs>
          <w:tab w:val="clear" w:pos="420"/>
        </w:tabs>
        <w:ind w:left="420" w:leftChars="0" w:hanging="420" w:firstLineChars="0"/>
        <w:rPr>
          <w:rFonts w:hint="default"/>
          <w:lang w:val="en-US"/>
        </w:rPr>
      </w:pPr>
      <w:r>
        <w:rPr>
          <w:rFonts w:hint="default"/>
          <w:lang w:val="en-US"/>
        </w:rPr>
        <w:t>The analysis</w:t>
      </w:r>
      <w:bookmarkStart w:id="0" w:name="_GoBack"/>
      <w:bookmarkEnd w:id="0"/>
      <w:r>
        <w:rPr>
          <w:rFonts w:hint="default"/>
          <w:lang w:val="en-US"/>
        </w:rPr>
        <w:t xml:space="preserve"> clearly indicate that J &amp; J has the best liquidity in terms of meeting its debt obligations without external funding among the the peers under considerations.</w:t>
      </w:r>
    </w:p>
    <w:p>
      <w:pPr>
        <w:numPr>
          <w:numId w:val="0"/>
        </w:numPr>
        <w:rPr>
          <w:rFonts w:hint="default"/>
          <w:lang w:val="en-US"/>
        </w:rPr>
      </w:pPr>
    </w:p>
    <w:p>
      <w:pPr>
        <w:numPr>
          <w:numId w:val="0"/>
        </w:numPr>
        <w:rPr>
          <w:rFonts w:hint="default"/>
          <w:lang w:val="en-US"/>
        </w:rPr>
      </w:pPr>
      <w:r>
        <w:rPr>
          <w:rFonts w:hint="default"/>
          <w:lang w:val="en-US"/>
        </w:rPr>
        <w:t xml:space="preserve">        </w:t>
      </w:r>
      <w:r>
        <w:drawing>
          <wp:inline distT="0" distB="0" distL="114300" distR="114300">
            <wp:extent cx="4549775" cy="2686050"/>
            <wp:effectExtent l="0" t="0" r="317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7"/>
                    <a:stretch>
                      <a:fillRect/>
                    </a:stretch>
                  </pic:blipFill>
                  <pic:spPr>
                    <a:xfrm>
                      <a:off x="0" y="0"/>
                      <a:ext cx="4549775" cy="2686050"/>
                    </a:xfrm>
                    <a:prstGeom prst="rect">
                      <a:avLst/>
                    </a:prstGeom>
                    <a:noFill/>
                    <a:ln>
                      <a:noFill/>
                    </a:ln>
                  </pic:spPr>
                </pic:pic>
              </a:graphicData>
            </a:graphic>
          </wp:inline>
        </w:drawing>
      </w:r>
    </w:p>
    <w:p>
      <w:pPr>
        <w:numPr>
          <w:numId w:val="0"/>
        </w:numPr>
        <w:rPr>
          <w:rFonts w:hint="default"/>
          <w:lang w:val="en-US"/>
        </w:rPr>
      </w:pPr>
    </w:p>
    <w:p>
      <w:pPr>
        <w:numPr>
          <w:ilvl w:val="0"/>
          <w:numId w:val="2"/>
        </w:numPr>
        <w:tabs>
          <w:tab w:val="clear" w:pos="420"/>
        </w:tabs>
        <w:ind w:left="420" w:leftChars="0" w:hanging="420" w:firstLineChars="0"/>
        <w:rPr>
          <w:rFonts w:hint="default"/>
          <w:lang w:val="en-US"/>
        </w:rPr>
      </w:pPr>
      <w:r>
        <w:rPr>
          <w:rFonts w:hint="default"/>
          <w:lang w:val="en-US"/>
        </w:rPr>
        <w:t>It is also the most profitable considering her Net margin of 41% as shown by the chart below.</w:t>
      </w:r>
    </w:p>
    <w:p>
      <w:pPr>
        <w:numPr>
          <w:numId w:val="0"/>
        </w:numPr>
        <w:ind w:leftChars="0"/>
        <w:rPr>
          <w:rFonts w:hint="default"/>
          <w:lang w:val="en-US"/>
        </w:rPr>
      </w:pPr>
    </w:p>
    <w:p>
      <w:pPr>
        <w:numPr>
          <w:numId w:val="0"/>
        </w:numPr>
        <w:ind w:leftChars="0"/>
        <w:rPr>
          <w:sz w:val="20"/>
          <w:szCs w:val="20"/>
        </w:rPr>
      </w:pPr>
      <w:r>
        <w:rPr>
          <w:sz w:val="20"/>
          <w:szCs w:val="20"/>
        </w:rPr>
        <w:drawing>
          <wp:inline distT="0" distB="0" distL="114300" distR="114300">
            <wp:extent cx="5731510" cy="346392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rcRect/>
                    <a:stretch>
                      <a:fillRect/>
                    </a:stretch>
                  </pic:blipFill>
                  <pic:spPr>
                    <a:xfrm>
                      <a:off x="0" y="0"/>
                      <a:ext cx="5731510" cy="3463925"/>
                    </a:xfrm>
                    <a:prstGeom prst="rect">
                      <a:avLst/>
                    </a:prstGeom>
                  </pic:spPr>
                </pic:pic>
              </a:graphicData>
            </a:graphic>
          </wp:inline>
        </w:drawing>
      </w:r>
    </w:p>
    <w:p>
      <w:pPr>
        <w:numPr>
          <w:numId w:val="0"/>
        </w:numPr>
        <w:ind w:leftChars="0"/>
        <w:rPr>
          <w:sz w:val="20"/>
          <w:szCs w:val="20"/>
        </w:rPr>
      </w:pPr>
    </w:p>
    <w:p>
      <w:pPr>
        <w:numPr>
          <w:numId w:val="0"/>
        </w:numPr>
        <w:ind w:leftChars="0"/>
        <w:rPr>
          <w:sz w:val="20"/>
          <w:szCs w:val="20"/>
        </w:rPr>
      </w:pPr>
    </w:p>
    <w:p>
      <w:pPr>
        <w:numPr>
          <w:numId w:val="0"/>
        </w:numPr>
        <w:ind w:leftChars="0"/>
        <w:rPr>
          <w:rFonts w:hint="default"/>
          <w:sz w:val="20"/>
          <w:szCs w:val="20"/>
          <w:lang w:val="en-US"/>
        </w:rPr>
      </w:pPr>
    </w:p>
    <w:p>
      <w:pPr>
        <w:numPr>
          <w:ilvl w:val="0"/>
          <w:numId w:val="2"/>
        </w:numPr>
        <w:tabs>
          <w:tab w:val="clear" w:pos="420"/>
        </w:tabs>
        <w:ind w:left="420" w:leftChars="0" w:hanging="420" w:firstLineChars="0"/>
        <w:rPr>
          <w:rFonts w:hint="default"/>
          <w:lang w:val="en-US"/>
        </w:rPr>
      </w:pPr>
      <w:r>
        <w:rPr>
          <w:rFonts w:hint="default"/>
          <w:lang w:val="en-US"/>
        </w:rPr>
        <w:t>J&amp;J has the highest return on asset and equity at 0.21 and 0.51 respectively indicating that its ability to generate profits relative assets, or equity than the other. This is shown with the aid of the chart below:</w:t>
      </w:r>
    </w:p>
    <w:p>
      <w:pPr>
        <w:numPr>
          <w:numId w:val="0"/>
        </w:numPr>
        <w:rPr>
          <w:rFonts w:hint="default"/>
          <w:lang w:val="en-US"/>
        </w:rPr>
      </w:pPr>
    </w:p>
    <w:p>
      <w:pPr>
        <w:numPr>
          <w:numId w:val="0"/>
        </w:numPr>
        <w:rPr>
          <w:sz w:val="20"/>
          <w:szCs w:val="20"/>
        </w:rPr>
      </w:pPr>
      <w:r>
        <w:rPr>
          <w:sz w:val="20"/>
          <w:szCs w:val="20"/>
        </w:rPr>
        <w:drawing>
          <wp:inline distT="0" distB="0" distL="114300" distR="114300">
            <wp:extent cx="5731510" cy="33782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rcRect/>
                    <a:stretch>
                      <a:fillRect/>
                    </a:stretch>
                  </pic:blipFill>
                  <pic:spPr>
                    <a:xfrm>
                      <a:off x="0" y="0"/>
                      <a:ext cx="5731510" cy="3378200"/>
                    </a:xfrm>
                    <a:prstGeom prst="rect">
                      <a:avLst/>
                    </a:prstGeom>
                  </pic:spPr>
                </pic:pic>
              </a:graphicData>
            </a:graphic>
          </wp:inline>
        </w:drawing>
      </w:r>
    </w:p>
    <w:p>
      <w:pPr>
        <w:numPr>
          <w:numId w:val="0"/>
        </w:numPr>
        <w:rPr>
          <w:sz w:val="20"/>
          <w:szCs w:val="20"/>
        </w:rPr>
      </w:pPr>
    </w:p>
    <w:p>
      <w:pPr>
        <w:numPr>
          <w:numId w:val="0"/>
        </w:numPr>
        <w:rPr>
          <w:sz w:val="20"/>
          <w:szCs w:val="20"/>
        </w:rPr>
      </w:pPr>
    </w:p>
    <w:p>
      <w:pPr>
        <w:numPr>
          <w:numId w:val="0"/>
        </w:numPr>
        <w:rPr>
          <w:rFonts w:hint="default"/>
          <w:sz w:val="20"/>
          <w:szCs w:val="20"/>
          <w:lang w:val="en-US"/>
        </w:rPr>
      </w:pPr>
      <w:r>
        <w:drawing>
          <wp:inline distT="0" distB="0" distL="114300" distR="114300">
            <wp:extent cx="4524375" cy="25463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524375" cy="2546350"/>
                    </a:xfrm>
                    <a:prstGeom prst="rect">
                      <a:avLst/>
                    </a:prstGeom>
                    <a:noFill/>
                    <a:ln>
                      <a:no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32E91"/>
    <w:multiLevelType w:val="singleLevel"/>
    <w:tmpl w:val="80C32E9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AF260AA"/>
    <w:multiLevelType w:val="singleLevel"/>
    <w:tmpl w:val="8AF260A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675FF"/>
    <w:rsid w:val="00FB2829"/>
    <w:rsid w:val="01A675FF"/>
    <w:rsid w:val="026558D4"/>
    <w:rsid w:val="02F6136A"/>
    <w:rsid w:val="0730075A"/>
    <w:rsid w:val="07541C13"/>
    <w:rsid w:val="0795047E"/>
    <w:rsid w:val="092B1819"/>
    <w:rsid w:val="0B911F88"/>
    <w:rsid w:val="0D3C7A45"/>
    <w:rsid w:val="0E5C591E"/>
    <w:rsid w:val="0E8B5169"/>
    <w:rsid w:val="0EFF7422"/>
    <w:rsid w:val="10247488"/>
    <w:rsid w:val="130A724C"/>
    <w:rsid w:val="131D046B"/>
    <w:rsid w:val="193C7053"/>
    <w:rsid w:val="19823668"/>
    <w:rsid w:val="1A9A4135"/>
    <w:rsid w:val="1B4667CC"/>
    <w:rsid w:val="1B6E7990"/>
    <w:rsid w:val="1DF8703A"/>
    <w:rsid w:val="1DFB7FBE"/>
    <w:rsid w:val="25A34ACC"/>
    <w:rsid w:val="2A204819"/>
    <w:rsid w:val="2A273037"/>
    <w:rsid w:val="2CD15194"/>
    <w:rsid w:val="2CF653D4"/>
    <w:rsid w:val="2E4B642E"/>
    <w:rsid w:val="2EF31996"/>
    <w:rsid w:val="2F6F6D61"/>
    <w:rsid w:val="2F866987"/>
    <w:rsid w:val="2FDF2898"/>
    <w:rsid w:val="330A1ACB"/>
    <w:rsid w:val="33843993"/>
    <w:rsid w:val="351A72AD"/>
    <w:rsid w:val="389820A0"/>
    <w:rsid w:val="3A977FAE"/>
    <w:rsid w:val="3AC961FF"/>
    <w:rsid w:val="3CA13886"/>
    <w:rsid w:val="3F651E10"/>
    <w:rsid w:val="3FB52E94"/>
    <w:rsid w:val="40AB2127"/>
    <w:rsid w:val="40D8646E"/>
    <w:rsid w:val="416163D3"/>
    <w:rsid w:val="44934F90"/>
    <w:rsid w:val="470A341B"/>
    <w:rsid w:val="487B7DFA"/>
    <w:rsid w:val="49624874"/>
    <w:rsid w:val="4A547680"/>
    <w:rsid w:val="4BF103A5"/>
    <w:rsid w:val="4DA03C92"/>
    <w:rsid w:val="4DF158ED"/>
    <w:rsid w:val="4F205FDF"/>
    <w:rsid w:val="4F2449E5"/>
    <w:rsid w:val="4F840281"/>
    <w:rsid w:val="4FBB61DD"/>
    <w:rsid w:val="50286811"/>
    <w:rsid w:val="50766910"/>
    <w:rsid w:val="541D2F0E"/>
    <w:rsid w:val="5C4A56F7"/>
    <w:rsid w:val="5C641B24"/>
    <w:rsid w:val="5DFC0941"/>
    <w:rsid w:val="5E9033B3"/>
    <w:rsid w:val="5EE66340"/>
    <w:rsid w:val="6061362E"/>
    <w:rsid w:val="60665537"/>
    <w:rsid w:val="61135650"/>
    <w:rsid w:val="63FA0916"/>
    <w:rsid w:val="64A864B1"/>
    <w:rsid w:val="6E070112"/>
    <w:rsid w:val="6ED674E5"/>
    <w:rsid w:val="70DF533C"/>
    <w:rsid w:val="744A74A4"/>
    <w:rsid w:val="752714C3"/>
    <w:rsid w:val="77EB7A4D"/>
    <w:rsid w:val="79C9375B"/>
    <w:rsid w:val="7ABB1DEA"/>
    <w:rsid w:val="7E2A2A0B"/>
    <w:rsid w:val="7F45445C"/>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2024-03-06T15:42:00Z</dcterms:created>
  <dc:creator>WPS_1666186833</dc:creator>
  <cp:lastModifiedBy>WPS_1666186833</cp:lastModifiedBy>
  <dcterms:modified xsi:type="dcterms:W3CDTF">2024-03-06T18:35:08Z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F364AB6AFEE649238DC75D6249493EA9_13</vt:lpwstr>
  </property>
</Properties>
</file>