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Pr="00560B4D" w:rsidRDefault="00A6150D" w:rsidP="00A6150D">
      <w:pPr>
        <w:pStyle w:val="ListParagraph"/>
        <w:numPr>
          <w:ilvl w:val="0"/>
          <w:numId w:val="1"/>
        </w:numPr>
      </w:pPr>
      <w:r>
        <w:t xml:space="preserve">You are required to fill in the report template below using the sample report attached and your readings on the </w:t>
      </w:r>
      <w:r w:rsidRPr="00560B4D">
        <w:t>company’s guidance in terms of key segments and products.</w:t>
      </w:r>
    </w:p>
    <w:p w14:paraId="7ED85178" w14:textId="4921C263" w:rsidR="00A6150D" w:rsidRPr="00560B4D" w:rsidRDefault="00A6150D" w:rsidP="00A6150D">
      <w:pPr>
        <w:pStyle w:val="ListParagraph"/>
        <w:numPr>
          <w:ilvl w:val="1"/>
          <w:numId w:val="1"/>
        </w:numPr>
      </w:pPr>
      <w:r w:rsidRPr="00560B4D">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rsidRPr="00560B4D">
        <w:t xml:space="preserve">You can take up to two days for this task and feel free to reach out to me if you </w:t>
      </w:r>
      <w:r>
        <w:t>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652DB477" w14:textId="1C0B43DE" w:rsidR="00733C05" w:rsidRDefault="00B92FD6" w:rsidP="00733C05">
                            <w:r w:rsidRPr="00017B2B">
                              <w:rPr>
                                <w:b/>
                                <w:bCs/>
                              </w:rPr>
                              <w:t xml:space="preserve">Point </w:t>
                            </w:r>
                            <w:r>
                              <w:rPr>
                                <w:b/>
                                <w:bCs/>
                              </w:rPr>
                              <w:t>1</w:t>
                            </w:r>
                            <w:r w:rsidRPr="00017B2B">
                              <w:rPr>
                                <w:b/>
                                <w:bCs/>
                              </w:rPr>
                              <w:t>:</w:t>
                            </w:r>
                            <w:r>
                              <w:rPr>
                                <w:b/>
                                <w:bCs/>
                              </w:rPr>
                              <w:t xml:space="preserve"> </w:t>
                            </w:r>
                            <w:r w:rsidR="00733C05">
                              <w:t>Revenue is expected to grow at an average of 6.4% annually from historical trends. The North America, alongside the EMEA are the main segment and they jointly contributed 66% in year 2022. The footwear is the main driver of revenue along the product line.</w:t>
                            </w:r>
                          </w:p>
                          <w:p w14:paraId="4E7916A3" w14:textId="25711F5C" w:rsidR="00B92FD6" w:rsidRPr="00B92FD6" w:rsidRDefault="00B92FD6" w:rsidP="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652DB477" w14:textId="1C0B43DE" w:rsidR="00733C05" w:rsidRDefault="00B92FD6" w:rsidP="00733C05">
                      <w:r w:rsidRPr="00017B2B">
                        <w:rPr>
                          <w:b/>
                          <w:bCs/>
                        </w:rPr>
                        <w:t xml:space="preserve">Point </w:t>
                      </w:r>
                      <w:r>
                        <w:rPr>
                          <w:b/>
                          <w:bCs/>
                        </w:rPr>
                        <w:t>1</w:t>
                      </w:r>
                      <w:r w:rsidRPr="00017B2B">
                        <w:rPr>
                          <w:b/>
                          <w:bCs/>
                        </w:rPr>
                        <w:t>:</w:t>
                      </w:r>
                      <w:r>
                        <w:rPr>
                          <w:b/>
                          <w:bCs/>
                        </w:rPr>
                        <w:t xml:space="preserve"> </w:t>
                      </w:r>
                      <w:r w:rsidR="00733C05">
                        <w:t>Revenue is expected to grow at an average of 6.4% annually from historical trends. The North America, alongside the EMEA are the main segment and they jointly contributed 66% in year 2022. The footwear is the main driver of revenue along the product line.</w:t>
                      </w:r>
                    </w:p>
                    <w:p w14:paraId="4E7916A3" w14:textId="25711F5C" w:rsidR="00B92FD6" w:rsidRPr="00B92FD6" w:rsidRDefault="00B92FD6" w:rsidP="00B92FD6"/>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76384902" w14:textId="5C82AD95" w:rsidR="00A7177F" w:rsidRDefault="00017B2B" w:rsidP="00A7177F">
                            <w:r w:rsidRPr="00017B2B">
                              <w:rPr>
                                <w:b/>
                                <w:bCs/>
                              </w:rPr>
                              <w:t>Point 2:</w:t>
                            </w:r>
                            <w:r w:rsidR="00B92FD6">
                              <w:rPr>
                                <w:b/>
                                <w:bCs/>
                              </w:rPr>
                              <w:t xml:space="preserve"> </w:t>
                            </w:r>
                            <w:r w:rsidR="00A7177F">
                              <w:t xml:space="preserve">The group EBITDA for 2022 stood at 16.2%. Nike Inc is expected to maintain an average of 15% margin in line with historical trends. The operating segments of North America and EMEA have significant contributions to earnings. In addition, The APLA have had consistent growth in earnings. </w:t>
                            </w:r>
                          </w:p>
                          <w:p w14:paraId="182755EA" w14:textId="6855CD6E" w:rsidR="00017B2B" w:rsidRPr="00B92FD6" w:rsidRDefault="00A7177F" w:rsidP="00A7177F">
                            <w:r>
                              <w:t>The projected cost of operation is expected to be at 87% of revenue which is considerably 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76384902" w14:textId="5C82AD95" w:rsidR="00A7177F" w:rsidRDefault="00017B2B" w:rsidP="00A7177F">
                      <w:r w:rsidRPr="00017B2B">
                        <w:rPr>
                          <w:b/>
                          <w:bCs/>
                        </w:rPr>
                        <w:t>Point 2:</w:t>
                      </w:r>
                      <w:r w:rsidR="00B92FD6">
                        <w:rPr>
                          <w:b/>
                          <w:bCs/>
                        </w:rPr>
                        <w:t xml:space="preserve"> </w:t>
                      </w:r>
                      <w:r w:rsidR="00A7177F">
                        <w:t xml:space="preserve">The group EBITDA for 2022 stood at 16.2%. Nike Inc is expected to maintain an average of 15% margin in line with historical trends. The operating segments of North America and EMEA have significant contributions to earnings. In addition, The APLA have had consistent growth in earnings. </w:t>
                      </w:r>
                    </w:p>
                    <w:p w14:paraId="182755EA" w14:textId="6855CD6E" w:rsidR="00017B2B" w:rsidRPr="00B92FD6" w:rsidRDefault="00A7177F" w:rsidP="00A7177F">
                      <w:r>
                        <w:t>The projected cost of operation is expected to be at 87% of revenue which is considerably high.</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67E2A467" w14:textId="610F5DD2" w:rsidR="002B1A0A" w:rsidRPr="00F514C6" w:rsidRDefault="00017B2B" w:rsidP="002B1A0A">
                            <w:pPr>
                              <w:rPr>
                                <w:b/>
                                <w:bCs/>
                              </w:rPr>
                            </w:pPr>
                            <w:r w:rsidRPr="00017B2B">
                              <w:rPr>
                                <w:b/>
                                <w:bCs/>
                              </w:rPr>
                              <w:t>Point 3</w:t>
                            </w:r>
                            <w:r>
                              <w:rPr>
                                <w:b/>
                                <w:bCs/>
                              </w:rPr>
                              <w:t>:</w:t>
                            </w:r>
                            <w:r w:rsidR="00B92FD6">
                              <w:rPr>
                                <w:b/>
                                <w:bCs/>
                              </w:rPr>
                              <w:t xml:space="preserve"> </w:t>
                            </w:r>
                            <w:r w:rsidR="002B1A0A">
                              <w:t xml:space="preserve">EPS should continue to grow annually as revenues are projected to grow by 6.4%. Nike </w:t>
                            </w:r>
                            <w:r w:rsidR="00560B4D">
                              <w:t>I</w:t>
                            </w:r>
                            <w:r w:rsidR="002B1A0A">
                              <w:t xml:space="preserve">nc is expected to have more funds available to investors. FCFF is projected to be available at an expected growth rate of 17.91%. </w:t>
                            </w:r>
                          </w:p>
                          <w:p w14:paraId="7CCA02B8" w14:textId="77777777" w:rsidR="002B1A0A" w:rsidRDefault="002B1A0A" w:rsidP="002B1A0A">
                            <w:r>
                              <w:t xml:space="preserve">Capital expenditures are expected to steadily increase as Nike Inc is expected to continue to invest in the digital market and in opportunities inherent in emerging markets. </w:t>
                            </w:r>
                          </w:p>
                          <w:p w14:paraId="1B23DB5F" w14:textId="6987E024" w:rsidR="00017B2B" w:rsidRPr="00B92FD6" w:rsidRDefault="00017B2B"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67E2A467" w14:textId="610F5DD2" w:rsidR="002B1A0A" w:rsidRPr="00F514C6" w:rsidRDefault="00017B2B" w:rsidP="002B1A0A">
                      <w:pPr>
                        <w:rPr>
                          <w:b/>
                          <w:bCs/>
                        </w:rPr>
                      </w:pPr>
                      <w:r w:rsidRPr="00017B2B">
                        <w:rPr>
                          <w:b/>
                          <w:bCs/>
                        </w:rPr>
                        <w:t>Point 3</w:t>
                      </w:r>
                      <w:r>
                        <w:rPr>
                          <w:b/>
                          <w:bCs/>
                        </w:rPr>
                        <w:t>:</w:t>
                      </w:r>
                      <w:r w:rsidR="00B92FD6">
                        <w:rPr>
                          <w:b/>
                          <w:bCs/>
                        </w:rPr>
                        <w:t xml:space="preserve"> </w:t>
                      </w:r>
                      <w:r w:rsidR="002B1A0A">
                        <w:t xml:space="preserve">EPS should continue to grow annually as revenues are projected to grow by 6.4%. Nike </w:t>
                      </w:r>
                      <w:r w:rsidR="00560B4D">
                        <w:t>I</w:t>
                      </w:r>
                      <w:r w:rsidR="002B1A0A">
                        <w:t xml:space="preserve">nc is expected to have more funds available to investors. FCFF is projected to be available at an expected growth rate of 17.91%. </w:t>
                      </w:r>
                    </w:p>
                    <w:p w14:paraId="7CCA02B8" w14:textId="77777777" w:rsidR="002B1A0A" w:rsidRDefault="002B1A0A" w:rsidP="002B1A0A">
                      <w:r>
                        <w:t xml:space="preserve">Capital expenditures are expected to steadily increase as Nike Inc is expected to continue to invest in the digital market and in opportunities inherent in emerging markets. </w:t>
                      </w:r>
                    </w:p>
                    <w:p w14:paraId="1B23DB5F" w14:textId="6987E024" w:rsidR="00017B2B" w:rsidRPr="00B92FD6" w:rsidRDefault="00017B2B"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6DF181F3" w14:textId="217C194E" w:rsidR="00B92FD6" w:rsidRPr="00017B2B" w:rsidRDefault="00F1083C">
                            <w:r w:rsidRPr="00F1083C">
                              <w:t>The intrinsic share price as calculated in line with the model adopted stood at $130.95. The results shows that the stock price of Nike Inc is currently undervalued. This impacts positively on Nike Inc market price with and outlook of an upward trajectory by 0.43.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6DF181F3" w14:textId="217C194E" w:rsidR="00B92FD6" w:rsidRPr="00017B2B" w:rsidRDefault="00F1083C">
                      <w:r w:rsidRPr="00F1083C">
                        <w:t>The intrinsic share price as calculated in line with the model adopted stood at $130.95. The results shows that the stock price of Nike Inc is currently undervalued. This impacts positively on Nike Inc market price with and outlook of an upward trajectory by 0.43.</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2B3B977C" w:rsidR="00017B2B" w:rsidRDefault="00017B2B">
                            <w:r>
                              <w:t>Company Name</w:t>
                            </w:r>
                            <w:r w:rsidR="004843D6">
                              <w:t>: Nike Inc</w:t>
                            </w:r>
                          </w:p>
                          <w:p w14:paraId="4696F081" w14:textId="72E86F2C" w:rsidR="00017B2B" w:rsidRDefault="00017B2B">
                            <w:r>
                              <w:t>Ticker</w:t>
                            </w:r>
                            <w:r w:rsidR="004843D6">
                              <w:t>: NKE</w:t>
                            </w:r>
                          </w:p>
                          <w:p w14:paraId="7B155A12" w14:textId="4D09171D" w:rsidR="00017B2B" w:rsidRDefault="00017B2B">
                            <w:r>
                              <w:t xml:space="preserve">Current </w:t>
                            </w:r>
                            <w:r w:rsidR="00B92FD6">
                              <w:t>Share</w:t>
                            </w:r>
                            <w:r>
                              <w:t xml:space="preserve"> Price</w:t>
                            </w:r>
                            <w:r w:rsidR="004843D6">
                              <w:t>: $</w:t>
                            </w:r>
                            <w:r w:rsidR="00CD1719">
                              <w:t>91.67 (</w:t>
                            </w:r>
                            <w:r w:rsidR="00BE635D">
                              <w:t>At c</w:t>
                            </w:r>
                            <w:r w:rsidR="00CD1719">
                              <w:t>lose</w:t>
                            </w:r>
                            <w:r w:rsidR="00BE635D">
                              <w:t>, May 29</w:t>
                            </w:r>
                            <w:proofErr w:type="gramStart"/>
                            <w:r w:rsidR="00BE635D">
                              <w:t xml:space="preserve"> 2024</w:t>
                            </w:r>
                            <w:proofErr w:type="gramEnd"/>
                            <w:r w:rsidR="00BE635D">
                              <w:t>)</w:t>
                            </w:r>
                          </w:p>
                          <w:p w14:paraId="51657A7D" w14:textId="77AB8FD0" w:rsidR="00B720B0" w:rsidRDefault="00B720B0">
                            <w:r>
                              <w:t>Upside/Downside to current share price: ((Forecasted Price – Current Price)/Current Price)</w:t>
                            </w:r>
                            <w:r w:rsidR="00EF2712">
                              <w:t xml:space="preserve">: </w:t>
                            </w:r>
                            <w:r w:rsidR="003E3C6E">
                              <w:t>0.43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2B3B977C" w:rsidR="00017B2B" w:rsidRDefault="00017B2B">
                      <w:r>
                        <w:t>Company Name</w:t>
                      </w:r>
                      <w:r w:rsidR="004843D6">
                        <w:t>: Nike Inc</w:t>
                      </w:r>
                    </w:p>
                    <w:p w14:paraId="4696F081" w14:textId="72E86F2C" w:rsidR="00017B2B" w:rsidRDefault="00017B2B">
                      <w:r>
                        <w:t>Ticker</w:t>
                      </w:r>
                      <w:r w:rsidR="004843D6">
                        <w:t>: NKE</w:t>
                      </w:r>
                    </w:p>
                    <w:p w14:paraId="7B155A12" w14:textId="4D09171D" w:rsidR="00017B2B" w:rsidRDefault="00017B2B">
                      <w:r>
                        <w:t xml:space="preserve">Current </w:t>
                      </w:r>
                      <w:r w:rsidR="00B92FD6">
                        <w:t>Share</w:t>
                      </w:r>
                      <w:r>
                        <w:t xml:space="preserve"> Price</w:t>
                      </w:r>
                      <w:r w:rsidR="004843D6">
                        <w:t>: $</w:t>
                      </w:r>
                      <w:r w:rsidR="00CD1719">
                        <w:t>91.67 (</w:t>
                      </w:r>
                      <w:r w:rsidR="00BE635D">
                        <w:t>At c</w:t>
                      </w:r>
                      <w:r w:rsidR="00CD1719">
                        <w:t>lose</w:t>
                      </w:r>
                      <w:r w:rsidR="00BE635D">
                        <w:t>, May 29</w:t>
                      </w:r>
                      <w:proofErr w:type="gramStart"/>
                      <w:r w:rsidR="00BE635D">
                        <w:t xml:space="preserve"> 2024</w:t>
                      </w:r>
                      <w:proofErr w:type="gramEnd"/>
                      <w:r w:rsidR="00BE635D">
                        <w:t>)</w:t>
                      </w:r>
                    </w:p>
                    <w:p w14:paraId="51657A7D" w14:textId="77AB8FD0" w:rsidR="00B720B0" w:rsidRDefault="00B720B0">
                      <w:r>
                        <w:t>Upside/Downside to current share price: ((Forecasted Price – Current Price)/Current Price)</w:t>
                      </w:r>
                      <w:r w:rsidR="00EF2712">
                        <w:t xml:space="preserve">: </w:t>
                      </w:r>
                      <w:r w:rsidR="003E3C6E">
                        <w:t>0.43</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0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0044"/>
    <w:rsid w:val="00017B2B"/>
    <w:rsid w:val="002B1A0A"/>
    <w:rsid w:val="003E3C6E"/>
    <w:rsid w:val="004843D6"/>
    <w:rsid w:val="00497A3F"/>
    <w:rsid w:val="005362DB"/>
    <w:rsid w:val="00560B4D"/>
    <w:rsid w:val="00601608"/>
    <w:rsid w:val="00731797"/>
    <w:rsid w:val="00733C05"/>
    <w:rsid w:val="009E34DD"/>
    <w:rsid w:val="00A6150D"/>
    <w:rsid w:val="00A7177F"/>
    <w:rsid w:val="00B2118C"/>
    <w:rsid w:val="00B713A7"/>
    <w:rsid w:val="00B720B0"/>
    <w:rsid w:val="00B92FD6"/>
    <w:rsid w:val="00BE635D"/>
    <w:rsid w:val="00CD1719"/>
    <w:rsid w:val="00E40EBD"/>
    <w:rsid w:val="00EF2712"/>
    <w:rsid w:val="00F1083C"/>
    <w:rsid w:val="00F4210A"/>
    <w:rsid w:val="00F5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GODWIN BASSEY</cp:lastModifiedBy>
  <cp:revision>20</cp:revision>
  <dcterms:created xsi:type="dcterms:W3CDTF">2020-08-04T09:51:00Z</dcterms:created>
  <dcterms:modified xsi:type="dcterms:W3CDTF">2024-05-30T13:51:00Z</dcterms:modified>
</cp:coreProperties>
</file>