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BF59" w14:textId="5783FA60" w:rsidR="00A17BEE" w:rsidRPr="007B5924" w:rsidRDefault="005133D0" w:rsidP="00D14FDB">
      <w:pPr>
        <w:spacing w:after="120" w:line="240" w:lineRule="auto"/>
        <w:rPr>
          <w:rFonts w:ascii="Avenir Next LT Pro" w:hAnsi="Avenir Next LT Pro"/>
          <w:b/>
          <w:bCs/>
          <w:color w:val="002060"/>
          <w:sz w:val="20"/>
          <w:szCs w:val="20"/>
        </w:rPr>
      </w:pPr>
      <w:r w:rsidRPr="007B5924">
        <w:rPr>
          <w:rFonts w:ascii="Avenir Next LT Pro" w:hAnsi="Avenir Next LT Pro"/>
          <w:b/>
          <w:bCs/>
          <w:color w:val="002060"/>
          <w:sz w:val="20"/>
          <w:szCs w:val="20"/>
        </w:rPr>
        <w:t>Marriot Inc.</w:t>
      </w:r>
    </w:p>
    <w:p w14:paraId="40CA786B" w14:textId="77F98AE8" w:rsidR="005133D0" w:rsidRPr="007B5924" w:rsidRDefault="00A05F65" w:rsidP="00D14FDB">
      <w:pPr>
        <w:spacing w:after="120" w:line="240" w:lineRule="auto"/>
        <w:rPr>
          <w:rFonts w:ascii="Avenir Next LT Pro" w:hAnsi="Avenir Next LT Pro"/>
          <w:b/>
          <w:bCs/>
          <w:color w:val="002060"/>
          <w:sz w:val="20"/>
          <w:szCs w:val="20"/>
        </w:rPr>
      </w:pPr>
      <w:r w:rsidRPr="007B5924">
        <w:rPr>
          <w:rFonts w:ascii="Avenir Next LT Pro" w:hAnsi="Avenir Next LT Pro"/>
          <w:b/>
          <w:bCs/>
          <w:color w:val="002060"/>
          <w:sz w:val="20"/>
          <w:szCs w:val="20"/>
        </w:rPr>
        <w:t>Revenue Driver</w:t>
      </w:r>
      <w:r w:rsidR="00213A45" w:rsidRPr="007B5924">
        <w:rPr>
          <w:rFonts w:ascii="Avenir Next LT Pro" w:hAnsi="Avenir Next LT Pro"/>
          <w:b/>
          <w:bCs/>
          <w:color w:val="002060"/>
          <w:sz w:val="20"/>
          <w:szCs w:val="20"/>
        </w:rPr>
        <w:t>s</w:t>
      </w:r>
    </w:p>
    <w:p w14:paraId="07D1E5E8" w14:textId="77777777" w:rsidR="0093672C" w:rsidRPr="007B5924" w:rsidRDefault="0093672C" w:rsidP="0093672C">
      <w:pPr>
        <w:spacing w:after="120" w:line="240" w:lineRule="auto"/>
        <w:rPr>
          <w:rFonts w:ascii="Avenir Next LT Pro" w:hAnsi="Avenir Next LT Pro"/>
          <w:color w:val="002060"/>
          <w:sz w:val="20"/>
          <w:szCs w:val="20"/>
        </w:rPr>
      </w:pPr>
      <w:r w:rsidRPr="007B5924">
        <w:rPr>
          <w:rFonts w:ascii="Avenir Next LT Pro" w:hAnsi="Avenir Next LT Pro"/>
          <w:color w:val="002060"/>
          <w:sz w:val="20"/>
          <w:szCs w:val="20"/>
        </w:rPr>
        <w:t>Marriott International's revenue drivers include optimizing occupancy rates and average daily rates to maximize revenue per available room (RevPAR). Revenue is also generated from food and beverage services, meetings and events, and loyalty programs like Marriott Bonvoy. Franchise and management fees from various business models, alongside ancillary services and global expansion efforts, contribute to revenue growth. Additionally, technology investments and brand diversification strategies further enhance revenue streams by improving guest experiences and capturing diverse market segments.</w:t>
      </w:r>
    </w:p>
    <w:p w14:paraId="7CAF138B" w14:textId="48E587B4" w:rsidR="0093672C" w:rsidRPr="007B5924" w:rsidRDefault="006A616E" w:rsidP="0093672C">
      <w:pPr>
        <w:spacing w:after="120" w:line="240" w:lineRule="auto"/>
        <w:rPr>
          <w:rFonts w:ascii="Avenir Next LT Pro" w:hAnsi="Avenir Next LT Pro"/>
          <w:b/>
          <w:bCs/>
          <w:color w:val="002060"/>
          <w:sz w:val="20"/>
          <w:szCs w:val="20"/>
        </w:rPr>
      </w:pPr>
      <w:r w:rsidRPr="007B5924">
        <w:rPr>
          <w:sz w:val="20"/>
          <w:szCs w:val="20"/>
        </w:rPr>
        <w:drawing>
          <wp:inline distT="0" distB="0" distL="0" distR="0" wp14:anchorId="16F91D6A" wp14:editId="5AA2FF0E">
            <wp:extent cx="3750121" cy="2129051"/>
            <wp:effectExtent l="0" t="0" r="3175" b="5080"/>
            <wp:docPr id="1484477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4975" cy="2131807"/>
                    </a:xfrm>
                    <a:prstGeom prst="rect">
                      <a:avLst/>
                    </a:prstGeom>
                    <a:noFill/>
                    <a:ln>
                      <a:noFill/>
                    </a:ln>
                  </pic:spPr>
                </pic:pic>
              </a:graphicData>
            </a:graphic>
          </wp:inline>
        </w:drawing>
      </w:r>
    </w:p>
    <w:p w14:paraId="5243F350" w14:textId="77777777" w:rsidR="009A507E" w:rsidRPr="007B5924" w:rsidRDefault="009A507E" w:rsidP="009A507E">
      <w:pPr>
        <w:spacing w:after="120" w:line="240" w:lineRule="auto"/>
        <w:rPr>
          <w:rFonts w:ascii="Avenir Next LT Pro" w:hAnsi="Avenir Next LT Pro"/>
          <w:color w:val="002060"/>
          <w:sz w:val="20"/>
          <w:szCs w:val="20"/>
        </w:rPr>
      </w:pPr>
      <w:r w:rsidRPr="007B5924">
        <w:rPr>
          <w:rFonts w:ascii="Avenir Next LT Pro" w:hAnsi="Avenir Next LT Pro"/>
          <w:color w:val="002060"/>
          <w:sz w:val="20"/>
          <w:szCs w:val="20"/>
        </w:rPr>
        <w:t>The company's performance has been notably affected by positive growth rates observed in each revenue driver. Primarily, revenue stems from reimbursements for expenses incurred on behalf of managed properties. Furthermore, there has been a consistent upward trend in both the average daily rate and revenue per available room, indicating adjustments to pricing strategies.</w:t>
      </w:r>
    </w:p>
    <w:p w14:paraId="13DA374E" w14:textId="77777777" w:rsidR="009A507E" w:rsidRPr="007B5924" w:rsidRDefault="009A507E" w:rsidP="009A507E">
      <w:pPr>
        <w:spacing w:after="120" w:line="240" w:lineRule="auto"/>
        <w:rPr>
          <w:rFonts w:ascii="Avenir Next LT Pro" w:hAnsi="Avenir Next LT Pro"/>
          <w:b/>
          <w:bCs/>
          <w:color w:val="002060"/>
          <w:sz w:val="20"/>
          <w:szCs w:val="20"/>
        </w:rPr>
      </w:pPr>
    </w:p>
    <w:p w14:paraId="1DB2DEC4" w14:textId="77777777" w:rsidR="001719F1" w:rsidRPr="007B5924" w:rsidRDefault="00A458D6" w:rsidP="00A458D6">
      <w:pPr>
        <w:spacing w:after="120" w:line="240" w:lineRule="auto"/>
        <w:rPr>
          <w:rFonts w:ascii="Avenir Next LT Pro" w:hAnsi="Avenir Next LT Pro"/>
          <w:b/>
          <w:bCs/>
          <w:color w:val="002060"/>
          <w:sz w:val="20"/>
          <w:szCs w:val="20"/>
        </w:rPr>
      </w:pPr>
      <w:r w:rsidRPr="007B5924">
        <w:rPr>
          <w:rFonts w:ascii="Avenir Next LT Pro" w:hAnsi="Avenir Next LT Pro"/>
          <w:b/>
          <w:bCs/>
          <w:color w:val="002060"/>
          <w:sz w:val="20"/>
          <w:szCs w:val="20"/>
        </w:rPr>
        <w:t>Cost drivers</w:t>
      </w:r>
    </w:p>
    <w:p w14:paraId="3A96EFB1" w14:textId="1C523FA5" w:rsidR="001719F1" w:rsidRPr="007B5924" w:rsidRDefault="00924AE8" w:rsidP="00A458D6">
      <w:pPr>
        <w:spacing w:after="120" w:line="240" w:lineRule="auto"/>
        <w:rPr>
          <w:rFonts w:ascii="Avenir Next LT Pro" w:hAnsi="Avenir Next LT Pro"/>
          <w:color w:val="002060"/>
          <w:sz w:val="20"/>
          <w:szCs w:val="20"/>
        </w:rPr>
      </w:pPr>
      <w:r w:rsidRPr="007B5924">
        <w:rPr>
          <w:rFonts w:ascii="Avenir Next LT Pro" w:hAnsi="Avenir Next LT Pro"/>
          <w:color w:val="002060"/>
          <w:sz w:val="20"/>
          <w:szCs w:val="20"/>
        </w:rPr>
        <w:t xml:space="preserve">In 2023, Marriott International's cost drivers included operating expenses, encompassing </w:t>
      </w:r>
      <w:proofErr w:type="spellStart"/>
      <w:r w:rsidRPr="007B5924">
        <w:rPr>
          <w:rFonts w:ascii="Avenir Next LT Pro" w:hAnsi="Avenir Next LT Pro"/>
          <w:color w:val="002060"/>
          <w:sz w:val="20"/>
          <w:szCs w:val="20"/>
        </w:rPr>
        <w:t>labor</w:t>
      </w:r>
      <w:proofErr w:type="spellEnd"/>
      <w:r w:rsidRPr="007B5924">
        <w:rPr>
          <w:rFonts w:ascii="Avenir Next LT Pro" w:hAnsi="Avenir Next LT Pro"/>
          <w:color w:val="002060"/>
          <w:sz w:val="20"/>
          <w:szCs w:val="20"/>
        </w:rPr>
        <w:t>, utilities, maintenance, and property management. Marketing and sales expenses were significant, covering advertising, promotions, and sales efforts. Property development and renovation costs accounted for expenses related to acquiring, developing, and refurbishing properties. Technology investments were essential, covering infrastructure, reservation systems, and online platforms. Additionally, franchise support, corporate overhead, and regulatory compliance expenses were key factors influencing Marriott's cost structure in 2023.</w:t>
      </w:r>
    </w:p>
    <w:p w14:paraId="252C4640" w14:textId="1685B30B" w:rsidR="00924AE8" w:rsidRPr="007B5924" w:rsidRDefault="002E55BA" w:rsidP="00A458D6">
      <w:pPr>
        <w:spacing w:after="120" w:line="240" w:lineRule="auto"/>
        <w:rPr>
          <w:rFonts w:ascii="Avenir Next LT Pro" w:hAnsi="Avenir Next LT Pro"/>
          <w:b/>
          <w:bCs/>
          <w:color w:val="002060"/>
          <w:sz w:val="20"/>
          <w:szCs w:val="20"/>
        </w:rPr>
      </w:pPr>
      <w:r w:rsidRPr="007B5924">
        <w:rPr>
          <w:noProof/>
          <w:sz w:val="20"/>
          <w:szCs w:val="20"/>
        </w:rPr>
        <w:drawing>
          <wp:inline distT="0" distB="0" distL="0" distR="0" wp14:anchorId="22325ED3" wp14:editId="016C967A">
            <wp:extent cx="5581650" cy="1838325"/>
            <wp:effectExtent l="0" t="0" r="0" b="0"/>
            <wp:docPr id="1955464938" name="Chart 1">
              <a:extLst xmlns:a="http://schemas.openxmlformats.org/drawingml/2006/main">
                <a:ext uri="{FF2B5EF4-FFF2-40B4-BE49-F238E27FC236}">
                  <a16:creationId xmlns:a16="http://schemas.microsoft.com/office/drawing/2014/main" id="{7F92EB98-C275-9971-4B5A-CD42FB0298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7F91A5" w14:textId="7C88BFA0" w:rsidR="00A458D6" w:rsidRPr="007B5924" w:rsidRDefault="001719F1" w:rsidP="00A458D6">
      <w:pPr>
        <w:spacing w:after="120" w:line="240" w:lineRule="auto"/>
        <w:rPr>
          <w:rFonts w:ascii="Avenir Next LT Pro" w:hAnsi="Avenir Next LT Pro"/>
          <w:b/>
          <w:bCs/>
          <w:color w:val="002060"/>
          <w:sz w:val="20"/>
          <w:szCs w:val="20"/>
        </w:rPr>
      </w:pPr>
      <w:r w:rsidRPr="007B5924">
        <w:rPr>
          <w:rFonts w:ascii="Avenir Next LT Pro" w:hAnsi="Avenir Next LT Pro"/>
          <w:b/>
          <w:bCs/>
          <w:color w:val="002060"/>
          <w:sz w:val="20"/>
          <w:szCs w:val="20"/>
        </w:rPr>
        <w:t>Peer Performance</w:t>
      </w:r>
    </w:p>
    <w:p w14:paraId="6E0BA97E" w14:textId="34CB70FD" w:rsidR="00A47E43" w:rsidRPr="007B5924" w:rsidRDefault="00F40B79" w:rsidP="00D14FDB">
      <w:pPr>
        <w:spacing w:after="120" w:line="240" w:lineRule="auto"/>
        <w:rPr>
          <w:rFonts w:ascii="Avenir Next LT Pro" w:hAnsi="Avenir Next LT Pro"/>
          <w:b/>
          <w:bCs/>
          <w:color w:val="002060"/>
          <w:sz w:val="20"/>
          <w:szCs w:val="20"/>
        </w:rPr>
      </w:pPr>
      <w:r w:rsidRPr="00F40B79">
        <w:lastRenderedPageBreak/>
        <w:drawing>
          <wp:inline distT="0" distB="0" distL="0" distR="0" wp14:anchorId="6C712A26" wp14:editId="3C96DD08">
            <wp:extent cx="1999397" cy="1811017"/>
            <wp:effectExtent l="0" t="0" r="0" b="0"/>
            <wp:docPr id="4785589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948" cy="1813328"/>
                    </a:xfrm>
                    <a:prstGeom prst="rect">
                      <a:avLst/>
                    </a:prstGeom>
                    <a:noFill/>
                    <a:ln>
                      <a:noFill/>
                    </a:ln>
                  </pic:spPr>
                </pic:pic>
              </a:graphicData>
            </a:graphic>
          </wp:inline>
        </w:drawing>
      </w:r>
      <w:r w:rsidR="0071045D" w:rsidRPr="007B5924">
        <w:rPr>
          <w:rFonts w:ascii="Avenir Next LT Pro" w:hAnsi="Avenir Next LT Pro"/>
          <w:b/>
          <w:bCs/>
          <w:color w:val="002060"/>
          <w:sz w:val="20"/>
          <w:szCs w:val="20"/>
        </w:rPr>
        <w:t xml:space="preserve"> </w:t>
      </w:r>
      <w:r w:rsidR="0071045D" w:rsidRPr="007B5924">
        <w:rPr>
          <w:noProof/>
          <w:sz w:val="20"/>
          <w:szCs w:val="20"/>
        </w:rPr>
        <w:drawing>
          <wp:inline distT="0" distB="0" distL="0" distR="0" wp14:anchorId="3BE1D1A3" wp14:editId="0A7726C6">
            <wp:extent cx="3284220" cy="1972354"/>
            <wp:effectExtent l="0" t="0" r="0" b="8890"/>
            <wp:docPr id="6597963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7321" cy="1974216"/>
                    </a:xfrm>
                    <a:prstGeom prst="rect">
                      <a:avLst/>
                    </a:prstGeom>
                    <a:noFill/>
                    <a:ln>
                      <a:noFill/>
                    </a:ln>
                  </pic:spPr>
                </pic:pic>
              </a:graphicData>
            </a:graphic>
          </wp:inline>
        </w:drawing>
      </w:r>
    </w:p>
    <w:p w14:paraId="34A1210A" w14:textId="77777777" w:rsidR="00A458D6" w:rsidRPr="007B5924" w:rsidRDefault="00A458D6" w:rsidP="00D14FDB">
      <w:pPr>
        <w:spacing w:after="120" w:line="240" w:lineRule="auto"/>
        <w:rPr>
          <w:rFonts w:ascii="Avenir Next LT Pro" w:hAnsi="Avenir Next LT Pro"/>
          <w:b/>
          <w:bCs/>
          <w:color w:val="002060"/>
          <w:sz w:val="20"/>
          <w:szCs w:val="20"/>
        </w:rPr>
      </w:pPr>
    </w:p>
    <w:p w14:paraId="5F39E56D" w14:textId="77777777" w:rsidR="00A901FA" w:rsidRPr="007B5924" w:rsidRDefault="00A901FA" w:rsidP="00A901FA">
      <w:pPr>
        <w:spacing w:after="120" w:line="240" w:lineRule="auto"/>
        <w:rPr>
          <w:rFonts w:ascii="Avenir Next LT Pro" w:hAnsi="Avenir Next LT Pro"/>
          <w:color w:val="002060"/>
          <w:sz w:val="20"/>
          <w:szCs w:val="20"/>
        </w:rPr>
      </w:pPr>
      <w:r w:rsidRPr="007B5924">
        <w:rPr>
          <w:rFonts w:ascii="Avenir Next LT Pro" w:hAnsi="Avenir Next LT Pro"/>
          <w:color w:val="002060"/>
          <w:sz w:val="20"/>
          <w:szCs w:val="20"/>
        </w:rPr>
        <w:t>Marriott outperforms its competitors in revenue generation, boasting a $24 billion annual revenue, surpassing its peers. Moreover, it maintains superior margins, with its operating margins in the trailing twelve months (TTM) being twice that of Hilton.</w:t>
      </w:r>
    </w:p>
    <w:p w14:paraId="4B237112" w14:textId="77777777" w:rsidR="00A901FA" w:rsidRPr="007B5924" w:rsidRDefault="00A901FA" w:rsidP="00A901FA">
      <w:pPr>
        <w:spacing w:after="120" w:line="240" w:lineRule="auto"/>
        <w:rPr>
          <w:rFonts w:ascii="Avenir Next LT Pro" w:hAnsi="Avenir Next LT Pro"/>
          <w:b/>
          <w:bCs/>
          <w:color w:val="002060"/>
          <w:sz w:val="20"/>
          <w:szCs w:val="20"/>
        </w:rPr>
      </w:pPr>
    </w:p>
    <w:p w14:paraId="7E64C697" w14:textId="6A6C8FDC" w:rsidR="005133D0" w:rsidRPr="007B5924" w:rsidRDefault="005133D0" w:rsidP="00D14FDB">
      <w:pPr>
        <w:spacing w:after="120" w:line="240" w:lineRule="auto"/>
        <w:rPr>
          <w:rFonts w:ascii="Avenir Next LT Pro" w:hAnsi="Avenir Next LT Pro"/>
          <w:b/>
          <w:bCs/>
          <w:color w:val="002060"/>
          <w:sz w:val="20"/>
          <w:szCs w:val="20"/>
        </w:rPr>
      </w:pPr>
      <w:r w:rsidRPr="007B5924">
        <w:rPr>
          <w:rFonts w:ascii="Avenir Next LT Pro" w:hAnsi="Avenir Next LT Pro"/>
          <w:b/>
          <w:bCs/>
          <w:color w:val="002060"/>
          <w:sz w:val="20"/>
          <w:szCs w:val="20"/>
        </w:rPr>
        <w:t>Johnson &amp; Johnson</w:t>
      </w:r>
    </w:p>
    <w:p w14:paraId="3DC09F52" w14:textId="056D6FAC" w:rsidR="00D14FDB" w:rsidRPr="007B5924" w:rsidRDefault="00D14FDB" w:rsidP="00D14FDB">
      <w:pPr>
        <w:spacing w:after="120" w:line="240" w:lineRule="auto"/>
        <w:rPr>
          <w:rFonts w:ascii="Avenir Next LT Pro" w:hAnsi="Avenir Next LT Pro"/>
          <w:b/>
          <w:bCs/>
          <w:color w:val="002060"/>
          <w:sz w:val="20"/>
          <w:szCs w:val="20"/>
        </w:rPr>
      </w:pPr>
      <w:r w:rsidRPr="007B5924">
        <w:rPr>
          <w:rFonts w:ascii="Avenir Next LT Pro" w:hAnsi="Avenir Next LT Pro"/>
          <w:b/>
          <w:bCs/>
          <w:color w:val="002060"/>
          <w:sz w:val="20"/>
          <w:szCs w:val="20"/>
        </w:rPr>
        <w:t>Revenue Drivers</w:t>
      </w:r>
    </w:p>
    <w:p w14:paraId="5667EDA4" w14:textId="39643164" w:rsidR="00797708" w:rsidRPr="007B5924" w:rsidRDefault="00C505A2">
      <w:pPr>
        <w:rPr>
          <w:sz w:val="20"/>
          <w:szCs w:val="20"/>
        </w:rPr>
      </w:pPr>
      <w:r w:rsidRPr="007B5924">
        <w:rPr>
          <w:noProof/>
          <w:sz w:val="20"/>
          <w:szCs w:val="20"/>
        </w:rPr>
        <w:drawing>
          <wp:inline distT="0" distB="0" distL="0" distR="0" wp14:anchorId="77002AC0" wp14:editId="251E4D43">
            <wp:extent cx="3357349" cy="2065845"/>
            <wp:effectExtent l="0" t="0" r="0" b="0"/>
            <wp:docPr id="13773917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9449" cy="2067137"/>
                    </a:xfrm>
                    <a:prstGeom prst="rect">
                      <a:avLst/>
                    </a:prstGeom>
                    <a:noFill/>
                    <a:ln>
                      <a:noFill/>
                    </a:ln>
                  </pic:spPr>
                </pic:pic>
              </a:graphicData>
            </a:graphic>
          </wp:inline>
        </w:drawing>
      </w:r>
    </w:p>
    <w:p w14:paraId="548590AD" w14:textId="78597812" w:rsidR="00E5342A" w:rsidRPr="007B5924" w:rsidRDefault="00C84DCD" w:rsidP="001D552F">
      <w:pPr>
        <w:spacing w:after="120" w:line="240" w:lineRule="auto"/>
        <w:rPr>
          <w:rFonts w:ascii="Avenir Next LT Pro" w:hAnsi="Avenir Next LT Pro"/>
          <w:color w:val="002060"/>
          <w:sz w:val="20"/>
          <w:szCs w:val="20"/>
        </w:rPr>
      </w:pPr>
      <w:r w:rsidRPr="007B5924">
        <w:rPr>
          <w:rFonts w:ascii="Avenir Next LT Pro" w:hAnsi="Avenir Next LT Pro"/>
          <w:color w:val="002060"/>
          <w:sz w:val="20"/>
          <w:szCs w:val="20"/>
        </w:rPr>
        <w:t xml:space="preserve">The company has two major revenue segments. </w:t>
      </w:r>
      <w:r w:rsidR="00E5342A" w:rsidRPr="007B5924">
        <w:rPr>
          <w:rFonts w:ascii="Avenir Next LT Pro" w:hAnsi="Avenir Next LT Pro"/>
          <w:color w:val="002060"/>
          <w:sz w:val="20"/>
          <w:szCs w:val="20"/>
        </w:rPr>
        <w:t xml:space="preserve">J&amp;J is investing heavily in its MedTech segment, particularly in cardiovascular health, robotics, and digital health, expecting 5-7% annual growth through 2027. In its innovative medicine segment, J&amp;J plans to launch over 20 new therapies and 50 product expansions by 2030, focusing on high-innovation treatments like </w:t>
      </w:r>
      <w:proofErr w:type="spellStart"/>
      <w:r w:rsidR="00E5342A" w:rsidRPr="007B5924">
        <w:rPr>
          <w:rFonts w:ascii="Avenir Next LT Pro" w:hAnsi="Avenir Next LT Pro"/>
          <w:color w:val="002060"/>
          <w:sz w:val="20"/>
          <w:szCs w:val="20"/>
        </w:rPr>
        <w:t>Talvey</w:t>
      </w:r>
      <w:proofErr w:type="spellEnd"/>
      <w:r w:rsidR="00E5342A" w:rsidRPr="007B5924">
        <w:rPr>
          <w:rFonts w:ascii="Avenir Next LT Pro" w:hAnsi="Avenir Next LT Pro"/>
          <w:color w:val="002060"/>
          <w:sz w:val="20"/>
          <w:szCs w:val="20"/>
        </w:rPr>
        <w:t xml:space="preserve">, </w:t>
      </w:r>
      <w:proofErr w:type="spellStart"/>
      <w:r w:rsidR="00E5342A" w:rsidRPr="007B5924">
        <w:rPr>
          <w:rFonts w:ascii="Avenir Next LT Pro" w:hAnsi="Avenir Next LT Pro"/>
          <w:color w:val="002060"/>
          <w:sz w:val="20"/>
          <w:szCs w:val="20"/>
        </w:rPr>
        <w:t>Tecvayli</w:t>
      </w:r>
      <w:proofErr w:type="spellEnd"/>
      <w:r w:rsidR="00E5342A" w:rsidRPr="007B5924">
        <w:rPr>
          <w:rFonts w:ascii="Avenir Next LT Pro" w:hAnsi="Avenir Next LT Pro"/>
          <w:color w:val="002060"/>
          <w:sz w:val="20"/>
          <w:szCs w:val="20"/>
        </w:rPr>
        <w:t>, and JNJ-2113.</w:t>
      </w:r>
    </w:p>
    <w:p w14:paraId="4910A85A" w14:textId="32FBA078" w:rsidR="00A65811" w:rsidRPr="007B5924" w:rsidRDefault="008F5BC7">
      <w:pPr>
        <w:rPr>
          <w:sz w:val="20"/>
          <w:szCs w:val="20"/>
        </w:rPr>
      </w:pPr>
      <w:r w:rsidRPr="007B5924">
        <w:rPr>
          <w:noProof/>
          <w:sz w:val="20"/>
          <w:szCs w:val="20"/>
        </w:rPr>
        <w:lastRenderedPageBreak/>
        <w:drawing>
          <wp:inline distT="0" distB="0" distL="0" distR="0" wp14:anchorId="6C13F6D7" wp14:editId="5282C45A">
            <wp:extent cx="3753134" cy="2527731"/>
            <wp:effectExtent l="0" t="0" r="0" b="6350"/>
            <wp:docPr id="12907764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0775" cy="2532877"/>
                    </a:xfrm>
                    <a:prstGeom prst="rect">
                      <a:avLst/>
                    </a:prstGeom>
                    <a:noFill/>
                    <a:ln>
                      <a:noFill/>
                    </a:ln>
                  </pic:spPr>
                </pic:pic>
              </a:graphicData>
            </a:graphic>
          </wp:inline>
        </w:drawing>
      </w:r>
    </w:p>
    <w:p w14:paraId="68C3006C" w14:textId="77777777" w:rsidR="006742B8" w:rsidRPr="007B5924" w:rsidRDefault="006742B8" w:rsidP="006742B8">
      <w:pPr>
        <w:spacing w:after="120" w:line="240" w:lineRule="auto"/>
        <w:rPr>
          <w:rFonts w:ascii="Avenir Next LT Pro" w:hAnsi="Avenir Next LT Pro"/>
          <w:color w:val="002060"/>
          <w:sz w:val="20"/>
          <w:szCs w:val="20"/>
        </w:rPr>
      </w:pPr>
      <w:r w:rsidRPr="007B5924">
        <w:rPr>
          <w:rFonts w:ascii="Avenir Next LT Pro" w:hAnsi="Avenir Next LT Pro"/>
          <w:color w:val="002060"/>
          <w:sz w:val="20"/>
          <w:szCs w:val="20"/>
        </w:rPr>
        <w:t>The analysis highlights several key points:</w:t>
      </w:r>
    </w:p>
    <w:p w14:paraId="7DB93C4D" w14:textId="77777777" w:rsidR="006742B8" w:rsidRPr="007B5924" w:rsidRDefault="006742B8" w:rsidP="00D14FDB">
      <w:pPr>
        <w:pStyle w:val="ListParagraph"/>
        <w:numPr>
          <w:ilvl w:val="0"/>
          <w:numId w:val="2"/>
        </w:numPr>
        <w:spacing w:after="120" w:line="240" w:lineRule="auto"/>
        <w:rPr>
          <w:rFonts w:ascii="Avenir Next LT Pro" w:hAnsi="Avenir Next LT Pro"/>
          <w:color w:val="002060"/>
          <w:sz w:val="20"/>
          <w:szCs w:val="20"/>
        </w:rPr>
      </w:pPr>
      <w:r w:rsidRPr="007B5924">
        <w:rPr>
          <w:rFonts w:ascii="Avenir Next LT Pro" w:hAnsi="Avenir Next LT Pro"/>
          <w:color w:val="002060"/>
          <w:sz w:val="20"/>
          <w:szCs w:val="20"/>
        </w:rPr>
        <w:t>The year-over-year (YOY) improvement in each revenue driver has significantly boosted the company's overall performance.</w:t>
      </w:r>
    </w:p>
    <w:p w14:paraId="464B5580" w14:textId="77777777" w:rsidR="006742B8" w:rsidRPr="007B5924" w:rsidRDefault="006742B8" w:rsidP="00D14FDB">
      <w:pPr>
        <w:pStyle w:val="ListParagraph"/>
        <w:numPr>
          <w:ilvl w:val="0"/>
          <w:numId w:val="2"/>
        </w:numPr>
        <w:spacing w:after="120" w:line="240" w:lineRule="auto"/>
        <w:rPr>
          <w:rFonts w:ascii="Avenir Next LT Pro" w:hAnsi="Avenir Next LT Pro"/>
          <w:color w:val="002060"/>
          <w:sz w:val="20"/>
          <w:szCs w:val="20"/>
        </w:rPr>
      </w:pPr>
      <w:r w:rsidRPr="007B5924">
        <w:rPr>
          <w:rFonts w:ascii="Avenir Next LT Pro" w:hAnsi="Avenir Next LT Pro"/>
          <w:color w:val="002060"/>
          <w:sz w:val="20"/>
          <w:szCs w:val="20"/>
        </w:rPr>
        <w:t>The Immunology and Oncology segments within Innovative Medicine have contributed the largest share of revenue.</w:t>
      </w:r>
    </w:p>
    <w:p w14:paraId="5CDAB345" w14:textId="0FE7D3C7" w:rsidR="00163D7C" w:rsidRPr="007B5924" w:rsidRDefault="00720B96" w:rsidP="00720B96">
      <w:pPr>
        <w:spacing w:after="120" w:line="240" w:lineRule="auto"/>
        <w:rPr>
          <w:rFonts w:ascii="Avenir Next LT Pro" w:hAnsi="Avenir Next LT Pro"/>
          <w:b/>
          <w:bCs/>
          <w:color w:val="002060"/>
          <w:sz w:val="20"/>
          <w:szCs w:val="20"/>
        </w:rPr>
      </w:pPr>
      <w:r w:rsidRPr="007B5924">
        <w:rPr>
          <w:rFonts w:ascii="Avenir Next LT Pro" w:hAnsi="Avenir Next LT Pro"/>
          <w:b/>
          <w:bCs/>
          <w:color w:val="002060"/>
          <w:sz w:val="20"/>
          <w:szCs w:val="20"/>
        </w:rPr>
        <w:t>Cost drivers</w:t>
      </w:r>
    </w:p>
    <w:p w14:paraId="5C6DD8FC" w14:textId="2C839ECA" w:rsidR="00720B96" w:rsidRPr="007B5924" w:rsidRDefault="00107C81">
      <w:pPr>
        <w:rPr>
          <w:sz w:val="20"/>
          <w:szCs w:val="20"/>
        </w:rPr>
      </w:pPr>
      <w:r w:rsidRPr="007B5924">
        <w:rPr>
          <w:noProof/>
          <w:sz w:val="20"/>
          <w:szCs w:val="20"/>
        </w:rPr>
        <w:drawing>
          <wp:inline distT="0" distB="0" distL="0" distR="0" wp14:anchorId="61DE1611" wp14:editId="3E99013A">
            <wp:extent cx="2647666" cy="1528497"/>
            <wp:effectExtent l="0" t="0" r="0" b="0"/>
            <wp:docPr id="17013306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4056" cy="1532186"/>
                    </a:xfrm>
                    <a:prstGeom prst="rect">
                      <a:avLst/>
                    </a:prstGeom>
                    <a:noFill/>
                    <a:ln>
                      <a:noFill/>
                    </a:ln>
                  </pic:spPr>
                </pic:pic>
              </a:graphicData>
            </a:graphic>
          </wp:inline>
        </w:drawing>
      </w:r>
    </w:p>
    <w:p w14:paraId="69CCF4C9" w14:textId="46FF603A" w:rsidR="003F6931" w:rsidRPr="007B5924" w:rsidRDefault="003F6931">
      <w:pPr>
        <w:rPr>
          <w:rFonts w:ascii="Avenir Next LT Pro" w:hAnsi="Avenir Next LT Pro"/>
          <w:color w:val="002060"/>
          <w:sz w:val="20"/>
          <w:szCs w:val="20"/>
        </w:rPr>
      </w:pPr>
      <w:r w:rsidRPr="007B5924">
        <w:rPr>
          <w:rFonts w:ascii="Avenir Next LT Pro" w:hAnsi="Avenir Next LT Pro"/>
          <w:color w:val="002060"/>
          <w:sz w:val="20"/>
          <w:szCs w:val="20"/>
        </w:rPr>
        <w:t xml:space="preserve">J&amp;J invests heavily in R&amp;D to sustain innovation in pharmaceuticals and medical devices, requiring substantial funding. Major cost components include manufacturing costs, regulatory compliance, supply chain logistics, and </w:t>
      </w:r>
      <w:proofErr w:type="spellStart"/>
      <w:r w:rsidRPr="007B5924">
        <w:rPr>
          <w:rFonts w:ascii="Avenir Next LT Pro" w:hAnsi="Avenir Next LT Pro"/>
          <w:color w:val="002060"/>
          <w:sz w:val="20"/>
          <w:szCs w:val="20"/>
        </w:rPr>
        <w:t>labor</w:t>
      </w:r>
      <w:proofErr w:type="spellEnd"/>
      <w:r w:rsidRPr="007B5924">
        <w:rPr>
          <w:rFonts w:ascii="Avenir Next LT Pro" w:hAnsi="Avenir Next LT Pro"/>
          <w:color w:val="002060"/>
          <w:sz w:val="20"/>
          <w:szCs w:val="20"/>
        </w:rPr>
        <w:t xml:space="preserve"> expenses. Additional expenditures involve marketing, technology, legal matters, and costs related to acquisitions and integration of new businesses. </w:t>
      </w:r>
    </w:p>
    <w:p w14:paraId="234F8F22" w14:textId="77B3A260" w:rsidR="00163D7C" w:rsidRPr="007B5924" w:rsidRDefault="00FE37CA" w:rsidP="00FE37CA">
      <w:pPr>
        <w:spacing w:after="120" w:line="240" w:lineRule="auto"/>
        <w:rPr>
          <w:rFonts w:ascii="Avenir Next LT Pro" w:hAnsi="Avenir Next LT Pro"/>
          <w:b/>
          <w:bCs/>
          <w:color w:val="002060"/>
          <w:sz w:val="20"/>
          <w:szCs w:val="20"/>
        </w:rPr>
      </w:pPr>
      <w:r w:rsidRPr="007B5924">
        <w:rPr>
          <w:rFonts w:ascii="Avenir Next LT Pro" w:hAnsi="Avenir Next LT Pro"/>
          <w:b/>
          <w:bCs/>
          <w:color w:val="002060"/>
          <w:sz w:val="20"/>
          <w:szCs w:val="20"/>
        </w:rPr>
        <w:t>Peer Performance</w:t>
      </w:r>
    </w:p>
    <w:p w14:paraId="510954E3" w14:textId="321CD10B" w:rsidR="00163D7C" w:rsidRPr="007B5924" w:rsidRDefault="00FE37CA" w:rsidP="00FE37CA">
      <w:pPr>
        <w:pStyle w:val="ListParagraph"/>
        <w:numPr>
          <w:ilvl w:val="0"/>
          <w:numId w:val="2"/>
        </w:numPr>
        <w:spacing w:after="120" w:line="240" w:lineRule="auto"/>
        <w:rPr>
          <w:rFonts w:ascii="Avenir Next LT Pro" w:hAnsi="Avenir Next LT Pro"/>
          <w:color w:val="002060"/>
          <w:sz w:val="20"/>
          <w:szCs w:val="20"/>
        </w:rPr>
      </w:pPr>
      <w:r w:rsidRPr="007B5924">
        <w:rPr>
          <w:rFonts w:ascii="Avenir Next LT Pro" w:hAnsi="Avenir Next LT Pro"/>
          <w:color w:val="002060"/>
          <w:sz w:val="20"/>
          <w:szCs w:val="20"/>
        </w:rPr>
        <w:t>J&amp;J has more greater overall revenue compared to peers.</w:t>
      </w:r>
    </w:p>
    <w:p w14:paraId="49F40694" w14:textId="77777777" w:rsidR="005C614B" w:rsidRPr="007B5924" w:rsidRDefault="005C614B" w:rsidP="005C614B">
      <w:pPr>
        <w:spacing w:after="120" w:line="240" w:lineRule="auto"/>
        <w:rPr>
          <w:rFonts w:ascii="Avenir Next LT Pro" w:hAnsi="Avenir Next LT Pro"/>
          <w:color w:val="002060"/>
          <w:sz w:val="20"/>
          <w:szCs w:val="20"/>
        </w:rPr>
      </w:pPr>
    </w:p>
    <w:p w14:paraId="2748978A" w14:textId="6FF59D6E" w:rsidR="00E846C6" w:rsidRPr="007B5924" w:rsidRDefault="003B19BF" w:rsidP="005C614B">
      <w:pPr>
        <w:spacing w:after="120" w:line="240" w:lineRule="auto"/>
        <w:rPr>
          <w:rFonts w:ascii="Avenir Next LT Pro" w:hAnsi="Avenir Next LT Pro"/>
          <w:color w:val="002060"/>
          <w:sz w:val="20"/>
          <w:szCs w:val="20"/>
        </w:rPr>
      </w:pPr>
      <w:r w:rsidRPr="003B19BF">
        <w:drawing>
          <wp:inline distT="0" distB="0" distL="0" distR="0" wp14:anchorId="7FD11927" wp14:editId="55623F57">
            <wp:extent cx="3295934" cy="1630045"/>
            <wp:effectExtent l="0" t="0" r="0" b="0"/>
            <wp:docPr id="1928692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6517" cy="1635279"/>
                    </a:xfrm>
                    <a:prstGeom prst="rect">
                      <a:avLst/>
                    </a:prstGeom>
                    <a:noFill/>
                    <a:ln>
                      <a:noFill/>
                    </a:ln>
                  </pic:spPr>
                </pic:pic>
              </a:graphicData>
            </a:graphic>
          </wp:inline>
        </w:drawing>
      </w:r>
    </w:p>
    <w:sectPr w:rsidR="00E846C6" w:rsidRPr="007B5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F36CA"/>
    <w:multiLevelType w:val="hybridMultilevel"/>
    <w:tmpl w:val="5A02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3950C5"/>
    <w:multiLevelType w:val="hybridMultilevel"/>
    <w:tmpl w:val="CA66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261176">
    <w:abstractNumId w:val="1"/>
  </w:num>
  <w:num w:numId="2" w16cid:durableId="119206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D0"/>
    <w:rsid w:val="00107C81"/>
    <w:rsid w:val="00163D7C"/>
    <w:rsid w:val="001719F1"/>
    <w:rsid w:val="001A55E8"/>
    <w:rsid w:val="001C266F"/>
    <w:rsid w:val="001D552F"/>
    <w:rsid w:val="00213A45"/>
    <w:rsid w:val="00284443"/>
    <w:rsid w:val="002964EE"/>
    <w:rsid w:val="002E55BA"/>
    <w:rsid w:val="003B19BF"/>
    <w:rsid w:val="003F6931"/>
    <w:rsid w:val="0049594F"/>
    <w:rsid w:val="00507A93"/>
    <w:rsid w:val="005133D0"/>
    <w:rsid w:val="005C614B"/>
    <w:rsid w:val="00610F58"/>
    <w:rsid w:val="006742B8"/>
    <w:rsid w:val="006A616E"/>
    <w:rsid w:val="006E3E3E"/>
    <w:rsid w:val="0071045D"/>
    <w:rsid w:val="00720B96"/>
    <w:rsid w:val="00797708"/>
    <w:rsid w:val="007B5924"/>
    <w:rsid w:val="00823C79"/>
    <w:rsid w:val="008D5479"/>
    <w:rsid w:val="008F5BC7"/>
    <w:rsid w:val="00924AE8"/>
    <w:rsid w:val="0093672C"/>
    <w:rsid w:val="009A507E"/>
    <w:rsid w:val="00A05F65"/>
    <w:rsid w:val="00A17BEE"/>
    <w:rsid w:val="00A458D6"/>
    <w:rsid w:val="00A47E43"/>
    <w:rsid w:val="00A65811"/>
    <w:rsid w:val="00A901FA"/>
    <w:rsid w:val="00AE5AC4"/>
    <w:rsid w:val="00C505A2"/>
    <w:rsid w:val="00C84DCD"/>
    <w:rsid w:val="00D14FDB"/>
    <w:rsid w:val="00E5342A"/>
    <w:rsid w:val="00E53C6C"/>
    <w:rsid w:val="00E846C6"/>
    <w:rsid w:val="00F40B79"/>
    <w:rsid w:val="00FE37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0E62"/>
  <w15:chartTrackingRefBased/>
  <w15:docId w15:val="{6F5FC8B5-13F1-4187-8C3D-FF96C835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D6"/>
  </w:style>
  <w:style w:type="paragraph" w:styleId="Heading1">
    <w:name w:val="heading 1"/>
    <w:basedOn w:val="Normal"/>
    <w:next w:val="Normal"/>
    <w:link w:val="Heading1Char"/>
    <w:uiPriority w:val="9"/>
    <w:qFormat/>
    <w:rsid w:val="005133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3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3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3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3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3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3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3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3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3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3D0"/>
    <w:rPr>
      <w:rFonts w:eastAsiaTheme="majorEastAsia" w:cstheme="majorBidi"/>
      <w:color w:val="272727" w:themeColor="text1" w:themeTint="D8"/>
    </w:rPr>
  </w:style>
  <w:style w:type="paragraph" w:styleId="Title">
    <w:name w:val="Title"/>
    <w:basedOn w:val="Normal"/>
    <w:next w:val="Normal"/>
    <w:link w:val="TitleChar"/>
    <w:uiPriority w:val="10"/>
    <w:qFormat/>
    <w:rsid w:val="00513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3D0"/>
    <w:pPr>
      <w:spacing w:before="160"/>
      <w:jc w:val="center"/>
    </w:pPr>
    <w:rPr>
      <w:i/>
      <w:iCs/>
      <w:color w:val="404040" w:themeColor="text1" w:themeTint="BF"/>
    </w:rPr>
  </w:style>
  <w:style w:type="character" w:customStyle="1" w:styleId="QuoteChar">
    <w:name w:val="Quote Char"/>
    <w:basedOn w:val="DefaultParagraphFont"/>
    <w:link w:val="Quote"/>
    <w:uiPriority w:val="29"/>
    <w:rsid w:val="005133D0"/>
    <w:rPr>
      <w:i/>
      <w:iCs/>
      <w:color w:val="404040" w:themeColor="text1" w:themeTint="BF"/>
    </w:rPr>
  </w:style>
  <w:style w:type="paragraph" w:styleId="ListParagraph">
    <w:name w:val="List Paragraph"/>
    <w:basedOn w:val="Normal"/>
    <w:uiPriority w:val="34"/>
    <w:qFormat/>
    <w:rsid w:val="005133D0"/>
    <w:pPr>
      <w:ind w:left="720"/>
      <w:contextualSpacing/>
    </w:pPr>
  </w:style>
  <w:style w:type="character" w:styleId="IntenseEmphasis">
    <w:name w:val="Intense Emphasis"/>
    <w:basedOn w:val="DefaultParagraphFont"/>
    <w:uiPriority w:val="21"/>
    <w:qFormat/>
    <w:rsid w:val="005133D0"/>
    <w:rPr>
      <w:i/>
      <w:iCs/>
      <w:color w:val="0F4761" w:themeColor="accent1" w:themeShade="BF"/>
    </w:rPr>
  </w:style>
  <w:style w:type="paragraph" w:styleId="IntenseQuote">
    <w:name w:val="Intense Quote"/>
    <w:basedOn w:val="Normal"/>
    <w:next w:val="Normal"/>
    <w:link w:val="IntenseQuoteChar"/>
    <w:uiPriority w:val="30"/>
    <w:qFormat/>
    <w:rsid w:val="005133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3D0"/>
    <w:rPr>
      <w:i/>
      <w:iCs/>
      <w:color w:val="0F4761" w:themeColor="accent1" w:themeShade="BF"/>
    </w:rPr>
  </w:style>
  <w:style w:type="character" w:styleId="IntenseReference">
    <w:name w:val="Intense Reference"/>
    <w:basedOn w:val="DefaultParagraphFont"/>
    <w:uiPriority w:val="32"/>
    <w:qFormat/>
    <w:rsid w:val="005133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93289">
      <w:bodyDiv w:val="1"/>
      <w:marLeft w:val="0"/>
      <w:marRight w:val="0"/>
      <w:marTop w:val="0"/>
      <w:marBottom w:val="0"/>
      <w:divBdr>
        <w:top w:val="none" w:sz="0" w:space="0" w:color="auto"/>
        <w:left w:val="none" w:sz="0" w:space="0" w:color="auto"/>
        <w:bottom w:val="none" w:sz="0" w:space="0" w:color="auto"/>
        <w:right w:val="none" w:sz="0" w:space="0" w:color="auto"/>
      </w:divBdr>
    </w:div>
    <w:div w:id="11732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993c1d5b7133684/Desktop/QCP%20Investment%20Analyst/1709895990_Task%204%20Revenue%20%5e0%20Cost%20Driver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Cost Drivers ($'m)</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'[1709895990_Task 4 Revenue ^0 Cost Drivers.xlsx]Sheet2'!$X$25</c:f>
              <c:strCache>
                <c:ptCount val="1"/>
                <c:pt idx="0">
                  <c:v>FY 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'[1709895990_Task 4 Revenue ^0 Cost Drivers.xlsx]Sheet2'!$W$26:$W$29</c:f>
              <c:strCache>
                <c:ptCount val="4"/>
                <c:pt idx="0">
                  <c:v>Owned, leased, and other - direct</c:v>
                </c:pt>
                <c:pt idx="1">
                  <c:v>Depreciation, amortization, and other</c:v>
                </c:pt>
                <c:pt idx="2">
                  <c:v>General, administrative, and other</c:v>
                </c:pt>
                <c:pt idx="3">
                  <c:v>Reimbursed expenses</c:v>
                </c:pt>
              </c:strCache>
            </c:strRef>
          </c:cat>
          <c:val>
            <c:numRef>
              <c:f>'[1709895990_Task 4 Revenue ^0 Cost Drivers.xlsx]Sheet2'!$X$26:$X$29</c:f>
              <c:numCache>
                <c:formatCode>_(* #,##0.00_);_(* \(#,##0.00\);_(* "-"??_);_(@_)</c:formatCode>
                <c:ptCount val="4"/>
                <c:pt idx="0">
                  <c:v>1074</c:v>
                </c:pt>
                <c:pt idx="1">
                  <c:v>193</c:v>
                </c:pt>
                <c:pt idx="2">
                  <c:v>891</c:v>
                </c:pt>
                <c:pt idx="3">
                  <c:v>15141</c:v>
                </c:pt>
              </c:numCache>
            </c:numRef>
          </c:val>
          <c:extLst>
            <c:ext xmlns:c16="http://schemas.microsoft.com/office/drawing/2014/chart" uri="{C3380CC4-5D6E-409C-BE32-E72D297353CC}">
              <c16:uniqueId val="{00000000-7B51-44B9-A42C-8F1AD17740A9}"/>
            </c:ext>
          </c:extLst>
        </c:ser>
        <c:ser>
          <c:idx val="1"/>
          <c:order val="1"/>
          <c:tx>
            <c:strRef>
              <c:f>'[1709895990_Task 4 Revenue ^0 Cost Drivers.xlsx]Sheet2'!$Y$25</c:f>
              <c:strCache>
                <c:ptCount val="1"/>
                <c:pt idx="0">
                  <c:v>FY 2023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'[1709895990_Task 4 Revenue ^0 Cost Drivers.xlsx]Sheet2'!$W$26:$W$29</c:f>
              <c:strCache>
                <c:ptCount val="4"/>
                <c:pt idx="0">
                  <c:v>Owned, leased, and other - direct</c:v>
                </c:pt>
                <c:pt idx="1">
                  <c:v>Depreciation, amortization, and other</c:v>
                </c:pt>
                <c:pt idx="2">
                  <c:v>General, administrative, and other</c:v>
                </c:pt>
                <c:pt idx="3">
                  <c:v>Reimbursed expenses</c:v>
                </c:pt>
              </c:strCache>
            </c:strRef>
          </c:cat>
          <c:val>
            <c:numRef>
              <c:f>'[1709895990_Task 4 Revenue ^0 Cost Drivers.xlsx]Sheet2'!$Y$26:$Y$29</c:f>
              <c:numCache>
                <c:formatCode>_(* #,##0.00_);_(* \(#,##0.00\);_(* "-"??_);_(@_)</c:formatCode>
                <c:ptCount val="4"/>
                <c:pt idx="0">
                  <c:v>1165</c:v>
                </c:pt>
                <c:pt idx="1">
                  <c:v>189</c:v>
                </c:pt>
                <c:pt idx="2">
                  <c:v>1011</c:v>
                </c:pt>
                <c:pt idx="3">
                  <c:v>17424</c:v>
                </c:pt>
              </c:numCache>
            </c:numRef>
          </c:val>
          <c:extLst>
            <c:ext xmlns:c16="http://schemas.microsoft.com/office/drawing/2014/chart" uri="{C3380CC4-5D6E-409C-BE32-E72D297353CC}">
              <c16:uniqueId val="{00000001-7B51-44B9-A42C-8F1AD17740A9}"/>
            </c:ext>
          </c:extLst>
        </c:ser>
        <c:dLbls>
          <c:dLblPos val="outEnd"/>
          <c:showLegendKey val="0"/>
          <c:showVal val="1"/>
          <c:showCatName val="0"/>
          <c:showSerName val="0"/>
          <c:showPercent val="0"/>
          <c:showBubbleSize val="0"/>
        </c:dLbls>
        <c:gapWidth val="115"/>
        <c:overlap val="-20"/>
        <c:axId val="1631848031"/>
        <c:axId val="1578783183"/>
      </c:barChart>
      <c:catAx>
        <c:axId val="1631848031"/>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578783183"/>
        <c:crosses val="autoZero"/>
        <c:auto val="1"/>
        <c:lblAlgn val="ctr"/>
        <c:lblOffset val="100"/>
        <c:noMultiLvlLbl val="0"/>
      </c:catAx>
      <c:valAx>
        <c:axId val="1578783183"/>
        <c:scaling>
          <c:orientation val="minMax"/>
        </c:scaling>
        <c:delete val="1"/>
        <c:axPos val="b"/>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crossAx val="1631848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13FD0-FC0F-4CE5-A186-E0F70E40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Fintec</dc:creator>
  <cp:keywords/>
  <dc:description/>
  <cp:lastModifiedBy>Rupen Shah</cp:lastModifiedBy>
  <cp:revision>43</cp:revision>
  <dcterms:created xsi:type="dcterms:W3CDTF">2024-04-27T13:35:00Z</dcterms:created>
  <dcterms:modified xsi:type="dcterms:W3CDTF">2024-05-27T18:46:00Z</dcterms:modified>
</cp:coreProperties>
</file>