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5A857" w14:textId="24E57081" w:rsidR="00060AA3" w:rsidRDefault="00060AA3">
      <w:r>
        <w:t>Johnson &amp; Johnson Revenue 2023 (Millions)</w:t>
      </w:r>
    </w:p>
    <w:p w14:paraId="46345301" w14:textId="265F49A3" w:rsidR="00060AA3" w:rsidRDefault="00060AA3">
      <w:r>
        <w:rPr>
          <w:noProof/>
        </w:rPr>
        <w:drawing>
          <wp:inline distT="0" distB="0" distL="0" distR="0" wp14:anchorId="3098B4FA" wp14:editId="28394202">
            <wp:extent cx="5486400" cy="3200400"/>
            <wp:effectExtent l="0" t="0" r="0" b="0"/>
            <wp:docPr id="122368975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33CCCBC" w14:textId="47BBCA9B" w:rsidR="00060AA3" w:rsidRDefault="00A720B5">
      <w:r>
        <w:t xml:space="preserve">Source: </w:t>
      </w:r>
      <w:hyperlink r:id="rId6" w:history="1">
        <w:r w:rsidRPr="00C91CB7">
          <w:rPr>
            <w:rStyle w:val="Hyperlink"/>
          </w:rPr>
          <w:t>https://www.statista.com/statistics/266405/global-revenue-of-johnson-und-johnsons-pharmaceutical-segment-by-product/#:~:text=The%20highest%20revenue%20generating%20drug,of%20revenue%20for%20the%20company</w:t>
        </w:r>
      </w:hyperlink>
      <w:r w:rsidRPr="00A720B5">
        <w:t>.</w:t>
      </w:r>
    </w:p>
    <w:p w14:paraId="290E8848" w14:textId="02883DC8" w:rsidR="00060AA3" w:rsidRDefault="009C7859">
      <w:r>
        <w:t>Total= 43, 743</w:t>
      </w:r>
    </w:p>
    <w:p w14:paraId="5468D206" w14:textId="4E86EBBD" w:rsidR="00B04386" w:rsidRDefault="00E84EC1">
      <w:r>
        <w:t>Pfizer Revenue Drivers 2023</w:t>
      </w:r>
      <w:r>
        <w:tab/>
        <w:t>(Millions)</w:t>
      </w:r>
    </w:p>
    <w:p w14:paraId="214F10B9" w14:textId="4C993547" w:rsidR="00E84EC1" w:rsidRDefault="00E84EC1" w:rsidP="00E84EC1">
      <w:pPr>
        <w:pStyle w:val="ListParagraph"/>
        <w:numPr>
          <w:ilvl w:val="0"/>
          <w:numId w:val="1"/>
        </w:numPr>
      </w:pPr>
      <w:r>
        <w:t>Comirnaty - $11,220</w:t>
      </w:r>
    </w:p>
    <w:p w14:paraId="19DA2B7D" w14:textId="067AA48D" w:rsidR="00E84EC1" w:rsidRDefault="00E84EC1" w:rsidP="00E84EC1">
      <w:pPr>
        <w:pStyle w:val="ListParagraph"/>
        <w:numPr>
          <w:ilvl w:val="0"/>
          <w:numId w:val="1"/>
        </w:numPr>
      </w:pPr>
      <w:r>
        <w:t>Eliquis - $6,747</w:t>
      </w:r>
    </w:p>
    <w:p w14:paraId="7C1FABFA" w14:textId="33402F07" w:rsidR="00E84EC1" w:rsidRDefault="00E84EC1" w:rsidP="00E84EC1">
      <w:pPr>
        <w:pStyle w:val="ListParagraph"/>
        <w:numPr>
          <w:ilvl w:val="0"/>
          <w:numId w:val="1"/>
        </w:numPr>
      </w:pPr>
      <w:r>
        <w:t>Prevnar $6,440</w:t>
      </w:r>
    </w:p>
    <w:p w14:paraId="63F99538" w14:textId="40A30343" w:rsidR="00E84EC1" w:rsidRDefault="00E84EC1" w:rsidP="00E84EC1">
      <w:pPr>
        <w:pStyle w:val="ListParagraph"/>
        <w:numPr>
          <w:ilvl w:val="0"/>
          <w:numId w:val="1"/>
        </w:numPr>
      </w:pPr>
      <w:proofErr w:type="spellStart"/>
      <w:r>
        <w:t>Ibrance</w:t>
      </w:r>
      <w:proofErr w:type="spellEnd"/>
      <w:r>
        <w:t xml:space="preserve"> - $4753</w:t>
      </w:r>
    </w:p>
    <w:p w14:paraId="2CEFB6B7" w14:textId="4E68949A" w:rsidR="00E84EC1" w:rsidRDefault="00E84EC1" w:rsidP="00E84EC1">
      <w:pPr>
        <w:pStyle w:val="ListParagraph"/>
        <w:numPr>
          <w:ilvl w:val="0"/>
          <w:numId w:val="1"/>
        </w:numPr>
      </w:pPr>
      <w:proofErr w:type="spellStart"/>
      <w:r>
        <w:t>Vyndaqel</w:t>
      </w:r>
      <w:proofErr w:type="spellEnd"/>
      <w:r>
        <w:t xml:space="preserve"> - $3,321</w:t>
      </w:r>
    </w:p>
    <w:p w14:paraId="7CBDC996" w14:textId="7E47F61D" w:rsidR="00E84EC1" w:rsidRDefault="00E84EC1" w:rsidP="00E84EC1">
      <w:pPr>
        <w:pStyle w:val="ListParagraph"/>
        <w:numPr>
          <w:ilvl w:val="0"/>
          <w:numId w:val="1"/>
        </w:numPr>
      </w:pPr>
      <w:proofErr w:type="spellStart"/>
      <w:r>
        <w:t>Xejanz</w:t>
      </w:r>
      <w:proofErr w:type="spellEnd"/>
      <w:r>
        <w:t xml:space="preserve"> - $1,703</w:t>
      </w:r>
    </w:p>
    <w:p w14:paraId="539BCE4E" w14:textId="0BB177DD" w:rsidR="00E84EC1" w:rsidRDefault="00E84EC1" w:rsidP="00E84EC1">
      <w:pPr>
        <w:pStyle w:val="ListParagraph"/>
        <w:numPr>
          <w:ilvl w:val="0"/>
          <w:numId w:val="1"/>
        </w:numPr>
      </w:pPr>
      <w:r>
        <w:t>Paxlovid - $1,279</w:t>
      </w:r>
    </w:p>
    <w:p w14:paraId="430F31A2" w14:textId="7D68BACC" w:rsidR="00E84EC1" w:rsidRDefault="00E84EC1" w:rsidP="00E84EC1">
      <w:pPr>
        <w:pStyle w:val="ListParagraph"/>
        <w:numPr>
          <w:ilvl w:val="0"/>
          <w:numId w:val="1"/>
        </w:numPr>
      </w:pPr>
      <w:r>
        <w:t>Xtandi - $1,191</w:t>
      </w:r>
    </w:p>
    <w:p w14:paraId="002AA28E" w14:textId="74ED9B63" w:rsidR="00E84EC1" w:rsidRDefault="00E84EC1" w:rsidP="00E84EC1">
      <w:pPr>
        <w:pStyle w:val="ListParagraph"/>
        <w:numPr>
          <w:ilvl w:val="0"/>
          <w:numId w:val="1"/>
        </w:numPr>
      </w:pPr>
      <w:r>
        <w:t>Inlyta - $928</w:t>
      </w:r>
    </w:p>
    <w:p w14:paraId="21BF572D" w14:textId="64F516CF" w:rsidR="0031390C" w:rsidRDefault="00A720B5" w:rsidP="00A720B5">
      <w:hyperlink r:id="rId7" w:history="1">
        <w:r w:rsidRPr="00C91CB7">
          <w:rPr>
            <w:rStyle w:val="Hyperlink"/>
          </w:rPr>
          <w:t>https://www.pfizer.com/sites/default/files/investors/financial_reports/annual_reports/2023/pdf/Pfizer_Performance_2023_V6.pdf</w:t>
        </w:r>
      </w:hyperlink>
    </w:p>
    <w:p w14:paraId="3F5E8C4C" w14:textId="77777777" w:rsidR="00A720B5" w:rsidRDefault="00A720B5" w:rsidP="00A720B5"/>
    <w:p w14:paraId="764AA4D9" w14:textId="6591A99B" w:rsidR="00E84EC1" w:rsidRDefault="00E84EC1" w:rsidP="00E84EC1">
      <w:pPr>
        <w:pStyle w:val="ListParagraph"/>
      </w:pPr>
      <w:r>
        <w:rPr>
          <w:noProof/>
        </w:rPr>
        <w:lastRenderedPageBreak/>
        <w:drawing>
          <wp:inline distT="0" distB="0" distL="0" distR="0" wp14:anchorId="20249F37" wp14:editId="4D15665D">
            <wp:extent cx="5486400" cy="3200400"/>
            <wp:effectExtent l="0" t="0" r="0" b="0"/>
            <wp:docPr id="1515167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DAAC366" w14:textId="77777777" w:rsidR="000B3557" w:rsidRDefault="000B3557" w:rsidP="00E84EC1">
      <w:pPr>
        <w:pStyle w:val="ListParagraph"/>
      </w:pPr>
    </w:p>
    <w:p w14:paraId="56C558DF" w14:textId="263E3D2C" w:rsidR="009C7859" w:rsidRDefault="009C7859" w:rsidP="00E84EC1">
      <w:pPr>
        <w:pStyle w:val="ListParagraph"/>
      </w:pPr>
      <w:r>
        <w:t>Total=</w:t>
      </w:r>
      <w:r w:rsidR="00920FF0">
        <w:t xml:space="preserve"> 36,091</w:t>
      </w:r>
    </w:p>
    <w:p w14:paraId="4FAD308D" w14:textId="77777777" w:rsidR="00920FF0" w:rsidRDefault="00920FF0" w:rsidP="00E84EC1">
      <w:pPr>
        <w:pStyle w:val="ListParagraph"/>
      </w:pPr>
    </w:p>
    <w:p w14:paraId="2C2A101B" w14:textId="77777777" w:rsidR="000B3557" w:rsidRDefault="000B3557" w:rsidP="00E84EC1">
      <w:pPr>
        <w:pStyle w:val="ListParagraph"/>
      </w:pPr>
    </w:p>
    <w:p w14:paraId="0AD539AA" w14:textId="77777777" w:rsidR="009C7859" w:rsidRDefault="009C7859" w:rsidP="00E84EC1">
      <w:pPr>
        <w:pStyle w:val="ListParagraph"/>
      </w:pPr>
    </w:p>
    <w:p w14:paraId="14DC1816" w14:textId="60442FC7" w:rsidR="009C7859" w:rsidRDefault="009C7859" w:rsidP="00E84EC1">
      <w:pPr>
        <w:pStyle w:val="ListParagraph"/>
      </w:pPr>
      <w:r>
        <w:t xml:space="preserve">Comparing at Johnson &amp; Johnsons top pharmaceutical with Pfizer’s we can see both companies have 2 drugs each which almost make up halve of their revenues. </w:t>
      </w:r>
      <w:proofErr w:type="spellStart"/>
      <w:r>
        <w:t>Pfizers</w:t>
      </w:r>
      <w:proofErr w:type="spellEnd"/>
      <w:r>
        <w:t xml:space="preserve"> largest driver comes from </w:t>
      </w:r>
      <w:proofErr w:type="spellStart"/>
      <w:r>
        <w:t>Cominaty</w:t>
      </w:r>
      <w:proofErr w:type="spellEnd"/>
      <w:r>
        <w:t xml:space="preserve"> at 31% and </w:t>
      </w:r>
      <w:proofErr w:type="spellStart"/>
      <w:r>
        <w:t>J’n’J’s</w:t>
      </w:r>
      <w:proofErr w:type="spellEnd"/>
      <w:r>
        <w:t xml:space="preserve"> is </w:t>
      </w:r>
      <w:proofErr w:type="spellStart"/>
      <w:proofErr w:type="gramStart"/>
      <w:r>
        <w:t>Stelra</w:t>
      </w:r>
      <w:proofErr w:type="spellEnd"/>
      <w:r>
        <w:t xml:space="preserve">  at</w:t>
      </w:r>
      <w:proofErr w:type="gramEnd"/>
      <w:r>
        <w:t xml:space="preserve"> 25%. </w:t>
      </w:r>
      <w:r w:rsidR="00920FF0">
        <w:t>This difference</w:t>
      </w:r>
      <w:r>
        <w:t xml:space="preserve"> is partly due to Pfizer having fewer drugs at 9 compared to </w:t>
      </w:r>
      <w:proofErr w:type="spellStart"/>
      <w:r>
        <w:t>J’n’J’s</w:t>
      </w:r>
      <w:proofErr w:type="spellEnd"/>
      <w:r>
        <w:t xml:space="preserve"> 11.</w:t>
      </w:r>
      <w:r w:rsidR="00920FF0">
        <w:t xml:space="preserve"> With a more diverse range Johnson n Johnson has a larger total revenue by </w:t>
      </w:r>
      <w:r w:rsidR="00AB017A">
        <w:t>$</w:t>
      </w:r>
      <w:r w:rsidR="00920FF0">
        <w:t>7,652</w:t>
      </w:r>
      <w:r w:rsidR="00425E0C">
        <w:t>.</w:t>
      </w:r>
    </w:p>
    <w:p w14:paraId="5080BD0B" w14:textId="77777777" w:rsidR="00425E0C" w:rsidRDefault="00425E0C" w:rsidP="00E84EC1">
      <w:pPr>
        <w:pStyle w:val="ListParagraph"/>
      </w:pPr>
    </w:p>
    <w:p w14:paraId="466A80DC" w14:textId="3B4AED14" w:rsidR="00A72095" w:rsidRDefault="00425E0C" w:rsidP="00E84EC1">
      <w:pPr>
        <w:pStyle w:val="ListParagraph"/>
      </w:pPr>
      <w:r>
        <w:t xml:space="preserve">Other revenue sources for </w:t>
      </w:r>
      <w:proofErr w:type="spellStart"/>
      <w:r>
        <w:t>JnJ</w:t>
      </w:r>
      <w:proofErr w:type="spellEnd"/>
      <w:r>
        <w:t xml:space="preserve"> </w:t>
      </w:r>
      <w:r w:rsidR="00A72095">
        <w:t xml:space="preserve">such as Med tech and innovative medicine make up 10.3 and 21.8% of sales respectively. As stated in the 2023 Annual report $85,159 Million was made at a product cost of $26,553 Million. </w:t>
      </w:r>
    </w:p>
    <w:p w14:paraId="5AAEC27D" w14:textId="0068900A" w:rsidR="00425E0C" w:rsidRDefault="00A72095" w:rsidP="00E84EC1">
      <w:pPr>
        <w:pStyle w:val="ListParagraph"/>
      </w:pPr>
      <w:r>
        <w:t xml:space="preserve"> </w:t>
      </w:r>
    </w:p>
    <w:p w14:paraId="170A1FDD" w14:textId="77777777" w:rsidR="009C7859" w:rsidRDefault="009C7859" w:rsidP="00E84EC1">
      <w:pPr>
        <w:pStyle w:val="ListParagraph"/>
      </w:pPr>
    </w:p>
    <w:p w14:paraId="1A7CD13E" w14:textId="77777777" w:rsidR="000B3557" w:rsidRDefault="000B3557" w:rsidP="00E84EC1">
      <w:pPr>
        <w:pStyle w:val="ListParagraph"/>
      </w:pPr>
    </w:p>
    <w:p w14:paraId="32676DAD" w14:textId="77777777" w:rsidR="00425E0C" w:rsidRDefault="00425E0C" w:rsidP="00E84EC1">
      <w:pPr>
        <w:pStyle w:val="ListParagraph"/>
      </w:pPr>
    </w:p>
    <w:p w14:paraId="7B9F30FC" w14:textId="77777777" w:rsidR="00425E0C" w:rsidRDefault="00425E0C" w:rsidP="00E84EC1">
      <w:pPr>
        <w:pStyle w:val="ListParagraph"/>
      </w:pPr>
    </w:p>
    <w:p w14:paraId="6BDC5FCA" w14:textId="77777777" w:rsidR="00425E0C" w:rsidRDefault="00425E0C" w:rsidP="00E84EC1">
      <w:pPr>
        <w:pStyle w:val="ListParagraph"/>
      </w:pPr>
    </w:p>
    <w:p w14:paraId="24EA8637" w14:textId="77777777" w:rsidR="00425E0C" w:rsidRDefault="00425E0C" w:rsidP="00E84EC1">
      <w:pPr>
        <w:pStyle w:val="ListParagraph"/>
      </w:pPr>
    </w:p>
    <w:p w14:paraId="2BCA2672" w14:textId="77777777" w:rsidR="00425E0C" w:rsidRDefault="00425E0C" w:rsidP="00E84EC1">
      <w:pPr>
        <w:pStyle w:val="ListParagraph"/>
      </w:pPr>
    </w:p>
    <w:p w14:paraId="60671616" w14:textId="77777777" w:rsidR="00425E0C" w:rsidRDefault="00425E0C" w:rsidP="00E84EC1">
      <w:pPr>
        <w:pStyle w:val="ListParagraph"/>
      </w:pPr>
    </w:p>
    <w:p w14:paraId="0CA50952" w14:textId="77777777" w:rsidR="00425E0C" w:rsidRDefault="00425E0C" w:rsidP="00E84EC1">
      <w:pPr>
        <w:pStyle w:val="ListParagraph"/>
      </w:pPr>
    </w:p>
    <w:p w14:paraId="255F3776" w14:textId="77777777" w:rsidR="00425E0C" w:rsidRDefault="00425E0C" w:rsidP="00E84EC1">
      <w:pPr>
        <w:pStyle w:val="ListParagraph"/>
      </w:pPr>
    </w:p>
    <w:p w14:paraId="29428EA3" w14:textId="77777777" w:rsidR="00425E0C" w:rsidRDefault="00425E0C" w:rsidP="00E84EC1">
      <w:pPr>
        <w:pStyle w:val="ListParagraph"/>
      </w:pPr>
    </w:p>
    <w:p w14:paraId="75502C66" w14:textId="77777777" w:rsidR="00425E0C" w:rsidRDefault="00425E0C" w:rsidP="00E84EC1">
      <w:pPr>
        <w:pStyle w:val="ListParagraph"/>
      </w:pPr>
    </w:p>
    <w:p w14:paraId="47DB4423" w14:textId="77777777" w:rsidR="00425E0C" w:rsidRDefault="00425E0C" w:rsidP="00E84EC1">
      <w:pPr>
        <w:pStyle w:val="ListParagraph"/>
      </w:pPr>
    </w:p>
    <w:p w14:paraId="28C0D3D6" w14:textId="77777777" w:rsidR="00425E0C" w:rsidRDefault="00425E0C" w:rsidP="00E84EC1">
      <w:pPr>
        <w:pStyle w:val="ListParagraph"/>
      </w:pPr>
    </w:p>
    <w:p w14:paraId="6C669C9A" w14:textId="77777777" w:rsidR="00425E0C" w:rsidRDefault="00425E0C" w:rsidP="00E84EC1">
      <w:pPr>
        <w:pStyle w:val="ListParagraph"/>
      </w:pPr>
    </w:p>
    <w:p w14:paraId="11B77C97" w14:textId="77777777" w:rsidR="00425E0C" w:rsidRDefault="00425E0C" w:rsidP="00E84EC1">
      <w:pPr>
        <w:pStyle w:val="ListParagraph"/>
      </w:pPr>
    </w:p>
    <w:p w14:paraId="197F08FE" w14:textId="77777777" w:rsidR="00425E0C" w:rsidRDefault="00425E0C" w:rsidP="00E84EC1">
      <w:pPr>
        <w:pStyle w:val="ListParagraph"/>
      </w:pPr>
    </w:p>
    <w:p w14:paraId="4D50FDFB" w14:textId="77777777" w:rsidR="00425E0C" w:rsidRDefault="00425E0C" w:rsidP="00E84EC1">
      <w:pPr>
        <w:pStyle w:val="ListParagraph"/>
      </w:pPr>
    </w:p>
    <w:p w14:paraId="3A9DCCAC" w14:textId="77777777" w:rsidR="00425E0C" w:rsidRDefault="00425E0C" w:rsidP="00E84EC1">
      <w:pPr>
        <w:pStyle w:val="ListParagraph"/>
      </w:pPr>
    </w:p>
    <w:p w14:paraId="6F035B12" w14:textId="77777777" w:rsidR="00425E0C" w:rsidRDefault="00425E0C" w:rsidP="00E84EC1">
      <w:pPr>
        <w:pStyle w:val="ListParagraph"/>
      </w:pPr>
    </w:p>
    <w:p w14:paraId="49B92EC6" w14:textId="77777777" w:rsidR="00425E0C" w:rsidRDefault="00425E0C" w:rsidP="00E84EC1">
      <w:pPr>
        <w:pStyle w:val="ListParagraph"/>
      </w:pPr>
    </w:p>
    <w:p w14:paraId="17C32866" w14:textId="6713B57D" w:rsidR="000B3557" w:rsidRDefault="000B3557" w:rsidP="00E84EC1">
      <w:pPr>
        <w:pStyle w:val="ListParagraph"/>
      </w:pPr>
      <w:r>
        <w:t>Mariott Revenue 2023 ($) millions</w:t>
      </w:r>
    </w:p>
    <w:p w14:paraId="0CEF434E" w14:textId="77777777" w:rsidR="003C147F" w:rsidRDefault="003C147F" w:rsidP="00E84EC1">
      <w:pPr>
        <w:pStyle w:val="ListParagraph"/>
      </w:pPr>
    </w:p>
    <w:p w14:paraId="5332F0EE" w14:textId="7FCFFBBB" w:rsidR="003C147F" w:rsidRDefault="003C147F" w:rsidP="00E84EC1">
      <w:pPr>
        <w:pStyle w:val="ListParagraph"/>
      </w:pPr>
      <w:r>
        <w:rPr>
          <w:noProof/>
        </w:rPr>
        <mc:AlternateContent>
          <mc:Choice Requires="cx1">
            <w:drawing>
              <wp:inline distT="0" distB="0" distL="0" distR="0" wp14:anchorId="68F9440B" wp14:editId="5075C75E">
                <wp:extent cx="5486400" cy="4394200"/>
                <wp:effectExtent l="0" t="0" r="0" b="6350"/>
                <wp:docPr id="1136912833" name="Chart 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9"/>
                  </a:graphicData>
                </a:graphic>
              </wp:inline>
            </w:drawing>
          </mc:Choice>
          <mc:Fallback>
            <w:drawing>
              <wp:inline distT="0" distB="0" distL="0" distR="0" wp14:anchorId="68F9440B" wp14:editId="5075C75E">
                <wp:extent cx="5486400" cy="4394200"/>
                <wp:effectExtent l="0" t="0" r="0" b="6350"/>
                <wp:docPr id="1136912833" name="Chart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136912833" name="Chart 4"/>
                        <pic:cNvPicPr>
                          <a:picLocks noGrp="1" noRot="1" noChangeAspect="1" noMove="1" noResize="1" noEditPoints="1" noAdjustHandles="1" noChangeArrowheads="1" noChangeShapeType="1"/>
                        </pic:cNvPicPr>
                      </pic:nvPicPr>
                      <pic:blipFill>
                        <a:blip r:embed="rId10"/>
                        <a:stretch>
                          <a:fillRect/>
                        </a:stretch>
                      </pic:blipFill>
                      <pic:spPr>
                        <a:xfrm>
                          <a:off x="0" y="0"/>
                          <a:ext cx="5486400" cy="4394200"/>
                        </a:xfrm>
                        <a:prstGeom prst="rect">
                          <a:avLst/>
                        </a:prstGeom>
                      </pic:spPr>
                    </pic:pic>
                  </a:graphicData>
                </a:graphic>
              </wp:inline>
            </w:drawing>
          </mc:Fallback>
        </mc:AlternateContent>
      </w:r>
    </w:p>
    <w:p w14:paraId="2C49011B" w14:textId="77777777" w:rsidR="000B3557" w:rsidRDefault="000B3557" w:rsidP="00E84EC1">
      <w:pPr>
        <w:pStyle w:val="ListParagraph"/>
      </w:pPr>
    </w:p>
    <w:p w14:paraId="577BE3D8" w14:textId="47A55C6A" w:rsidR="000B3557" w:rsidRDefault="007F0D02" w:rsidP="00E84EC1">
      <w:pPr>
        <w:pStyle w:val="ListParagraph"/>
      </w:pPr>
      <w:r>
        <w:t>The Marriott operates as a franchise model so a result its costs are very minimal which is why the difference between gross and net revenue is only 88. Their largest stream of revenue comes from Franchise fees from 8,800 properties across 139 countries</w:t>
      </w:r>
      <w:r w:rsidR="00425E0C">
        <w:t xml:space="preserve"> according to the 2023 Annual Report</w:t>
      </w:r>
      <w:r w:rsidR="00DB6554">
        <w:t>.</w:t>
      </w:r>
      <w:r w:rsidR="00425E0C">
        <w:t xml:space="preserve"> One of the Marriotts competitors the Hilton, who have a 7,530 Hotels.   </w:t>
      </w:r>
      <w:r>
        <w:t xml:space="preserve"> </w:t>
      </w:r>
    </w:p>
    <w:sectPr w:rsidR="000B35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67CD3"/>
    <w:multiLevelType w:val="hybridMultilevel"/>
    <w:tmpl w:val="EF1CB2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790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C1"/>
    <w:rsid w:val="00060AA3"/>
    <w:rsid w:val="000A1314"/>
    <w:rsid w:val="000B3557"/>
    <w:rsid w:val="001C3AF1"/>
    <w:rsid w:val="002A634D"/>
    <w:rsid w:val="0031390C"/>
    <w:rsid w:val="00365FDB"/>
    <w:rsid w:val="003C147F"/>
    <w:rsid w:val="00425E0C"/>
    <w:rsid w:val="007F0D02"/>
    <w:rsid w:val="00920FF0"/>
    <w:rsid w:val="009C7859"/>
    <w:rsid w:val="00A72095"/>
    <w:rsid w:val="00A720B5"/>
    <w:rsid w:val="00A75735"/>
    <w:rsid w:val="00AB017A"/>
    <w:rsid w:val="00B04386"/>
    <w:rsid w:val="00CB630D"/>
    <w:rsid w:val="00D45584"/>
    <w:rsid w:val="00D91BFA"/>
    <w:rsid w:val="00DB6554"/>
    <w:rsid w:val="00E84EC1"/>
    <w:rsid w:val="00FD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DF3F"/>
  <w15:chartTrackingRefBased/>
  <w15:docId w15:val="{F54A49F8-0285-4224-B24E-51588261F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EC1"/>
    <w:rPr>
      <w:rFonts w:eastAsiaTheme="majorEastAsia" w:cstheme="majorBidi"/>
      <w:color w:val="272727" w:themeColor="text1" w:themeTint="D8"/>
    </w:rPr>
  </w:style>
  <w:style w:type="paragraph" w:styleId="Title">
    <w:name w:val="Title"/>
    <w:basedOn w:val="Normal"/>
    <w:next w:val="Normal"/>
    <w:link w:val="TitleChar"/>
    <w:uiPriority w:val="10"/>
    <w:qFormat/>
    <w:rsid w:val="00E84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EC1"/>
    <w:pPr>
      <w:spacing w:before="160"/>
      <w:jc w:val="center"/>
    </w:pPr>
    <w:rPr>
      <w:i/>
      <w:iCs/>
      <w:color w:val="404040" w:themeColor="text1" w:themeTint="BF"/>
    </w:rPr>
  </w:style>
  <w:style w:type="character" w:customStyle="1" w:styleId="QuoteChar">
    <w:name w:val="Quote Char"/>
    <w:basedOn w:val="DefaultParagraphFont"/>
    <w:link w:val="Quote"/>
    <w:uiPriority w:val="29"/>
    <w:rsid w:val="00E84EC1"/>
    <w:rPr>
      <w:i/>
      <w:iCs/>
      <w:color w:val="404040" w:themeColor="text1" w:themeTint="BF"/>
    </w:rPr>
  </w:style>
  <w:style w:type="paragraph" w:styleId="ListParagraph">
    <w:name w:val="List Paragraph"/>
    <w:basedOn w:val="Normal"/>
    <w:uiPriority w:val="34"/>
    <w:qFormat/>
    <w:rsid w:val="00E84EC1"/>
    <w:pPr>
      <w:ind w:left="720"/>
      <w:contextualSpacing/>
    </w:pPr>
  </w:style>
  <w:style w:type="character" w:styleId="IntenseEmphasis">
    <w:name w:val="Intense Emphasis"/>
    <w:basedOn w:val="DefaultParagraphFont"/>
    <w:uiPriority w:val="21"/>
    <w:qFormat/>
    <w:rsid w:val="00E84EC1"/>
    <w:rPr>
      <w:i/>
      <w:iCs/>
      <w:color w:val="0F4761" w:themeColor="accent1" w:themeShade="BF"/>
    </w:rPr>
  </w:style>
  <w:style w:type="paragraph" w:styleId="IntenseQuote">
    <w:name w:val="Intense Quote"/>
    <w:basedOn w:val="Normal"/>
    <w:next w:val="Normal"/>
    <w:link w:val="IntenseQuoteChar"/>
    <w:uiPriority w:val="30"/>
    <w:qFormat/>
    <w:rsid w:val="00E84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EC1"/>
    <w:rPr>
      <w:i/>
      <w:iCs/>
      <w:color w:val="0F4761" w:themeColor="accent1" w:themeShade="BF"/>
    </w:rPr>
  </w:style>
  <w:style w:type="character" w:styleId="IntenseReference">
    <w:name w:val="Intense Reference"/>
    <w:basedOn w:val="DefaultParagraphFont"/>
    <w:uiPriority w:val="32"/>
    <w:qFormat/>
    <w:rsid w:val="00E84EC1"/>
    <w:rPr>
      <w:b/>
      <w:bCs/>
      <w:smallCaps/>
      <w:color w:val="0F4761" w:themeColor="accent1" w:themeShade="BF"/>
      <w:spacing w:val="5"/>
    </w:rPr>
  </w:style>
  <w:style w:type="character" w:styleId="Hyperlink">
    <w:name w:val="Hyperlink"/>
    <w:basedOn w:val="DefaultParagraphFont"/>
    <w:uiPriority w:val="99"/>
    <w:unhideWhenUsed/>
    <w:rsid w:val="00A720B5"/>
    <w:rPr>
      <w:color w:val="467886" w:themeColor="hyperlink"/>
      <w:u w:val="single"/>
    </w:rPr>
  </w:style>
  <w:style w:type="character" w:styleId="UnresolvedMention">
    <w:name w:val="Unresolved Mention"/>
    <w:basedOn w:val="DefaultParagraphFont"/>
    <w:uiPriority w:val="99"/>
    <w:semiHidden/>
    <w:unhideWhenUsed/>
    <w:rsid w:val="00A72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https://www.pfizer.com/sites/default/files/investors/financial_reports/annual_reports/2023/pdf/Pfizer_Performance_2023_V6.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atista.com/statistics/266405/global-revenue-of-johnson-und-johnsons-pharmaceutical-segment-by-product/#:~:text=The%20highest%20revenue%20generating%20drug,of%20revenue%20for%20the%20company" TargetMode="Externa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4/relationships/chartEx" Target="charts/chartEx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J'N'J Top Pharmaceutical Products 2023 Millions</a:t>
            </a:r>
            <a:r>
              <a:rPr lang="en-US" baseline="0"/>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J'N'J Top Pharmaceutical Products 2023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1BE-4150-837A-A9B74EB10C3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1BE-4150-837A-A9B74EB10C3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1BE-4150-837A-A9B74EB10C3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1BE-4150-837A-A9B74EB10C3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1BE-4150-837A-A9B74EB10C3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1BE-4150-837A-A9B74EB10C3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1BE-4150-837A-A9B74EB10C3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1BE-4150-837A-A9B74EB10C3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1BE-4150-837A-A9B74EB10C3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1BE-4150-837A-A9B74EB10C32}"/>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31BE-4150-837A-A9B74EB10C3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Stelara </c:v>
                </c:pt>
                <c:pt idx="1">
                  <c:v>Darzalex</c:v>
                </c:pt>
                <c:pt idx="2">
                  <c:v>Invega*</c:v>
                </c:pt>
                <c:pt idx="3">
                  <c:v>Imbruvica</c:v>
                </c:pt>
                <c:pt idx="4">
                  <c:v>Tremfya</c:v>
                </c:pt>
                <c:pt idx="5">
                  <c:v>Erleada</c:v>
                </c:pt>
                <c:pt idx="6">
                  <c:v>Xarelto</c:v>
                </c:pt>
                <c:pt idx="7">
                  <c:v>Simponi</c:v>
                </c:pt>
                <c:pt idx="8">
                  <c:v>Opsumit</c:v>
                </c:pt>
                <c:pt idx="9">
                  <c:v>Prezista</c:v>
                </c:pt>
                <c:pt idx="10">
                  <c:v>Remicade</c:v>
                </c:pt>
              </c:strCache>
            </c:strRef>
          </c:cat>
          <c:val>
            <c:numRef>
              <c:f>Sheet1!$B$2:$B$12</c:f>
              <c:numCache>
                <c:formatCode>#,##0</c:formatCode>
                <c:ptCount val="11"/>
                <c:pt idx="0">
                  <c:v>10858</c:v>
                </c:pt>
                <c:pt idx="1">
                  <c:v>9744</c:v>
                </c:pt>
                <c:pt idx="2">
                  <c:v>4115</c:v>
                </c:pt>
                <c:pt idx="3">
                  <c:v>3264</c:v>
                </c:pt>
                <c:pt idx="4">
                  <c:v>3147</c:v>
                </c:pt>
                <c:pt idx="5">
                  <c:v>2387</c:v>
                </c:pt>
                <c:pt idx="6">
                  <c:v>2365</c:v>
                </c:pt>
                <c:pt idx="7">
                  <c:v>2197</c:v>
                </c:pt>
                <c:pt idx="8">
                  <c:v>1973</c:v>
                </c:pt>
                <c:pt idx="9">
                  <c:v>1854</c:v>
                </c:pt>
                <c:pt idx="10">
                  <c:v>1839</c:v>
                </c:pt>
              </c:numCache>
            </c:numRef>
          </c:val>
          <c:extLst>
            <c:ext xmlns:c16="http://schemas.microsoft.com/office/drawing/2014/chart" uri="{C3380CC4-5D6E-409C-BE32-E72D297353CC}">
              <c16:uniqueId val="{00000000-5125-4BBD-AD2B-A9897A78D190}"/>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Pfizer Revenue drivers 2023 $ Millions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444-4BC9-98A0-DD67490DC54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444-4BC9-98A0-DD67490DC54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444-4BC9-98A0-DD67490DC54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444-4BC9-98A0-DD67490DC54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444-4BC9-98A0-DD67490DC549}"/>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444-4BC9-98A0-DD67490DC549}"/>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444-4BC9-98A0-DD67490DC549}"/>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444-4BC9-98A0-DD67490DC549}"/>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444-4BC9-98A0-DD67490DC5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Sheet1!$A$2:$A$10</c:f>
              <c:strCache>
                <c:ptCount val="9"/>
                <c:pt idx="0">
                  <c:v>1.   Comirnaty </c:v>
                </c:pt>
                <c:pt idx="1">
                  <c:v>2.    Eliquis </c:v>
                </c:pt>
                <c:pt idx="2">
                  <c:v>3.     Prevnar </c:v>
                </c:pt>
                <c:pt idx="3">
                  <c:v>4.     Ibrance </c:v>
                </c:pt>
                <c:pt idx="4">
                  <c:v>5.     Vyndaqel</c:v>
                </c:pt>
                <c:pt idx="5">
                  <c:v>6.      Xejanz</c:v>
                </c:pt>
                <c:pt idx="6">
                  <c:v>7.      Paxlovid</c:v>
                </c:pt>
                <c:pt idx="7">
                  <c:v>8.      Xtandi </c:v>
                </c:pt>
                <c:pt idx="8">
                  <c:v>9.     Inlyta</c:v>
                </c:pt>
              </c:strCache>
            </c:strRef>
          </c:cat>
          <c:val>
            <c:numRef>
              <c:f>Sheet1!$B$2:$B$10</c:f>
              <c:numCache>
                <c:formatCode>#,##0</c:formatCode>
                <c:ptCount val="9"/>
                <c:pt idx="0">
                  <c:v>11220</c:v>
                </c:pt>
                <c:pt idx="1">
                  <c:v>6747</c:v>
                </c:pt>
                <c:pt idx="2">
                  <c:v>6440</c:v>
                </c:pt>
                <c:pt idx="3" formatCode="General">
                  <c:v>4753</c:v>
                </c:pt>
                <c:pt idx="4">
                  <c:v>3321</c:v>
                </c:pt>
                <c:pt idx="5">
                  <c:v>1703</c:v>
                </c:pt>
                <c:pt idx="6">
                  <c:v>1279</c:v>
                </c:pt>
                <c:pt idx="7" formatCode="General">
                  <c:v>0</c:v>
                </c:pt>
                <c:pt idx="8" formatCode="General">
                  <c:v>928</c:v>
                </c:pt>
              </c:numCache>
            </c:numRef>
          </c:val>
          <c:extLst>
            <c:ext xmlns:c16="http://schemas.microsoft.com/office/drawing/2014/chart" uri="{C3380CC4-5D6E-409C-BE32-E72D297353CC}">
              <c16:uniqueId val="{00000000-D787-4A42-A91E-2904A2FEC61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Sheet1!$A$2:$A$10</cx:f>
        <cx:lvl ptCount="9">
          <cx:pt idx="0">Base management Fees</cx:pt>
          <cx:pt idx="1">Franchise Fees</cx:pt>
          <cx:pt idx="2">Incentive Management Fees</cx:pt>
          <cx:pt idx="3">Gross Fee Revenues</cx:pt>
          <cx:pt idx="4">Contact investment Amortization</cx:pt>
          <cx:pt idx="5">Net Fee Revenues</cx:pt>
          <cx:pt idx="6">Owned, Leased, and Other Revenue</cx:pt>
          <cx:pt idx="7">Owned, Leased, and Other - Direct Expenses </cx:pt>
          <cx:pt idx="8">Owned, Leaseed, and other - Net</cx:pt>
        </cx:lvl>
      </cx:strDim>
      <cx:numDim type="size">
        <cx:f>Sheet1!$B$2:$B$10</cx:f>
        <cx:lvl ptCount="9" formatCode="General">
          <cx:pt idx="0">1238</cx:pt>
          <cx:pt idx="1">2831</cx:pt>
          <cx:pt idx="2">755</cx:pt>
          <cx:pt idx="3">4824</cx:pt>
          <cx:pt idx="4">-88</cx:pt>
          <cx:pt idx="5">4736</cx:pt>
          <cx:pt idx="6">1564</cx:pt>
          <cx:pt idx="7">-1165</cx:pt>
          <cx:pt idx="8">399</cx:pt>
        </cx:lvl>
      </cx:numDim>
    </cx:data>
  </cx:chartData>
  <cx:chart>
    <cx:title pos="t" align="ctr" overlay="0">
      <cx:tx>
        <cx:txData>
          <cx:v>Marriot Revenue 2023 Millions $</cx:v>
        </cx:txData>
      </cx:tx>
      <cx:txPr>
        <a:bodyPr rot="0" spcFirstLastPara="1" vertOverflow="ellipsis" vert="horz" wrap="square" lIns="38100" tIns="19050" rIns="38100" bIns="19050" anchor="ctr" anchorCtr="1" compatLnSpc="0"/>
        <a:lstStyle/>
        <a:p>
          <a:pPr algn="ctr" rtl="0">
            <a:defRPr sz="1400" b="0" i="0" u="none" strike="noStrike" kern="1200" spc="0" baseline="0">
              <a:solidFill>
                <a:sysClr val="windowText" lastClr="000000">
                  <a:lumMod val="65000"/>
                  <a:lumOff val="35000"/>
                </a:sys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Aptos" panose="02110004020202020204"/>
            </a:rPr>
            <a:t>Marriot Revenue 2023 Millions $</a:t>
          </a:r>
        </a:p>
      </cx:txPr>
    </cx:title>
    <cx:plotArea>
      <cx:plotAreaRegion>
        <cx:series layoutId="treemap" uniqueId="{EB189E04-2E4B-4535-A61E-1930137614EB}">
          <cx:tx>
            <cx:txData>
              <cx:f>Sheet1!$B$1</cx:f>
              <cx:v>2023 Millions $</cx:v>
            </cx:txData>
          </cx:tx>
          <cx:dataLabels>
            <cx:visibility seriesName="0" categoryName="1" value="1"/>
            <cx:separator>, </cx:separator>
            <cx:dataLabel idx="0">
              <cx:txPr>
                <a:bodyPr spcFirstLastPara="1" vertOverflow="ellipsis" horzOverflow="overflow" wrap="square" lIns="0" tIns="0" rIns="0" bIns="0" anchor="ctr" anchorCtr="1"/>
                <a:lstStyle/>
                <a:p>
                  <a:pPr algn="ctr" rtl="0">
                    <a:defRPr>
                      <a:solidFill>
                        <a:srgbClr val="FF0000"/>
                      </a:solidFill>
                    </a:defRPr>
                  </a:pPr>
                  <a:r>
                    <a:rPr lang="en-GB" sz="900" b="0" i="0" u="none" strike="noStrike" kern="1200" baseline="0">
                      <a:solidFill>
                        <a:srgbClr val="FF0000"/>
                      </a:solidFill>
                      <a:latin typeface="Aptos" panose="02110004020202020204"/>
                    </a:rPr>
                    <a:t>Base management Fees, 1238</a:t>
                  </a:r>
                </a:p>
              </cx:txPr>
              <cx:visibility seriesName="0" categoryName="1" value="1"/>
              <cx:separator>, </cx:separator>
            </cx:dataLabel>
            <cx:dataLabel idx="6">
              <cx:txPr>
                <a:bodyPr spcFirstLastPara="1" vertOverflow="ellipsis" horzOverflow="overflow" wrap="square" lIns="0" tIns="0" rIns="0" bIns="0" anchor="ctr" anchorCtr="1"/>
                <a:lstStyle/>
                <a:p>
                  <a:pPr algn="ctr" rtl="0">
                    <a:defRPr>
                      <a:solidFill>
                        <a:srgbClr val="FF0000"/>
                      </a:solidFill>
                    </a:defRPr>
                  </a:pPr>
                  <a:r>
                    <a:rPr lang="en-GB" sz="900" b="0" i="0" u="none" strike="noStrike" kern="1200" baseline="0">
                      <a:solidFill>
                        <a:srgbClr val="FF0000"/>
                      </a:solidFill>
                      <a:latin typeface="Aptos" panose="02110004020202020204"/>
                    </a:rPr>
                    <a:t>Owned, Leased, and Other Revenue, 1564</a:t>
                  </a:r>
                </a:p>
              </cx:txPr>
              <cx:visibility seriesName="0" categoryName="1" value="1"/>
              <cx:separator>, </cx:separator>
            </cx:dataLabel>
            <cx:dataLabel idx="8">
              <cx:txPr>
                <a:bodyPr spcFirstLastPara="1" vertOverflow="ellipsis" horzOverflow="overflow" wrap="square" lIns="0" tIns="0" rIns="0" bIns="0" anchor="ctr" anchorCtr="1"/>
                <a:lstStyle/>
                <a:p>
                  <a:pPr algn="ctr" rtl="0">
                    <a:defRPr>
                      <a:solidFill>
                        <a:srgbClr val="FF0000"/>
                      </a:solidFill>
                    </a:defRPr>
                  </a:pPr>
                  <a:r>
                    <a:rPr lang="en-GB" sz="900" b="0" i="0" u="none" strike="noStrike" kern="1200" baseline="0">
                      <a:solidFill>
                        <a:srgbClr val="FF0000"/>
                      </a:solidFill>
                      <a:latin typeface="Aptos" panose="02110004020202020204"/>
                    </a:rPr>
                    <a:t>Owned, Leaseed, and other - Net, 399</a:t>
                  </a:r>
                </a:p>
              </cx:txPr>
              <cx:visibility seriesName="0" categoryName="1" value="1"/>
              <cx:separator>, </cx:separator>
            </cx:dataLabel>
          </cx:dataLabels>
          <cx:dataId val="0"/>
          <cx:layoutPr/>
        </cx:series>
      </cx:plotAreaRegion>
    </cx:plotArea>
    <cx:legend pos="b"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1284</TotalTime>
  <Pages>3</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hardy ramsden</dc:creator>
  <cp:keywords/>
  <dc:description/>
  <cp:lastModifiedBy>hardy ramsden</cp:lastModifiedBy>
  <cp:revision>1</cp:revision>
  <dcterms:created xsi:type="dcterms:W3CDTF">2024-04-29T16:15:00Z</dcterms:created>
  <dcterms:modified xsi:type="dcterms:W3CDTF">2024-04-30T14:04:00Z</dcterms:modified>
</cp:coreProperties>
</file>