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2124A" w14:textId="1E00AD7F" w:rsidR="00B04386" w:rsidRDefault="004A5632">
      <w:r>
        <w:t>Visa is a</w:t>
      </w:r>
      <w:r w:rsidR="0030001A">
        <w:t>n American</w:t>
      </w:r>
      <w:r>
        <w:t xml:space="preserve"> payment service provider</w:t>
      </w:r>
      <w:r w:rsidR="0030001A">
        <w:t>, based in San Francisco California</w:t>
      </w:r>
      <w:r>
        <w:t>.</w:t>
      </w:r>
      <w:r w:rsidR="0021381B">
        <w:t xml:space="preserve"> Their two close</w:t>
      </w:r>
      <w:r w:rsidR="002154AD">
        <w:t>st</w:t>
      </w:r>
      <w:r w:rsidR="0021381B">
        <w:t xml:space="preserve"> peer rivals are Mastercard and American Express. PayPal is </w:t>
      </w:r>
      <w:r w:rsidR="002154AD">
        <w:t xml:space="preserve">a substitute </w:t>
      </w:r>
      <w:r w:rsidR="0021381B">
        <w:t xml:space="preserve">service provider as this is largely for online transactions so it </w:t>
      </w:r>
      <w:r w:rsidR="0030001A">
        <w:t>cannot</w:t>
      </w:r>
      <w:r w:rsidR="0021381B">
        <w:t xml:space="preserve"> provide the same level of payment services</w:t>
      </w:r>
      <w:r w:rsidR="0030001A">
        <w:t xml:space="preserve">. In March 2024 Visa confirmer it will expand its digital wallet service in 30 new countries increasing it presence to 108 countries now including Pakistan, </w:t>
      </w:r>
      <w:r w:rsidR="00A40E1F">
        <w:t>Kenya,</w:t>
      </w:r>
      <w:r w:rsidR="0030001A">
        <w:t xml:space="preserve"> and Indonesia. </w:t>
      </w:r>
    </w:p>
    <w:p w14:paraId="5C4DC74E" w14:textId="77777777" w:rsidR="002A28EF" w:rsidRDefault="002A28EF"/>
    <w:tbl>
      <w:tblPr>
        <w:tblStyle w:val="TableGrid"/>
        <w:tblpPr w:leftFromText="180" w:rightFromText="180" w:vertAnchor="text" w:horzAnchor="margin" w:tblpXSpec="center" w:tblpY="151"/>
        <w:tblW w:w="0" w:type="auto"/>
        <w:tblLook w:val="04A0" w:firstRow="1" w:lastRow="0" w:firstColumn="1" w:lastColumn="0" w:noHBand="0" w:noVBand="1"/>
      </w:tblPr>
      <w:tblGrid>
        <w:gridCol w:w="4133"/>
        <w:gridCol w:w="4133"/>
      </w:tblGrid>
      <w:tr w:rsidR="000A2C35" w14:paraId="15551D39" w14:textId="77777777" w:rsidTr="000A2C35">
        <w:trPr>
          <w:trHeight w:val="1295"/>
        </w:trPr>
        <w:tc>
          <w:tcPr>
            <w:tcW w:w="4133" w:type="dxa"/>
          </w:tcPr>
          <w:p w14:paraId="3936F5F7" w14:textId="77777777" w:rsidR="000A2C35" w:rsidRDefault="000A2C35" w:rsidP="000A2C35">
            <w:r>
              <w:t>Strength’s -</w:t>
            </w:r>
          </w:p>
          <w:p w14:paraId="0C86DA87" w14:textId="54A93F86" w:rsidR="000A2C35" w:rsidRDefault="000A2C35" w:rsidP="000A2C35">
            <w:r>
              <w:t xml:space="preserve">  Brand recognition - Strong history Visa 1958</w:t>
            </w:r>
          </w:p>
          <w:p w14:paraId="2C7A1FB2" w14:textId="6A41608B" w:rsidR="000A2C35" w:rsidRDefault="000A2C35" w:rsidP="000A2C35">
            <w:r>
              <w:t>A Strong reach across markets –</w:t>
            </w:r>
          </w:p>
          <w:p w14:paraId="4AA7C0C2" w14:textId="32F0E447" w:rsidR="000A2C35" w:rsidRDefault="00482364" w:rsidP="000A2C35">
            <w:r>
              <w:t>More than 200</w:t>
            </w:r>
          </w:p>
          <w:p w14:paraId="6FB1A4BF" w14:textId="08DA9876" w:rsidR="000A2C35" w:rsidRDefault="000A2C35" w:rsidP="000A2C35">
            <w:r>
              <w:t xml:space="preserve">Strong Financial performance </w:t>
            </w:r>
            <w:r w:rsidR="002B0DCF">
              <w:t xml:space="preserve">– Visa has had strong </w:t>
            </w:r>
            <w:r w:rsidR="00327040">
              <w:t>revenues.</w:t>
            </w:r>
            <w:r w:rsidR="002B0DCF">
              <w:t xml:space="preserve"> </w:t>
            </w:r>
          </w:p>
          <w:p w14:paraId="47FD6499" w14:textId="77777777" w:rsidR="000A2C35" w:rsidRDefault="000A2C35" w:rsidP="000A2C35"/>
          <w:p w14:paraId="641EC169" w14:textId="77777777" w:rsidR="000A2C35" w:rsidRDefault="000A2C35" w:rsidP="000A2C35"/>
        </w:tc>
        <w:tc>
          <w:tcPr>
            <w:tcW w:w="4133" w:type="dxa"/>
          </w:tcPr>
          <w:p w14:paraId="0AEEB982" w14:textId="77777777" w:rsidR="000A2C35" w:rsidRDefault="000A2C35" w:rsidP="000A2C35">
            <w:r>
              <w:t>Weakness –</w:t>
            </w:r>
          </w:p>
          <w:p w14:paraId="07257514" w14:textId="08D84298" w:rsidR="000A2C35" w:rsidRDefault="000A2C35" w:rsidP="000A2C35">
            <w:r>
              <w:t>Dependence of Banking and Financial institutions -</w:t>
            </w:r>
          </w:p>
          <w:p w14:paraId="437EE9EA" w14:textId="1CDA96CF" w:rsidR="000A2C35" w:rsidRDefault="000A2C35" w:rsidP="000A2C35">
            <w:r>
              <w:t xml:space="preserve">Regulatory Challenges - </w:t>
            </w:r>
          </w:p>
          <w:p w14:paraId="034F53F9" w14:textId="73D38403" w:rsidR="000A2C35" w:rsidRDefault="000A2C35" w:rsidP="000A2C35">
            <w:r>
              <w:t xml:space="preserve">Market saturation </w:t>
            </w:r>
            <w:r w:rsidR="002B0DCF">
              <w:t>–</w:t>
            </w:r>
            <w:r>
              <w:t xml:space="preserve"> </w:t>
            </w:r>
            <w:r w:rsidR="002B0DCF">
              <w:t xml:space="preserve">key competitors such as Mastercard as well as new entrants from Fin tech </w:t>
            </w:r>
            <w:r w:rsidR="00327040">
              <w:t xml:space="preserve">companies </w:t>
            </w:r>
          </w:p>
        </w:tc>
      </w:tr>
      <w:tr w:rsidR="000A2C35" w14:paraId="27DEFC88" w14:textId="77777777" w:rsidTr="000A2C35">
        <w:trPr>
          <w:trHeight w:val="1295"/>
        </w:trPr>
        <w:tc>
          <w:tcPr>
            <w:tcW w:w="4133" w:type="dxa"/>
          </w:tcPr>
          <w:p w14:paraId="7D4EDC29" w14:textId="77777777" w:rsidR="000A2C35" w:rsidRDefault="000A2C35" w:rsidP="000A2C35">
            <w:r>
              <w:t>Opportunities –</w:t>
            </w:r>
          </w:p>
          <w:p w14:paraId="076E4B54" w14:textId="59F68241" w:rsidR="000A2C35" w:rsidRDefault="00327040" w:rsidP="000A2C35">
            <w:r>
              <w:t>Expansion into new markets</w:t>
            </w:r>
            <w:r w:rsidR="00306976">
              <w:t xml:space="preserve"> – entry in to 30 new markets </w:t>
            </w:r>
          </w:p>
          <w:p w14:paraId="52524E1B" w14:textId="5BAF11E1" w:rsidR="00327040" w:rsidRDefault="00327040" w:rsidP="000A2C35">
            <w:r>
              <w:t xml:space="preserve">Innovations In payment technology such as digital/ contactless </w:t>
            </w:r>
            <w:r w:rsidR="00306976">
              <w:t xml:space="preserve">– cheaper and easier payment processing </w:t>
            </w:r>
          </w:p>
          <w:p w14:paraId="55611A89" w14:textId="752DB9D0" w:rsidR="00327040" w:rsidRDefault="00327040" w:rsidP="000A2C35"/>
        </w:tc>
        <w:tc>
          <w:tcPr>
            <w:tcW w:w="4133" w:type="dxa"/>
          </w:tcPr>
          <w:p w14:paraId="0943ED8A" w14:textId="77777777" w:rsidR="000A2C35" w:rsidRDefault="000A2C35" w:rsidP="000A2C35">
            <w:r>
              <w:t>Threats –</w:t>
            </w:r>
          </w:p>
          <w:p w14:paraId="770FD1A0" w14:textId="77777777" w:rsidR="000A2C35" w:rsidRDefault="00327040" w:rsidP="000A2C35">
            <w:r>
              <w:t>Regulatory risks</w:t>
            </w:r>
          </w:p>
          <w:p w14:paraId="6F68C1A7" w14:textId="2AF10A19" w:rsidR="00327040" w:rsidRDefault="00327040" w:rsidP="000A2C35">
            <w:r>
              <w:t xml:space="preserve"> Cyber/ Tech </w:t>
            </w:r>
            <w:r w:rsidR="00306976">
              <w:t xml:space="preserve">disruptions – risk of electronic hacks/ attacks </w:t>
            </w:r>
            <w:r>
              <w:t xml:space="preserve"> </w:t>
            </w:r>
          </w:p>
          <w:p w14:paraId="0DFC6C9A" w14:textId="28F7B465" w:rsidR="00327040" w:rsidRDefault="00306976" w:rsidP="000A2C35">
            <w:r>
              <w:t>Geopolitical</w:t>
            </w:r>
            <w:r w:rsidR="00327040">
              <w:t xml:space="preserve"> threats</w:t>
            </w:r>
            <w:r>
              <w:t xml:space="preserve"> – current global tensions/ realignments.</w:t>
            </w:r>
          </w:p>
        </w:tc>
      </w:tr>
    </w:tbl>
    <w:p w14:paraId="7744BC32" w14:textId="77777777" w:rsidR="002A28EF" w:rsidRDefault="002A28EF"/>
    <w:p w14:paraId="5318BCF5" w14:textId="77777777" w:rsidR="00306976" w:rsidRDefault="00306976"/>
    <w:p w14:paraId="20C3B432" w14:textId="77777777" w:rsidR="00A40E1F" w:rsidRDefault="00A40E1F"/>
    <w:p w14:paraId="725BE59A" w14:textId="77777777" w:rsidR="00A40E1F" w:rsidRDefault="00A40E1F"/>
    <w:p w14:paraId="4C35D8F7" w14:textId="77777777" w:rsidR="00A40E1F" w:rsidRDefault="00A40E1F"/>
    <w:p w14:paraId="24E31026" w14:textId="77777777" w:rsidR="00A40E1F" w:rsidRDefault="00A40E1F"/>
    <w:p w14:paraId="376E1F37" w14:textId="77777777" w:rsidR="00A40E1F" w:rsidRDefault="00A40E1F"/>
    <w:p w14:paraId="03154472" w14:textId="77777777" w:rsidR="00A40E1F" w:rsidRDefault="00A40E1F"/>
    <w:p w14:paraId="395B023D" w14:textId="77777777" w:rsidR="00A40E1F" w:rsidRDefault="00A40E1F"/>
    <w:p w14:paraId="6C78EBFF" w14:textId="77777777" w:rsidR="00A40E1F" w:rsidRDefault="00A40E1F"/>
    <w:p w14:paraId="5BC83006" w14:textId="77777777" w:rsidR="00A40E1F" w:rsidRDefault="00A40E1F"/>
    <w:p w14:paraId="27DBE274" w14:textId="77777777" w:rsidR="00A40E1F" w:rsidRDefault="00A40E1F"/>
    <w:p w14:paraId="2CDF445D" w14:textId="77777777" w:rsidR="00A40E1F" w:rsidRDefault="00A40E1F"/>
    <w:p w14:paraId="37EBCF2E" w14:textId="77777777" w:rsidR="00A40E1F" w:rsidRDefault="00A40E1F"/>
    <w:p w14:paraId="4FEAC65C" w14:textId="77777777" w:rsidR="00A40E1F" w:rsidRDefault="00A40E1F"/>
    <w:p w14:paraId="378A7137" w14:textId="77777777" w:rsidR="00A40E1F" w:rsidRDefault="00A40E1F"/>
    <w:p w14:paraId="34ACCEF6" w14:textId="77777777" w:rsidR="00A40E1F" w:rsidRDefault="00A40E1F"/>
    <w:tbl>
      <w:tblPr>
        <w:tblStyle w:val="TableGrid"/>
        <w:tblpPr w:leftFromText="180" w:rightFromText="180" w:vertAnchor="text" w:horzAnchor="margin" w:tblpXSpec="center" w:tblpY="53"/>
        <w:tblW w:w="8753" w:type="dxa"/>
        <w:tblLook w:val="04A0" w:firstRow="1" w:lastRow="0" w:firstColumn="1" w:lastColumn="0" w:noHBand="0" w:noVBand="1"/>
      </w:tblPr>
      <w:tblGrid>
        <w:gridCol w:w="1952"/>
        <w:gridCol w:w="2193"/>
        <w:gridCol w:w="2250"/>
        <w:gridCol w:w="1945"/>
        <w:gridCol w:w="2209"/>
        <w:gridCol w:w="2212"/>
      </w:tblGrid>
      <w:tr w:rsidR="00A40E1F" w14:paraId="261DAB03" w14:textId="77777777" w:rsidTr="00A40E1F">
        <w:trPr>
          <w:trHeight w:val="101"/>
        </w:trPr>
        <w:tc>
          <w:tcPr>
            <w:tcW w:w="1375" w:type="dxa"/>
          </w:tcPr>
          <w:p w14:paraId="23CBC370" w14:textId="77777777" w:rsidR="006E1060" w:rsidRDefault="006E1060" w:rsidP="00A40E1F">
            <w:r>
              <w:t>Political</w:t>
            </w:r>
          </w:p>
        </w:tc>
        <w:tc>
          <w:tcPr>
            <w:tcW w:w="1544" w:type="dxa"/>
          </w:tcPr>
          <w:p w14:paraId="5B1553FC" w14:textId="77777777" w:rsidR="006E1060" w:rsidRDefault="006E1060" w:rsidP="00A40E1F">
            <w:r>
              <w:t xml:space="preserve">Economic </w:t>
            </w:r>
          </w:p>
        </w:tc>
        <w:tc>
          <w:tcPr>
            <w:tcW w:w="1585" w:type="dxa"/>
          </w:tcPr>
          <w:p w14:paraId="5C43E281" w14:textId="77777777" w:rsidR="006E1060" w:rsidRDefault="006E1060" w:rsidP="00A40E1F">
            <w:r>
              <w:t xml:space="preserve">Social </w:t>
            </w:r>
          </w:p>
        </w:tc>
        <w:tc>
          <w:tcPr>
            <w:tcW w:w="1370" w:type="dxa"/>
          </w:tcPr>
          <w:p w14:paraId="335567A6" w14:textId="77777777" w:rsidR="006E1060" w:rsidRDefault="006E1060" w:rsidP="00A40E1F">
            <w:r>
              <w:t xml:space="preserve">Technological </w:t>
            </w:r>
          </w:p>
        </w:tc>
        <w:tc>
          <w:tcPr>
            <w:tcW w:w="1556" w:type="dxa"/>
          </w:tcPr>
          <w:p w14:paraId="6E761DA6" w14:textId="77777777" w:rsidR="006E1060" w:rsidRDefault="006E1060" w:rsidP="00A40E1F">
            <w:r>
              <w:t>Environmental</w:t>
            </w:r>
          </w:p>
        </w:tc>
        <w:tc>
          <w:tcPr>
            <w:tcW w:w="1323" w:type="dxa"/>
          </w:tcPr>
          <w:p w14:paraId="445C5B0C" w14:textId="77777777" w:rsidR="006E1060" w:rsidRDefault="006E1060" w:rsidP="00A40E1F">
            <w:r>
              <w:t>Legal</w:t>
            </w:r>
          </w:p>
        </w:tc>
      </w:tr>
      <w:tr w:rsidR="00A40E1F" w14:paraId="3A37441F" w14:textId="77777777" w:rsidTr="00A40E1F">
        <w:trPr>
          <w:trHeight w:val="325"/>
        </w:trPr>
        <w:tc>
          <w:tcPr>
            <w:tcW w:w="1375" w:type="dxa"/>
          </w:tcPr>
          <w:p w14:paraId="5B3648C9" w14:textId="77777777" w:rsidR="006E1060" w:rsidRDefault="006E1060" w:rsidP="00A40E1F">
            <w:pPr>
              <w:pStyle w:val="ListParagraph"/>
              <w:numPr>
                <w:ilvl w:val="0"/>
                <w:numId w:val="1"/>
              </w:numPr>
            </w:pPr>
            <w:r>
              <w:t xml:space="preserve">Swift sanctions on Russian operations </w:t>
            </w:r>
          </w:p>
          <w:p w14:paraId="4C9337C9" w14:textId="77777777" w:rsidR="006E1060" w:rsidRDefault="006E1060" w:rsidP="00A40E1F">
            <w:pPr>
              <w:pStyle w:val="ListParagraph"/>
              <w:numPr>
                <w:ilvl w:val="0"/>
                <w:numId w:val="1"/>
              </w:numPr>
            </w:pPr>
            <w:r>
              <w:t xml:space="preserve">Anti-corruption measures </w:t>
            </w:r>
          </w:p>
        </w:tc>
        <w:tc>
          <w:tcPr>
            <w:tcW w:w="1544" w:type="dxa"/>
          </w:tcPr>
          <w:p w14:paraId="46D00205" w14:textId="77777777" w:rsidR="006E1060" w:rsidRDefault="006E1060" w:rsidP="00A40E1F">
            <w:pPr>
              <w:pStyle w:val="ListParagraph"/>
              <w:numPr>
                <w:ilvl w:val="0"/>
                <w:numId w:val="1"/>
              </w:numPr>
            </w:pPr>
            <w:r>
              <w:t>Low global growth period.</w:t>
            </w:r>
          </w:p>
          <w:p w14:paraId="34EA5827" w14:textId="77777777" w:rsidR="006E1060" w:rsidRDefault="006E1060" w:rsidP="00A40E1F">
            <w:pPr>
              <w:pStyle w:val="ListParagraph"/>
              <w:numPr>
                <w:ilvl w:val="0"/>
                <w:numId w:val="1"/>
              </w:numPr>
            </w:pPr>
            <w:r>
              <w:t xml:space="preserve">De-risking/ friendshoring may lead to reduce markets to access.   </w:t>
            </w:r>
          </w:p>
        </w:tc>
        <w:tc>
          <w:tcPr>
            <w:tcW w:w="1585" w:type="dxa"/>
          </w:tcPr>
          <w:p w14:paraId="1D449DF2" w14:textId="77777777" w:rsidR="006E1060" w:rsidRDefault="006E1060" w:rsidP="00A40E1F">
            <w:pPr>
              <w:pStyle w:val="ListParagraph"/>
              <w:numPr>
                <w:ilvl w:val="0"/>
                <w:numId w:val="1"/>
              </w:numPr>
            </w:pPr>
            <w:r>
              <w:t xml:space="preserve">“Investing in our people”. </w:t>
            </w:r>
          </w:p>
          <w:p w14:paraId="6C6C1538" w14:textId="77777777" w:rsidR="006E1060" w:rsidRDefault="006E1060" w:rsidP="00A40E1F">
            <w:pPr>
              <w:pStyle w:val="ListParagraph"/>
              <w:numPr>
                <w:ilvl w:val="0"/>
                <w:numId w:val="1"/>
              </w:numPr>
            </w:pPr>
            <w:r>
              <w:t>Empowering people, communities, and Economies.</w:t>
            </w:r>
          </w:p>
          <w:p w14:paraId="0976EA0D" w14:textId="77777777" w:rsidR="006E1060" w:rsidRPr="000154BC" w:rsidRDefault="006E1060" w:rsidP="00A40E1F">
            <w:pPr>
              <w:pStyle w:val="ListParagraph"/>
              <w:numPr>
                <w:ilvl w:val="0"/>
                <w:numId w:val="1"/>
              </w:numPr>
            </w:pPr>
            <w:r>
              <w:t>Cards for Ukraine</w:t>
            </w:r>
          </w:p>
        </w:tc>
        <w:tc>
          <w:tcPr>
            <w:tcW w:w="1370" w:type="dxa"/>
          </w:tcPr>
          <w:p w14:paraId="6BE275EC" w14:textId="6E3AECA5" w:rsidR="006E1060" w:rsidRDefault="006E1060" w:rsidP="00A40E1F">
            <w:pPr>
              <w:pStyle w:val="ListParagraph"/>
              <w:numPr>
                <w:ilvl w:val="0"/>
                <w:numId w:val="1"/>
              </w:numPr>
            </w:pPr>
            <w:r>
              <w:t xml:space="preserve">Crypto currencies </w:t>
            </w:r>
          </w:p>
          <w:p w14:paraId="69D2BCEB" w14:textId="77777777" w:rsidR="006E1060" w:rsidRDefault="006E1060" w:rsidP="00A40E1F"/>
        </w:tc>
        <w:tc>
          <w:tcPr>
            <w:tcW w:w="1556" w:type="dxa"/>
          </w:tcPr>
          <w:p w14:paraId="54A669A6" w14:textId="77777777" w:rsidR="006E1060" w:rsidRDefault="006E1060" w:rsidP="00A40E1F">
            <w:pPr>
              <w:pStyle w:val="ListParagraph"/>
              <w:numPr>
                <w:ilvl w:val="0"/>
                <w:numId w:val="1"/>
              </w:numPr>
            </w:pPr>
            <w:r>
              <w:t>Helping with humanitarian and disaster relief</w:t>
            </w:r>
          </w:p>
        </w:tc>
        <w:tc>
          <w:tcPr>
            <w:tcW w:w="1323" w:type="dxa"/>
          </w:tcPr>
          <w:p w14:paraId="1EAFE9E7" w14:textId="1D410DDF" w:rsidR="00A40E1F" w:rsidRDefault="00A40E1F" w:rsidP="00A40E1F">
            <w:pPr>
              <w:pStyle w:val="ListParagraph"/>
              <w:numPr>
                <w:ilvl w:val="0"/>
                <w:numId w:val="1"/>
              </w:numPr>
            </w:pPr>
            <w:r>
              <w:t xml:space="preserve">Subjection to </w:t>
            </w:r>
            <w:r w:rsidR="009E17A2">
              <w:t>examinations in</w:t>
            </w:r>
            <w:r>
              <w:t xml:space="preserve"> tax law/ or disputes</w:t>
            </w:r>
          </w:p>
          <w:p w14:paraId="0F2FDCD3" w14:textId="2337B13F" w:rsidR="006E1060" w:rsidRDefault="00A40E1F" w:rsidP="00A40E1F">
            <w:pPr>
              <w:pStyle w:val="ListParagraph"/>
              <w:numPr>
                <w:ilvl w:val="0"/>
                <w:numId w:val="1"/>
              </w:numPr>
            </w:pPr>
            <w:r>
              <w:t xml:space="preserve">Laws on data protections  </w:t>
            </w:r>
          </w:p>
        </w:tc>
      </w:tr>
    </w:tbl>
    <w:p w14:paraId="4FD21EAE" w14:textId="77777777" w:rsidR="006B5BA3" w:rsidRDefault="006B5BA3"/>
    <w:p w14:paraId="6F43B716" w14:textId="77777777" w:rsidR="006B5BA3" w:rsidRDefault="006B5BA3"/>
    <w:p w14:paraId="1EDFA3F6" w14:textId="77777777" w:rsidR="00306976" w:rsidRDefault="00306976"/>
    <w:p w14:paraId="4C048456" w14:textId="77777777" w:rsidR="002154AD" w:rsidRDefault="002154AD"/>
    <w:p w14:paraId="48574EB4" w14:textId="77777777" w:rsidR="002154AD" w:rsidRDefault="002154AD"/>
    <w:p w14:paraId="55496ADF" w14:textId="77777777" w:rsidR="002154AD" w:rsidRDefault="002154AD"/>
    <w:p w14:paraId="1AB7F6D3" w14:textId="77777777" w:rsidR="002154AD" w:rsidRDefault="002154AD"/>
    <w:p w14:paraId="6559DD28" w14:textId="18DBE8F5" w:rsidR="002154AD" w:rsidRDefault="002154AD">
      <w:r>
        <w:t xml:space="preserve">Based on this Visa has strong </w:t>
      </w:r>
      <w:r w:rsidR="00C11CB5">
        <w:t xml:space="preserve">footing going forward. Their strengths lie in the brand recognition which has been acquired from being a dominant market player. As a result, they have innovated payment system technologies and have taken their digital payment infrastructure in to 30 new markets recently. In 2023 they facilitated $15 </w:t>
      </w:r>
      <w:r w:rsidR="009E17A2">
        <w:t>trillion volume</w:t>
      </w:r>
      <w:r w:rsidR="00C11CB5">
        <w:t xml:space="preserve"> on 276 billion transactions.</w:t>
      </w:r>
      <w:r w:rsidR="009E17A2">
        <w:t xml:space="preserve"> This supports their business strategy of accelerating growth in revenue from consumer payments which ensure their core products of debit and credit cards. The company also aims to improve its value adding services and new services such as Visa direct, advisory services and cross border solutions in order to diversify. Their main competitor, Mastercard provide essentially the same service but do offer elite offer cards for high-net-worth individuals. Visa isn’t without challenges. </w:t>
      </w:r>
      <w:r w:rsidR="00DD4322">
        <w:t>Firstly,</w:t>
      </w:r>
      <w:r w:rsidR="009E17A2">
        <w:t xml:space="preserve"> the ongoing global downturn will lead to less spending ergo fewer transactions for Visa.</w:t>
      </w:r>
      <w:r w:rsidR="00DD4322">
        <w:t xml:space="preserve"> Geo-politically there is a fracturing</w:t>
      </w:r>
      <w:r w:rsidR="009E17A2">
        <w:t xml:space="preserve"> </w:t>
      </w:r>
      <w:r w:rsidR="00DD4322">
        <w:t xml:space="preserve">between </w:t>
      </w:r>
      <w:r w:rsidR="00B1021C">
        <w:t xml:space="preserve">authoritarian </w:t>
      </w:r>
      <w:r w:rsidR="00DD4322">
        <w:t>/ democratic states.</w:t>
      </w:r>
      <w:r w:rsidR="00B1021C">
        <w:t xml:space="preserve"> This could lead to a reversal of markets access across the two blocks. There is also threats from challenger banks / fin techs and when combined with rising mobile payment infrastructure will likely lead to Visa having to a reduced market share in financial transactions.</w:t>
      </w:r>
      <w:r w:rsidR="003B6684">
        <w:t xml:space="preserve"> Despite these potential risks Visa remains on a strong ground for the short to medium term. </w:t>
      </w:r>
    </w:p>
    <w:sectPr w:rsidR="002154AD" w:rsidSect="007E246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F306D5"/>
    <w:multiLevelType w:val="hybridMultilevel"/>
    <w:tmpl w:val="E5BE602C"/>
    <w:lvl w:ilvl="0" w:tplc="9010253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0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32"/>
    <w:rsid w:val="000154BC"/>
    <w:rsid w:val="00017808"/>
    <w:rsid w:val="000A1314"/>
    <w:rsid w:val="000A2C35"/>
    <w:rsid w:val="001203C7"/>
    <w:rsid w:val="0021381B"/>
    <w:rsid w:val="002154AD"/>
    <w:rsid w:val="002A28EF"/>
    <w:rsid w:val="002A634D"/>
    <w:rsid w:val="002B0DCF"/>
    <w:rsid w:val="0030001A"/>
    <w:rsid w:val="00306976"/>
    <w:rsid w:val="00327040"/>
    <w:rsid w:val="00365FDB"/>
    <w:rsid w:val="003B6684"/>
    <w:rsid w:val="00482364"/>
    <w:rsid w:val="004A5632"/>
    <w:rsid w:val="006B5BA3"/>
    <w:rsid w:val="006E1060"/>
    <w:rsid w:val="007E22DE"/>
    <w:rsid w:val="007E246B"/>
    <w:rsid w:val="009E17A2"/>
    <w:rsid w:val="00A40E1F"/>
    <w:rsid w:val="00A75735"/>
    <w:rsid w:val="00B04386"/>
    <w:rsid w:val="00B1021C"/>
    <w:rsid w:val="00C11CB5"/>
    <w:rsid w:val="00CB630D"/>
    <w:rsid w:val="00D45584"/>
    <w:rsid w:val="00D91BFA"/>
    <w:rsid w:val="00DD4322"/>
    <w:rsid w:val="00E73B5B"/>
    <w:rsid w:val="00FC5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C682"/>
  <w15:chartTrackingRefBased/>
  <w15:docId w15:val="{2D6C66A1-2B02-4C13-87A8-D26FF86D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632"/>
    <w:rPr>
      <w:rFonts w:eastAsiaTheme="majorEastAsia" w:cstheme="majorBidi"/>
      <w:color w:val="272727" w:themeColor="text1" w:themeTint="D8"/>
    </w:rPr>
  </w:style>
  <w:style w:type="paragraph" w:styleId="Title">
    <w:name w:val="Title"/>
    <w:basedOn w:val="Normal"/>
    <w:next w:val="Normal"/>
    <w:link w:val="TitleChar"/>
    <w:uiPriority w:val="10"/>
    <w:qFormat/>
    <w:rsid w:val="004A5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632"/>
    <w:pPr>
      <w:spacing w:before="160"/>
      <w:jc w:val="center"/>
    </w:pPr>
    <w:rPr>
      <w:i/>
      <w:iCs/>
      <w:color w:val="404040" w:themeColor="text1" w:themeTint="BF"/>
    </w:rPr>
  </w:style>
  <w:style w:type="character" w:customStyle="1" w:styleId="QuoteChar">
    <w:name w:val="Quote Char"/>
    <w:basedOn w:val="DefaultParagraphFont"/>
    <w:link w:val="Quote"/>
    <w:uiPriority w:val="29"/>
    <w:rsid w:val="004A5632"/>
    <w:rPr>
      <w:i/>
      <w:iCs/>
      <w:color w:val="404040" w:themeColor="text1" w:themeTint="BF"/>
    </w:rPr>
  </w:style>
  <w:style w:type="paragraph" w:styleId="ListParagraph">
    <w:name w:val="List Paragraph"/>
    <w:basedOn w:val="Normal"/>
    <w:uiPriority w:val="34"/>
    <w:qFormat/>
    <w:rsid w:val="004A5632"/>
    <w:pPr>
      <w:ind w:left="720"/>
      <w:contextualSpacing/>
    </w:pPr>
  </w:style>
  <w:style w:type="character" w:styleId="IntenseEmphasis">
    <w:name w:val="Intense Emphasis"/>
    <w:basedOn w:val="DefaultParagraphFont"/>
    <w:uiPriority w:val="21"/>
    <w:qFormat/>
    <w:rsid w:val="004A5632"/>
    <w:rPr>
      <w:i/>
      <w:iCs/>
      <w:color w:val="0F4761" w:themeColor="accent1" w:themeShade="BF"/>
    </w:rPr>
  </w:style>
  <w:style w:type="paragraph" w:styleId="IntenseQuote">
    <w:name w:val="Intense Quote"/>
    <w:basedOn w:val="Normal"/>
    <w:next w:val="Normal"/>
    <w:link w:val="IntenseQuoteChar"/>
    <w:uiPriority w:val="30"/>
    <w:qFormat/>
    <w:rsid w:val="004A5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632"/>
    <w:rPr>
      <w:i/>
      <w:iCs/>
      <w:color w:val="0F4761" w:themeColor="accent1" w:themeShade="BF"/>
    </w:rPr>
  </w:style>
  <w:style w:type="character" w:styleId="IntenseReference">
    <w:name w:val="Intense Reference"/>
    <w:basedOn w:val="DefaultParagraphFont"/>
    <w:uiPriority w:val="32"/>
    <w:qFormat/>
    <w:rsid w:val="004A5632"/>
    <w:rPr>
      <w:b/>
      <w:bCs/>
      <w:smallCaps/>
      <w:color w:val="0F4761" w:themeColor="accent1" w:themeShade="BF"/>
      <w:spacing w:val="5"/>
    </w:rPr>
  </w:style>
  <w:style w:type="table" w:styleId="TableGrid">
    <w:name w:val="Table Grid"/>
    <w:basedOn w:val="TableNormal"/>
    <w:uiPriority w:val="39"/>
    <w:rsid w:val="002A2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3212</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ramsden</dc:creator>
  <cp:keywords/>
  <dc:description/>
  <cp:lastModifiedBy>hardy ramsden</cp:lastModifiedBy>
  <cp:revision>2</cp:revision>
  <dcterms:created xsi:type="dcterms:W3CDTF">2024-05-02T17:32:00Z</dcterms:created>
  <dcterms:modified xsi:type="dcterms:W3CDTF">2024-05-05T14:45:00Z</dcterms:modified>
</cp:coreProperties>
</file>