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63168031" w:rsidR="00A6150D" w:rsidRDefault="00A6150D" w:rsidP="00A6150D">
      <w:pPr>
        <w:pStyle w:val="ListParagraph"/>
        <w:numPr>
          <w:ilvl w:val="1"/>
          <w:numId w:val="1"/>
        </w:numPr>
      </w:pPr>
      <w:r>
        <w:t xml:space="preserve">Identify two to three key products that are vital for the company’s </w:t>
      </w:r>
      <w:r w:rsidR="00FA0D50">
        <w:t>growth,</w:t>
      </w:r>
      <w:r>
        <w:t xml:space="preserve">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598A0767" w14:textId="77777777" w:rsidR="003F1B5C" w:rsidRDefault="003F1B5C" w:rsidP="003F1B5C"/>
    <w:p w14:paraId="77B893FA" w14:textId="1BEA9A77" w:rsidR="003F1B5C" w:rsidRDefault="00FA0D50" w:rsidP="003F1B5C">
      <w:r>
        <w:t>Looking at the 3 points</w:t>
      </w:r>
      <w:r w:rsidR="00F52E97">
        <w:t>, point 1 indicates that the Jordan brand, in particular the shoes will be a driver for the revenue growth this will see North America lead this as the most profitable global region. With the growth of the Capex it can be assumed that more stores and factories will be built over the next few years</w:t>
      </w:r>
      <w:r w:rsidR="002F0499">
        <w:t xml:space="preserve"> likely focusing on the Jordan brand for the NA market</w:t>
      </w:r>
      <w:r w:rsidR="00F52E97">
        <w:t>.</w:t>
      </w:r>
    </w:p>
    <w:p w14:paraId="697FB4F2" w14:textId="77777777" w:rsidR="003F1B5C" w:rsidRDefault="003F1B5C" w:rsidP="003F1B5C"/>
    <w:p w14:paraId="3126C763" w14:textId="5D19AC1B" w:rsidR="003F1B5C" w:rsidRDefault="003F1B5C" w:rsidP="003F1B5C">
      <w:r>
        <w:rPr>
          <w:noProof/>
        </w:rPr>
        <w:drawing>
          <wp:inline distT="0" distB="0" distL="0" distR="0" wp14:anchorId="5B92987D" wp14:editId="22A6C06F">
            <wp:extent cx="6182995" cy="2153315"/>
            <wp:effectExtent l="0" t="0" r="8255" b="0"/>
            <wp:docPr id="8122595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4107" cy="2157185"/>
                    </a:xfrm>
                    <a:prstGeom prst="rect">
                      <a:avLst/>
                    </a:prstGeom>
                    <a:noFill/>
                  </pic:spPr>
                </pic:pic>
              </a:graphicData>
            </a:graphic>
          </wp:inline>
        </w:drawing>
      </w:r>
    </w:p>
    <w:p w14:paraId="651D5198" w14:textId="77777777" w:rsidR="003F1B5C" w:rsidRDefault="003F1B5C" w:rsidP="003F1B5C"/>
    <w:p w14:paraId="39CC1AB5" w14:textId="58B1CD78" w:rsidR="003F1B5C" w:rsidRDefault="003F1B5C" w:rsidP="003F1B5C">
      <w:r>
        <w:rPr>
          <w:noProof/>
        </w:rPr>
        <w:drawing>
          <wp:inline distT="0" distB="0" distL="0" distR="0" wp14:anchorId="5604578B" wp14:editId="687799E5">
            <wp:extent cx="5972175" cy="2606257"/>
            <wp:effectExtent l="0" t="0" r="0" b="3810"/>
            <wp:docPr id="9419610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0512" cy="2609895"/>
                    </a:xfrm>
                    <a:prstGeom prst="rect">
                      <a:avLst/>
                    </a:prstGeom>
                    <a:noFill/>
                  </pic:spPr>
                </pic:pic>
              </a:graphicData>
            </a:graphic>
          </wp:inline>
        </w:drawing>
      </w:r>
    </w:p>
    <w:p w14:paraId="40D98AC9" w14:textId="77777777" w:rsidR="003F1B5C" w:rsidRDefault="003F1B5C" w:rsidP="003F1B5C"/>
    <w:p w14:paraId="240F7745" w14:textId="3DE4F2E4" w:rsidR="00B2118C" w:rsidRDefault="005B6A90">
      <w:r>
        <w:rPr>
          <w:noProof/>
        </w:rPr>
        <w:lastRenderedPageBreak/>
        <mc:AlternateContent>
          <mc:Choice Requires="wps">
            <w:drawing>
              <wp:anchor distT="0" distB="0" distL="114300" distR="114300" simplePos="0" relativeHeight="251660288" behindDoc="0" locked="0" layoutInCell="1" allowOverlap="1" wp14:anchorId="12B3F26B" wp14:editId="6ADFF29A">
                <wp:simplePos x="0" y="0"/>
                <wp:positionH relativeFrom="margin">
                  <wp:align>left</wp:align>
                </wp:positionH>
                <wp:positionV relativeFrom="paragraph">
                  <wp:posOffset>1844675</wp:posOffset>
                </wp:positionV>
                <wp:extent cx="2905125" cy="7267575"/>
                <wp:effectExtent l="0" t="0" r="28575" b="2857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726757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53B1DE11" w14:textId="35C7D62F" w:rsidR="003F1B5C" w:rsidRDefault="003F1B5C">
                            <w:pPr>
                              <w:spacing w:before="880" w:after="240" w:line="240" w:lineRule="auto"/>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inline distT="0" distB="0" distL="0" distR="0" wp14:anchorId="4E70956D" wp14:editId="77DBDB8B">
                                  <wp:extent cx="2423160" cy="2857500"/>
                                  <wp:effectExtent l="0" t="0" r="15240" b="0"/>
                                  <wp:docPr id="19858845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5920" w:type="dxa"/>
                              <w:tblLook w:val="04A0" w:firstRow="1" w:lastRow="0" w:firstColumn="1" w:lastColumn="0" w:noHBand="0" w:noVBand="1"/>
                            </w:tblPr>
                            <w:tblGrid>
                              <w:gridCol w:w="2080"/>
                              <w:gridCol w:w="960"/>
                              <w:gridCol w:w="1053"/>
                              <w:gridCol w:w="1053"/>
                              <w:gridCol w:w="1053"/>
                            </w:tblGrid>
                            <w:tr w:rsidR="003F1B5C" w:rsidRPr="003F1B5C" w14:paraId="0B2B3EC4" w14:textId="77777777" w:rsidTr="003F1B5C">
                              <w:trPr>
                                <w:trHeight w:val="288"/>
                              </w:trPr>
                              <w:tc>
                                <w:tcPr>
                                  <w:tcW w:w="2080" w:type="dxa"/>
                                  <w:tcBorders>
                                    <w:top w:val="single" w:sz="4" w:space="0" w:color="auto"/>
                                    <w:left w:val="single" w:sz="4" w:space="0" w:color="auto"/>
                                    <w:bottom w:val="nil"/>
                                    <w:right w:val="single" w:sz="4" w:space="0" w:color="auto"/>
                                  </w:tcBorders>
                                  <w:shd w:val="clear" w:color="000000" w:fill="002060"/>
                                  <w:noWrap/>
                                  <w:vAlign w:val="bottom"/>
                                  <w:hideMark/>
                                </w:tcPr>
                                <w:p w14:paraId="0C6FF0B2"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 </w:t>
                                  </w:r>
                                </w:p>
                              </w:tc>
                              <w:tc>
                                <w:tcPr>
                                  <w:tcW w:w="960" w:type="dxa"/>
                                  <w:tcBorders>
                                    <w:top w:val="single" w:sz="4" w:space="0" w:color="auto"/>
                                    <w:left w:val="nil"/>
                                    <w:bottom w:val="nil"/>
                                    <w:right w:val="single" w:sz="4" w:space="0" w:color="auto"/>
                                  </w:tcBorders>
                                  <w:shd w:val="clear" w:color="000000" w:fill="002060"/>
                                  <w:noWrap/>
                                  <w:vAlign w:val="bottom"/>
                                  <w:hideMark/>
                                </w:tcPr>
                                <w:p w14:paraId="3D7187C0"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2022</w:t>
                                  </w:r>
                                </w:p>
                              </w:tc>
                              <w:tc>
                                <w:tcPr>
                                  <w:tcW w:w="960" w:type="dxa"/>
                                  <w:tcBorders>
                                    <w:top w:val="single" w:sz="4" w:space="0" w:color="auto"/>
                                    <w:left w:val="nil"/>
                                    <w:bottom w:val="nil"/>
                                    <w:right w:val="single" w:sz="4" w:space="0" w:color="auto"/>
                                  </w:tcBorders>
                                  <w:shd w:val="clear" w:color="000000" w:fill="002060"/>
                                  <w:noWrap/>
                                  <w:vAlign w:val="bottom"/>
                                  <w:hideMark/>
                                </w:tcPr>
                                <w:p w14:paraId="4771953C"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2023E</w:t>
                                  </w:r>
                                </w:p>
                              </w:tc>
                              <w:tc>
                                <w:tcPr>
                                  <w:tcW w:w="960" w:type="dxa"/>
                                  <w:tcBorders>
                                    <w:top w:val="single" w:sz="4" w:space="0" w:color="auto"/>
                                    <w:left w:val="nil"/>
                                    <w:bottom w:val="nil"/>
                                    <w:right w:val="single" w:sz="4" w:space="0" w:color="auto"/>
                                  </w:tcBorders>
                                  <w:shd w:val="clear" w:color="000000" w:fill="002060"/>
                                  <w:noWrap/>
                                  <w:vAlign w:val="bottom"/>
                                  <w:hideMark/>
                                </w:tcPr>
                                <w:p w14:paraId="6B76F962"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2024E</w:t>
                                  </w:r>
                                </w:p>
                              </w:tc>
                              <w:tc>
                                <w:tcPr>
                                  <w:tcW w:w="960" w:type="dxa"/>
                                  <w:tcBorders>
                                    <w:top w:val="single" w:sz="4" w:space="0" w:color="auto"/>
                                    <w:left w:val="nil"/>
                                    <w:bottom w:val="nil"/>
                                    <w:right w:val="single" w:sz="4" w:space="0" w:color="auto"/>
                                  </w:tcBorders>
                                  <w:shd w:val="clear" w:color="000000" w:fill="002060"/>
                                  <w:noWrap/>
                                  <w:vAlign w:val="bottom"/>
                                  <w:hideMark/>
                                </w:tcPr>
                                <w:p w14:paraId="4E4A1598"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2025E</w:t>
                                  </w:r>
                                </w:p>
                              </w:tc>
                            </w:tr>
                            <w:tr w:rsidR="003F1B5C" w:rsidRPr="003F1B5C" w14:paraId="06F584CA"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151390D0"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Revenue</w:t>
                                  </w:r>
                                </w:p>
                              </w:tc>
                              <w:tc>
                                <w:tcPr>
                                  <w:tcW w:w="960" w:type="dxa"/>
                                  <w:tcBorders>
                                    <w:top w:val="nil"/>
                                    <w:left w:val="nil"/>
                                    <w:bottom w:val="nil"/>
                                    <w:right w:val="single" w:sz="4" w:space="0" w:color="auto"/>
                                  </w:tcBorders>
                                  <w:shd w:val="clear" w:color="auto" w:fill="auto"/>
                                  <w:noWrap/>
                                  <w:vAlign w:val="bottom"/>
                                  <w:hideMark/>
                                </w:tcPr>
                                <w:p w14:paraId="2AA74A77"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46710</w:t>
                                  </w:r>
                                </w:p>
                              </w:tc>
                              <w:tc>
                                <w:tcPr>
                                  <w:tcW w:w="960" w:type="dxa"/>
                                  <w:tcBorders>
                                    <w:top w:val="nil"/>
                                    <w:left w:val="nil"/>
                                    <w:bottom w:val="nil"/>
                                    <w:right w:val="single" w:sz="4" w:space="0" w:color="auto"/>
                                  </w:tcBorders>
                                  <w:shd w:val="clear" w:color="auto" w:fill="auto"/>
                                  <w:noWrap/>
                                  <w:vAlign w:val="bottom"/>
                                  <w:hideMark/>
                                </w:tcPr>
                                <w:p w14:paraId="6EE074F8"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48987.92</w:t>
                                  </w:r>
                                </w:p>
                              </w:tc>
                              <w:tc>
                                <w:tcPr>
                                  <w:tcW w:w="960" w:type="dxa"/>
                                  <w:tcBorders>
                                    <w:top w:val="nil"/>
                                    <w:left w:val="nil"/>
                                    <w:bottom w:val="nil"/>
                                    <w:right w:val="single" w:sz="4" w:space="0" w:color="auto"/>
                                  </w:tcBorders>
                                  <w:shd w:val="clear" w:color="auto" w:fill="auto"/>
                                  <w:noWrap/>
                                  <w:vAlign w:val="bottom"/>
                                  <w:hideMark/>
                                </w:tcPr>
                                <w:p w14:paraId="33F441B6"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51376.93</w:t>
                                  </w:r>
                                </w:p>
                              </w:tc>
                              <w:tc>
                                <w:tcPr>
                                  <w:tcW w:w="960" w:type="dxa"/>
                                  <w:tcBorders>
                                    <w:top w:val="nil"/>
                                    <w:left w:val="nil"/>
                                    <w:bottom w:val="nil"/>
                                    <w:right w:val="single" w:sz="4" w:space="0" w:color="auto"/>
                                  </w:tcBorders>
                                  <w:shd w:val="clear" w:color="auto" w:fill="auto"/>
                                  <w:noWrap/>
                                  <w:vAlign w:val="bottom"/>
                                  <w:hideMark/>
                                </w:tcPr>
                                <w:p w14:paraId="3C89A115"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53882.45</w:t>
                                  </w:r>
                                </w:p>
                              </w:tc>
                            </w:tr>
                            <w:tr w:rsidR="003F1B5C" w:rsidRPr="003F1B5C" w14:paraId="7745012E"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13F3EAEA"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EBITDA</w:t>
                                  </w:r>
                                </w:p>
                              </w:tc>
                              <w:tc>
                                <w:tcPr>
                                  <w:tcW w:w="960" w:type="dxa"/>
                                  <w:tcBorders>
                                    <w:top w:val="nil"/>
                                    <w:left w:val="nil"/>
                                    <w:bottom w:val="nil"/>
                                    <w:right w:val="single" w:sz="4" w:space="0" w:color="auto"/>
                                  </w:tcBorders>
                                  <w:shd w:val="clear" w:color="auto" w:fill="auto"/>
                                  <w:noWrap/>
                                  <w:vAlign w:val="bottom"/>
                                  <w:hideMark/>
                                </w:tcPr>
                                <w:p w14:paraId="0F87C8F6"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7573.0</w:t>
                                  </w:r>
                                </w:p>
                              </w:tc>
                              <w:tc>
                                <w:tcPr>
                                  <w:tcW w:w="960" w:type="dxa"/>
                                  <w:tcBorders>
                                    <w:top w:val="nil"/>
                                    <w:left w:val="nil"/>
                                    <w:bottom w:val="nil"/>
                                    <w:right w:val="single" w:sz="4" w:space="0" w:color="auto"/>
                                  </w:tcBorders>
                                  <w:shd w:val="clear" w:color="auto" w:fill="auto"/>
                                  <w:noWrap/>
                                  <w:vAlign w:val="bottom"/>
                                  <w:hideMark/>
                                </w:tcPr>
                                <w:p w14:paraId="6735307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8419.7</w:t>
                                  </w:r>
                                </w:p>
                              </w:tc>
                              <w:tc>
                                <w:tcPr>
                                  <w:tcW w:w="960" w:type="dxa"/>
                                  <w:tcBorders>
                                    <w:top w:val="nil"/>
                                    <w:left w:val="nil"/>
                                    <w:bottom w:val="nil"/>
                                    <w:right w:val="single" w:sz="4" w:space="0" w:color="auto"/>
                                  </w:tcBorders>
                                  <w:shd w:val="clear" w:color="auto" w:fill="auto"/>
                                  <w:noWrap/>
                                  <w:vAlign w:val="bottom"/>
                                  <w:hideMark/>
                                </w:tcPr>
                                <w:p w14:paraId="7E90969F"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8580.5</w:t>
                                  </w:r>
                                </w:p>
                              </w:tc>
                              <w:tc>
                                <w:tcPr>
                                  <w:tcW w:w="960" w:type="dxa"/>
                                  <w:tcBorders>
                                    <w:top w:val="nil"/>
                                    <w:left w:val="nil"/>
                                    <w:bottom w:val="nil"/>
                                    <w:right w:val="single" w:sz="4" w:space="0" w:color="auto"/>
                                  </w:tcBorders>
                                  <w:shd w:val="clear" w:color="auto" w:fill="auto"/>
                                  <w:noWrap/>
                                  <w:vAlign w:val="bottom"/>
                                  <w:hideMark/>
                                </w:tcPr>
                                <w:p w14:paraId="0BEF52B8"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8746.3</w:t>
                                  </w:r>
                                </w:p>
                              </w:tc>
                            </w:tr>
                            <w:tr w:rsidR="003F1B5C" w:rsidRPr="003F1B5C" w14:paraId="230EA10E"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2D4B4596"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EPS</w:t>
                                  </w:r>
                                </w:p>
                              </w:tc>
                              <w:tc>
                                <w:tcPr>
                                  <w:tcW w:w="960" w:type="dxa"/>
                                  <w:tcBorders>
                                    <w:top w:val="nil"/>
                                    <w:left w:val="nil"/>
                                    <w:bottom w:val="nil"/>
                                    <w:right w:val="single" w:sz="4" w:space="0" w:color="auto"/>
                                  </w:tcBorders>
                                  <w:shd w:val="clear" w:color="auto" w:fill="auto"/>
                                  <w:noWrap/>
                                  <w:vAlign w:val="bottom"/>
                                  <w:hideMark/>
                                </w:tcPr>
                                <w:p w14:paraId="3BB95958"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3.8</w:t>
                                  </w:r>
                                </w:p>
                              </w:tc>
                              <w:tc>
                                <w:tcPr>
                                  <w:tcW w:w="960" w:type="dxa"/>
                                  <w:tcBorders>
                                    <w:top w:val="nil"/>
                                    <w:left w:val="nil"/>
                                    <w:bottom w:val="nil"/>
                                    <w:right w:val="single" w:sz="4" w:space="0" w:color="auto"/>
                                  </w:tcBorders>
                                  <w:shd w:val="clear" w:color="auto" w:fill="auto"/>
                                  <w:noWrap/>
                                  <w:vAlign w:val="bottom"/>
                                  <w:hideMark/>
                                </w:tcPr>
                                <w:p w14:paraId="50A5543E"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3.2</w:t>
                                  </w:r>
                                </w:p>
                              </w:tc>
                              <w:tc>
                                <w:tcPr>
                                  <w:tcW w:w="960" w:type="dxa"/>
                                  <w:tcBorders>
                                    <w:top w:val="nil"/>
                                    <w:left w:val="nil"/>
                                    <w:bottom w:val="nil"/>
                                    <w:right w:val="single" w:sz="4" w:space="0" w:color="auto"/>
                                  </w:tcBorders>
                                  <w:shd w:val="clear" w:color="auto" w:fill="auto"/>
                                  <w:noWrap/>
                                  <w:vAlign w:val="bottom"/>
                                  <w:hideMark/>
                                </w:tcPr>
                                <w:p w14:paraId="719DAF1A"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3.2</w:t>
                                  </w:r>
                                </w:p>
                              </w:tc>
                              <w:tc>
                                <w:tcPr>
                                  <w:tcW w:w="960" w:type="dxa"/>
                                  <w:tcBorders>
                                    <w:top w:val="nil"/>
                                    <w:left w:val="nil"/>
                                    <w:bottom w:val="nil"/>
                                    <w:right w:val="single" w:sz="4" w:space="0" w:color="auto"/>
                                  </w:tcBorders>
                                  <w:shd w:val="clear" w:color="auto" w:fill="auto"/>
                                  <w:noWrap/>
                                  <w:vAlign w:val="bottom"/>
                                  <w:hideMark/>
                                </w:tcPr>
                                <w:p w14:paraId="49537DD1"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3.2</w:t>
                                  </w:r>
                                </w:p>
                              </w:tc>
                            </w:tr>
                            <w:tr w:rsidR="003F1B5C" w:rsidRPr="003F1B5C" w14:paraId="02AEE528"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03455FAB"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Net debt</w:t>
                                  </w:r>
                                </w:p>
                              </w:tc>
                              <w:tc>
                                <w:tcPr>
                                  <w:tcW w:w="960" w:type="dxa"/>
                                  <w:tcBorders>
                                    <w:top w:val="nil"/>
                                    <w:left w:val="nil"/>
                                    <w:bottom w:val="nil"/>
                                    <w:right w:val="single" w:sz="4" w:space="0" w:color="auto"/>
                                  </w:tcBorders>
                                  <w:shd w:val="clear" w:color="auto" w:fill="auto"/>
                                  <w:noWrap/>
                                  <w:vAlign w:val="bottom"/>
                                  <w:hideMark/>
                                </w:tcPr>
                                <w:p w14:paraId="1773E4D6"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1298.0</w:t>
                                  </w:r>
                                </w:p>
                              </w:tc>
                              <w:tc>
                                <w:tcPr>
                                  <w:tcW w:w="960" w:type="dxa"/>
                                  <w:tcBorders>
                                    <w:top w:val="nil"/>
                                    <w:left w:val="nil"/>
                                    <w:bottom w:val="nil"/>
                                    <w:right w:val="single" w:sz="4" w:space="0" w:color="auto"/>
                                  </w:tcBorders>
                                  <w:shd w:val="clear" w:color="auto" w:fill="auto"/>
                                  <w:noWrap/>
                                  <w:vAlign w:val="bottom"/>
                                  <w:hideMark/>
                                </w:tcPr>
                                <w:p w14:paraId="541EA4AF"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1361.3</w:t>
                                  </w:r>
                                </w:p>
                              </w:tc>
                              <w:tc>
                                <w:tcPr>
                                  <w:tcW w:w="960" w:type="dxa"/>
                                  <w:tcBorders>
                                    <w:top w:val="nil"/>
                                    <w:left w:val="nil"/>
                                    <w:bottom w:val="nil"/>
                                    <w:right w:val="single" w:sz="4" w:space="0" w:color="auto"/>
                                  </w:tcBorders>
                                  <w:shd w:val="clear" w:color="auto" w:fill="auto"/>
                                  <w:noWrap/>
                                  <w:vAlign w:val="bottom"/>
                                  <w:hideMark/>
                                </w:tcPr>
                                <w:p w14:paraId="36A0AE3C"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1427.7</w:t>
                                  </w:r>
                                </w:p>
                              </w:tc>
                              <w:tc>
                                <w:tcPr>
                                  <w:tcW w:w="960" w:type="dxa"/>
                                  <w:tcBorders>
                                    <w:top w:val="nil"/>
                                    <w:left w:val="nil"/>
                                    <w:bottom w:val="nil"/>
                                    <w:right w:val="single" w:sz="4" w:space="0" w:color="auto"/>
                                  </w:tcBorders>
                                  <w:shd w:val="clear" w:color="auto" w:fill="auto"/>
                                  <w:noWrap/>
                                  <w:vAlign w:val="bottom"/>
                                  <w:hideMark/>
                                </w:tcPr>
                                <w:p w14:paraId="4D48F369"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1497.4</w:t>
                                  </w:r>
                                </w:p>
                              </w:tc>
                            </w:tr>
                            <w:tr w:rsidR="003F1B5C" w:rsidRPr="003F1B5C" w14:paraId="03F56A36"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0A99D320"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FCFF</w:t>
                                  </w:r>
                                </w:p>
                              </w:tc>
                              <w:tc>
                                <w:tcPr>
                                  <w:tcW w:w="960" w:type="dxa"/>
                                  <w:tcBorders>
                                    <w:top w:val="nil"/>
                                    <w:left w:val="nil"/>
                                    <w:bottom w:val="nil"/>
                                    <w:right w:val="single" w:sz="4" w:space="0" w:color="auto"/>
                                  </w:tcBorders>
                                  <w:shd w:val="clear" w:color="auto" w:fill="auto"/>
                                  <w:noWrap/>
                                  <w:vAlign w:val="bottom"/>
                                  <w:hideMark/>
                                </w:tcPr>
                                <w:p w14:paraId="4A4530D1"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7114.0</w:t>
                                  </w:r>
                                </w:p>
                              </w:tc>
                              <w:tc>
                                <w:tcPr>
                                  <w:tcW w:w="960" w:type="dxa"/>
                                  <w:tcBorders>
                                    <w:top w:val="nil"/>
                                    <w:left w:val="nil"/>
                                    <w:bottom w:val="nil"/>
                                    <w:right w:val="single" w:sz="4" w:space="0" w:color="auto"/>
                                  </w:tcBorders>
                                  <w:shd w:val="clear" w:color="auto" w:fill="auto"/>
                                  <w:noWrap/>
                                  <w:vAlign w:val="bottom"/>
                                  <w:hideMark/>
                                </w:tcPr>
                                <w:p w14:paraId="5B6EA99E"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4339.0</w:t>
                                  </w:r>
                                </w:p>
                              </w:tc>
                              <w:tc>
                                <w:tcPr>
                                  <w:tcW w:w="960" w:type="dxa"/>
                                  <w:tcBorders>
                                    <w:top w:val="nil"/>
                                    <w:left w:val="nil"/>
                                    <w:bottom w:val="nil"/>
                                    <w:right w:val="single" w:sz="4" w:space="0" w:color="auto"/>
                                  </w:tcBorders>
                                  <w:shd w:val="clear" w:color="auto" w:fill="auto"/>
                                  <w:noWrap/>
                                  <w:vAlign w:val="bottom"/>
                                  <w:hideMark/>
                                </w:tcPr>
                                <w:p w14:paraId="3F6DEBF0"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4576.5</w:t>
                                  </w:r>
                                </w:p>
                              </w:tc>
                              <w:tc>
                                <w:tcPr>
                                  <w:tcW w:w="960" w:type="dxa"/>
                                  <w:tcBorders>
                                    <w:top w:val="nil"/>
                                    <w:left w:val="nil"/>
                                    <w:bottom w:val="nil"/>
                                    <w:right w:val="single" w:sz="4" w:space="0" w:color="auto"/>
                                  </w:tcBorders>
                                  <w:shd w:val="clear" w:color="auto" w:fill="auto"/>
                                  <w:noWrap/>
                                  <w:vAlign w:val="bottom"/>
                                  <w:hideMark/>
                                </w:tcPr>
                                <w:p w14:paraId="77013259"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4826.1</w:t>
                                  </w:r>
                                </w:p>
                              </w:tc>
                            </w:tr>
                            <w:tr w:rsidR="003F1B5C" w:rsidRPr="003F1B5C" w14:paraId="7CA77A80"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78F8400D"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ROE</w:t>
                                  </w:r>
                                </w:p>
                              </w:tc>
                              <w:tc>
                                <w:tcPr>
                                  <w:tcW w:w="960" w:type="dxa"/>
                                  <w:tcBorders>
                                    <w:top w:val="nil"/>
                                    <w:left w:val="nil"/>
                                    <w:bottom w:val="nil"/>
                                    <w:right w:val="single" w:sz="4" w:space="0" w:color="auto"/>
                                  </w:tcBorders>
                                  <w:shd w:val="clear" w:color="auto" w:fill="auto"/>
                                  <w:noWrap/>
                                  <w:vAlign w:val="bottom"/>
                                  <w:hideMark/>
                                </w:tcPr>
                                <w:p w14:paraId="66BE39E4"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0.526</w:t>
                                  </w:r>
                                </w:p>
                              </w:tc>
                              <w:tc>
                                <w:tcPr>
                                  <w:tcW w:w="960" w:type="dxa"/>
                                  <w:tcBorders>
                                    <w:top w:val="nil"/>
                                    <w:left w:val="nil"/>
                                    <w:bottom w:val="nil"/>
                                    <w:right w:val="single" w:sz="4" w:space="0" w:color="auto"/>
                                  </w:tcBorders>
                                  <w:shd w:val="clear" w:color="auto" w:fill="auto"/>
                                  <w:noWrap/>
                                  <w:vAlign w:val="bottom"/>
                                  <w:hideMark/>
                                </w:tcPr>
                                <w:p w14:paraId="2ABFD3BE"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0.829</w:t>
                                  </w:r>
                                </w:p>
                              </w:tc>
                              <w:tc>
                                <w:tcPr>
                                  <w:tcW w:w="960" w:type="dxa"/>
                                  <w:tcBorders>
                                    <w:top w:val="nil"/>
                                    <w:left w:val="nil"/>
                                    <w:bottom w:val="nil"/>
                                    <w:right w:val="single" w:sz="4" w:space="0" w:color="auto"/>
                                  </w:tcBorders>
                                  <w:shd w:val="clear" w:color="auto" w:fill="auto"/>
                                  <w:noWrap/>
                                  <w:vAlign w:val="bottom"/>
                                  <w:hideMark/>
                                </w:tcPr>
                                <w:p w14:paraId="1C2AF9CA"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1.305</w:t>
                                  </w:r>
                                </w:p>
                              </w:tc>
                              <w:tc>
                                <w:tcPr>
                                  <w:tcW w:w="960" w:type="dxa"/>
                                  <w:tcBorders>
                                    <w:top w:val="nil"/>
                                    <w:left w:val="nil"/>
                                    <w:bottom w:val="nil"/>
                                    <w:right w:val="single" w:sz="4" w:space="0" w:color="auto"/>
                                  </w:tcBorders>
                                  <w:shd w:val="clear" w:color="auto" w:fill="auto"/>
                                  <w:noWrap/>
                                  <w:vAlign w:val="bottom"/>
                                  <w:hideMark/>
                                </w:tcPr>
                                <w:p w14:paraId="37BD8516"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2.055</w:t>
                                  </w:r>
                                </w:p>
                              </w:tc>
                            </w:tr>
                            <w:tr w:rsidR="003F1B5C" w:rsidRPr="003F1B5C" w14:paraId="76FD51FB"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401374B7"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P/E</w:t>
                                  </w:r>
                                </w:p>
                              </w:tc>
                              <w:tc>
                                <w:tcPr>
                                  <w:tcW w:w="960" w:type="dxa"/>
                                  <w:tcBorders>
                                    <w:top w:val="nil"/>
                                    <w:left w:val="nil"/>
                                    <w:bottom w:val="nil"/>
                                    <w:right w:val="single" w:sz="4" w:space="0" w:color="auto"/>
                                  </w:tcBorders>
                                  <w:shd w:val="clear" w:color="auto" w:fill="auto"/>
                                  <w:noWrap/>
                                  <w:vAlign w:val="bottom"/>
                                  <w:hideMark/>
                                </w:tcPr>
                                <w:p w14:paraId="45715FD4"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23.301</w:t>
                                  </w:r>
                                </w:p>
                              </w:tc>
                              <w:tc>
                                <w:tcPr>
                                  <w:tcW w:w="960" w:type="dxa"/>
                                  <w:tcBorders>
                                    <w:top w:val="nil"/>
                                    <w:left w:val="nil"/>
                                    <w:bottom w:val="nil"/>
                                    <w:right w:val="single" w:sz="4" w:space="0" w:color="auto"/>
                                  </w:tcBorders>
                                  <w:shd w:val="clear" w:color="auto" w:fill="auto"/>
                                  <w:noWrap/>
                                  <w:vAlign w:val="bottom"/>
                                  <w:hideMark/>
                                </w:tcPr>
                                <w:p w14:paraId="29762F91"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27.077</w:t>
                                  </w:r>
                                </w:p>
                              </w:tc>
                              <w:tc>
                                <w:tcPr>
                                  <w:tcW w:w="960" w:type="dxa"/>
                                  <w:tcBorders>
                                    <w:top w:val="nil"/>
                                    <w:left w:val="nil"/>
                                    <w:bottom w:val="nil"/>
                                    <w:right w:val="single" w:sz="4" w:space="0" w:color="auto"/>
                                  </w:tcBorders>
                                  <w:shd w:val="clear" w:color="auto" w:fill="auto"/>
                                  <w:noWrap/>
                                  <w:vAlign w:val="bottom"/>
                                  <w:hideMark/>
                                </w:tcPr>
                                <w:p w14:paraId="360BA891"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27.077</w:t>
                                  </w:r>
                                </w:p>
                              </w:tc>
                              <w:tc>
                                <w:tcPr>
                                  <w:tcW w:w="960" w:type="dxa"/>
                                  <w:tcBorders>
                                    <w:top w:val="nil"/>
                                    <w:left w:val="nil"/>
                                    <w:bottom w:val="nil"/>
                                    <w:right w:val="single" w:sz="4" w:space="0" w:color="auto"/>
                                  </w:tcBorders>
                                  <w:shd w:val="clear" w:color="auto" w:fill="auto"/>
                                  <w:noWrap/>
                                  <w:vAlign w:val="bottom"/>
                                  <w:hideMark/>
                                </w:tcPr>
                                <w:p w14:paraId="784E82D0"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27.077</w:t>
                                  </w:r>
                                </w:p>
                              </w:tc>
                            </w:tr>
                            <w:tr w:rsidR="003F1B5C" w:rsidRPr="003F1B5C" w14:paraId="21027A17" w14:textId="77777777" w:rsidTr="003F1B5C">
                              <w:trPr>
                                <w:trHeight w:val="28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F3F0417"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EV/EBITDA</w:t>
                                  </w:r>
                                </w:p>
                              </w:tc>
                              <w:tc>
                                <w:tcPr>
                                  <w:tcW w:w="960" w:type="dxa"/>
                                  <w:tcBorders>
                                    <w:top w:val="nil"/>
                                    <w:left w:val="nil"/>
                                    <w:bottom w:val="single" w:sz="4" w:space="0" w:color="auto"/>
                                    <w:right w:val="single" w:sz="4" w:space="0" w:color="auto"/>
                                  </w:tcBorders>
                                  <w:shd w:val="clear" w:color="auto" w:fill="auto"/>
                                  <w:noWrap/>
                                  <w:vAlign w:val="bottom"/>
                                  <w:hideMark/>
                                </w:tcPr>
                                <w:p w14:paraId="5F8CD49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4.038</w:t>
                                  </w:r>
                                </w:p>
                              </w:tc>
                              <w:tc>
                                <w:tcPr>
                                  <w:tcW w:w="960" w:type="dxa"/>
                                  <w:tcBorders>
                                    <w:top w:val="nil"/>
                                    <w:left w:val="nil"/>
                                    <w:bottom w:val="single" w:sz="4" w:space="0" w:color="auto"/>
                                    <w:right w:val="single" w:sz="4" w:space="0" w:color="auto"/>
                                  </w:tcBorders>
                                  <w:shd w:val="clear" w:color="auto" w:fill="auto"/>
                                  <w:noWrap/>
                                  <w:vAlign w:val="bottom"/>
                                  <w:hideMark/>
                                </w:tcPr>
                                <w:p w14:paraId="38C3ECBC"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3.632</w:t>
                                  </w:r>
                                </w:p>
                              </w:tc>
                              <w:tc>
                                <w:tcPr>
                                  <w:tcW w:w="960" w:type="dxa"/>
                                  <w:tcBorders>
                                    <w:top w:val="nil"/>
                                    <w:left w:val="nil"/>
                                    <w:bottom w:val="single" w:sz="4" w:space="0" w:color="auto"/>
                                    <w:right w:val="single" w:sz="4" w:space="0" w:color="auto"/>
                                  </w:tcBorders>
                                  <w:shd w:val="clear" w:color="auto" w:fill="auto"/>
                                  <w:noWrap/>
                                  <w:vAlign w:val="bottom"/>
                                  <w:hideMark/>
                                </w:tcPr>
                                <w:p w14:paraId="4F5DC04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3.564</w:t>
                                  </w:r>
                                </w:p>
                              </w:tc>
                              <w:tc>
                                <w:tcPr>
                                  <w:tcW w:w="960" w:type="dxa"/>
                                  <w:tcBorders>
                                    <w:top w:val="nil"/>
                                    <w:left w:val="nil"/>
                                    <w:bottom w:val="single" w:sz="4" w:space="0" w:color="auto"/>
                                    <w:right w:val="single" w:sz="4" w:space="0" w:color="auto"/>
                                  </w:tcBorders>
                                  <w:shd w:val="clear" w:color="auto" w:fill="auto"/>
                                  <w:noWrap/>
                                  <w:vAlign w:val="bottom"/>
                                  <w:hideMark/>
                                </w:tcPr>
                                <w:p w14:paraId="5AA5AD9E"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3.496</w:t>
                                  </w:r>
                                </w:p>
                              </w:tc>
                            </w:tr>
                            <w:tr w:rsidR="003F1B5C" w:rsidRPr="003F1B5C" w14:paraId="548653A3" w14:textId="77777777" w:rsidTr="003F1B5C">
                              <w:trPr>
                                <w:trHeight w:val="288"/>
                              </w:trPr>
                              <w:tc>
                                <w:tcPr>
                                  <w:tcW w:w="2080" w:type="dxa"/>
                                  <w:tcBorders>
                                    <w:top w:val="nil"/>
                                    <w:left w:val="nil"/>
                                    <w:bottom w:val="nil"/>
                                    <w:right w:val="nil"/>
                                  </w:tcBorders>
                                  <w:shd w:val="clear" w:color="auto" w:fill="auto"/>
                                  <w:noWrap/>
                                  <w:vAlign w:val="bottom"/>
                                  <w:hideMark/>
                                </w:tcPr>
                                <w:p w14:paraId="77128936"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p>
                              </w:tc>
                              <w:tc>
                                <w:tcPr>
                                  <w:tcW w:w="960" w:type="dxa"/>
                                  <w:tcBorders>
                                    <w:top w:val="nil"/>
                                    <w:left w:val="nil"/>
                                    <w:bottom w:val="nil"/>
                                    <w:right w:val="nil"/>
                                  </w:tcBorders>
                                  <w:shd w:val="clear" w:color="auto" w:fill="auto"/>
                                  <w:noWrap/>
                                  <w:vAlign w:val="bottom"/>
                                  <w:hideMark/>
                                </w:tcPr>
                                <w:p w14:paraId="1D26DA0D"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687DAE5"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4E5698B"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00ED822"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r>
                            <w:tr w:rsidR="003F1B5C" w:rsidRPr="003F1B5C" w14:paraId="47ECAF75" w14:textId="77777777" w:rsidTr="003F1B5C">
                              <w:trPr>
                                <w:trHeight w:val="288"/>
                              </w:trPr>
                              <w:tc>
                                <w:tcPr>
                                  <w:tcW w:w="2080" w:type="dxa"/>
                                  <w:tcBorders>
                                    <w:top w:val="nil"/>
                                    <w:left w:val="nil"/>
                                    <w:bottom w:val="nil"/>
                                    <w:right w:val="nil"/>
                                  </w:tcBorders>
                                  <w:shd w:val="clear" w:color="auto" w:fill="auto"/>
                                  <w:noWrap/>
                                  <w:vAlign w:val="bottom"/>
                                  <w:hideMark/>
                                </w:tcPr>
                                <w:p w14:paraId="40437267"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688A6E4"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37771FC"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85CC5CF"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2A1D7A61"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r>
                            <w:tr w:rsidR="003F1B5C" w:rsidRPr="003F1B5C" w14:paraId="7960AB9C" w14:textId="77777777" w:rsidTr="003F1B5C">
                              <w:trPr>
                                <w:trHeight w:val="288"/>
                              </w:trPr>
                              <w:tc>
                                <w:tcPr>
                                  <w:tcW w:w="2080" w:type="dxa"/>
                                  <w:tcBorders>
                                    <w:top w:val="nil"/>
                                    <w:left w:val="nil"/>
                                    <w:bottom w:val="nil"/>
                                    <w:right w:val="nil"/>
                                  </w:tcBorders>
                                  <w:shd w:val="clear" w:color="auto" w:fill="auto"/>
                                  <w:noWrap/>
                                  <w:vAlign w:val="bottom"/>
                                  <w:hideMark/>
                                </w:tcPr>
                                <w:p w14:paraId="5E13FBA3"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FA977C7"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6364E5C8"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0D0175A"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A1CAE8A"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r>
                            <w:tr w:rsidR="003F1B5C" w:rsidRPr="003F1B5C" w14:paraId="7AC1D716" w14:textId="77777777" w:rsidTr="003F1B5C">
                              <w:trPr>
                                <w:trHeight w:val="288"/>
                              </w:trPr>
                              <w:tc>
                                <w:tcPr>
                                  <w:tcW w:w="2080" w:type="dxa"/>
                                  <w:tcBorders>
                                    <w:top w:val="single" w:sz="4" w:space="0" w:color="auto"/>
                                    <w:left w:val="single" w:sz="4" w:space="0" w:color="auto"/>
                                    <w:bottom w:val="nil"/>
                                    <w:right w:val="single" w:sz="4" w:space="0" w:color="auto"/>
                                  </w:tcBorders>
                                  <w:shd w:val="clear" w:color="000000" w:fill="002060"/>
                                  <w:noWrap/>
                                  <w:vAlign w:val="bottom"/>
                                  <w:hideMark/>
                                </w:tcPr>
                                <w:p w14:paraId="0CA48AD1"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 </w:t>
                                  </w:r>
                                </w:p>
                              </w:tc>
                              <w:tc>
                                <w:tcPr>
                                  <w:tcW w:w="960" w:type="dxa"/>
                                  <w:tcBorders>
                                    <w:top w:val="single" w:sz="4" w:space="0" w:color="auto"/>
                                    <w:left w:val="nil"/>
                                    <w:bottom w:val="nil"/>
                                    <w:right w:val="single" w:sz="4" w:space="0" w:color="auto"/>
                                  </w:tcBorders>
                                  <w:shd w:val="clear" w:color="000000" w:fill="002060"/>
                                  <w:noWrap/>
                                  <w:vAlign w:val="bottom"/>
                                  <w:hideMark/>
                                </w:tcPr>
                                <w:p w14:paraId="1F6E333E"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2022</w:t>
                                  </w:r>
                                </w:p>
                              </w:tc>
                              <w:tc>
                                <w:tcPr>
                                  <w:tcW w:w="960" w:type="dxa"/>
                                  <w:tcBorders>
                                    <w:top w:val="single" w:sz="4" w:space="0" w:color="auto"/>
                                    <w:left w:val="nil"/>
                                    <w:bottom w:val="nil"/>
                                    <w:right w:val="single" w:sz="4" w:space="0" w:color="auto"/>
                                  </w:tcBorders>
                                  <w:shd w:val="clear" w:color="000000" w:fill="002060"/>
                                  <w:noWrap/>
                                  <w:vAlign w:val="bottom"/>
                                  <w:hideMark/>
                                </w:tcPr>
                                <w:p w14:paraId="61B097A8"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2023E</w:t>
                                  </w:r>
                                </w:p>
                              </w:tc>
                              <w:tc>
                                <w:tcPr>
                                  <w:tcW w:w="960" w:type="dxa"/>
                                  <w:tcBorders>
                                    <w:top w:val="single" w:sz="4" w:space="0" w:color="auto"/>
                                    <w:left w:val="nil"/>
                                    <w:bottom w:val="nil"/>
                                    <w:right w:val="single" w:sz="4" w:space="0" w:color="auto"/>
                                  </w:tcBorders>
                                  <w:shd w:val="clear" w:color="000000" w:fill="002060"/>
                                  <w:noWrap/>
                                  <w:vAlign w:val="bottom"/>
                                  <w:hideMark/>
                                </w:tcPr>
                                <w:p w14:paraId="4EB6E278"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2024E</w:t>
                                  </w:r>
                                </w:p>
                              </w:tc>
                              <w:tc>
                                <w:tcPr>
                                  <w:tcW w:w="960" w:type="dxa"/>
                                  <w:tcBorders>
                                    <w:top w:val="single" w:sz="4" w:space="0" w:color="auto"/>
                                    <w:left w:val="nil"/>
                                    <w:bottom w:val="nil"/>
                                    <w:right w:val="single" w:sz="4" w:space="0" w:color="auto"/>
                                  </w:tcBorders>
                                  <w:shd w:val="clear" w:color="000000" w:fill="002060"/>
                                  <w:noWrap/>
                                  <w:vAlign w:val="bottom"/>
                                  <w:hideMark/>
                                </w:tcPr>
                                <w:p w14:paraId="591AF8A6"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2025E</w:t>
                                  </w:r>
                                </w:p>
                              </w:tc>
                            </w:tr>
                            <w:tr w:rsidR="003F1B5C" w:rsidRPr="003F1B5C" w14:paraId="0B633800"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79655E93"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Sales growth (%)</w:t>
                                  </w:r>
                                </w:p>
                              </w:tc>
                              <w:tc>
                                <w:tcPr>
                                  <w:tcW w:w="960" w:type="dxa"/>
                                  <w:tcBorders>
                                    <w:top w:val="nil"/>
                                    <w:left w:val="nil"/>
                                    <w:bottom w:val="nil"/>
                                    <w:right w:val="single" w:sz="4" w:space="0" w:color="auto"/>
                                  </w:tcBorders>
                                  <w:shd w:val="clear" w:color="auto" w:fill="auto"/>
                                  <w:noWrap/>
                                  <w:vAlign w:val="bottom"/>
                                  <w:hideMark/>
                                </w:tcPr>
                                <w:p w14:paraId="40EA29B5"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5%</w:t>
                                  </w:r>
                                </w:p>
                              </w:tc>
                              <w:tc>
                                <w:tcPr>
                                  <w:tcW w:w="960" w:type="dxa"/>
                                  <w:tcBorders>
                                    <w:top w:val="nil"/>
                                    <w:left w:val="nil"/>
                                    <w:bottom w:val="nil"/>
                                    <w:right w:val="single" w:sz="4" w:space="0" w:color="auto"/>
                                  </w:tcBorders>
                                  <w:shd w:val="clear" w:color="auto" w:fill="auto"/>
                                  <w:noWrap/>
                                  <w:vAlign w:val="bottom"/>
                                  <w:hideMark/>
                                </w:tcPr>
                                <w:p w14:paraId="724EEBC7"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5%</w:t>
                                  </w:r>
                                </w:p>
                              </w:tc>
                              <w:tc>
                                <w:tcPr>
                                  <w:tcW w:w="960" w:type="dxa"/>
                                  <w:tcBorders>
                                    <w:top w:val="nil"/>
                                    <w:left w:val="nil"/>
                                    <w:bottom w:val="nil"/>
                                    <w:right w:val="single" w:sz="4" w:space="0" w:color="auto"/>
                                  </w:tcBorders>
                                  <w:shd w:val="clear" w:color="auto" w:fill="auto"/>
                                  <w:noWrap/>
                                  <w:vAlign w:val="bottom"/>
                                  <w:hideMark/>
                                </w:tcPr>
                                <w:p w14:paraId="58B82821"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5%</w:t>
                                  </w:r>
                                </w:p>
                              </w:tc>
                              <w:tc>
                                <w:tcPr>
                                  <w:tcW w:w="960" w:type="dxa"/>
                                  <w:tcBorders>
                                    <w:top w:val="nil"/>
                                    <w:left w:val="nil"/>
                                    <w:bottom w:val="nil"/>
                                    <w:right w:val="single" w:sz="4" w:space="0" w:color="auto"/>
                                  </w:tcBorders>
                                  <w:shd w:val="clear" w:color="auto" w:fill="auto"/>
                                  <w:noWrap/>
                                  <w:vAlign w:val="bottom"/>
                                  <w:hideMark/>
                                </w:tcPr>
                                <w:p w14:paraId="2BE85720"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5%</w:t>
                                  </w:r>
                                </w:p>
                              </w:tc>
                            </w:tr>
                            <w:tr w:rsidR="003F1B5C" w:rsidRPr="003F1B5C" w14:paraId="6A8F3269"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78681583"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EBIT growth (%)</w:t>
                                  </w:r>
                                </w:p>
                              </w:tc>
                              <w:tc>
                                <w:tcPr>
                                  <w:tcW w:w="960" w:type="dxa"/>
                                  <w:tcBorders>
                                    <w:top w:val="nil"/>
                                    <w:left w:val="nil"/>
                                    <w:bottom w:val="nil"/>
                                    <w:right w:val="single" w:sz="4" w:space="0" w:color="auto"/>
                                  </w:tcBorders>
                                  <w:shd w:val="clear" w:color="auto" w:fill="auto"/>
                                  <w:noWrap/>
                                  <w:vAlign w:val="bottom"/>
                                  <w:hideMark/>
                                </w:tcPr>
                                <w:p w14:paraId="4C0E47A9"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w:t>
                                  </w:r>
                                </w:p>
                              </w:tc>
                              <w:tc>
                                <w:tcPr>
                                  <w:tcW w:w="960" w:type="dxa"/>
                                  <w:tcBorders>
                                    <w:top w:val="nil"/>
                                    <w:left w:val="nil"/>
                                    <w:bottom w:val="nil"/>
                                    <w:right w:val="single" w:sz="4" w:space="0" w:color="auto"/>
                                  </w:tcBorders>
                                  <w:shd w:val="clear" w:color="auto" w:fill="auto"/>
                                  <w:noWrap/>
                                  <w:vAlign w:val="bottom"/>
                                  <w:hideMark/>
                                </w:tcPr>
                                <w:p w14:paraId="5AE00F0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12%</w:t>
                                  </w:r>
                                </w:p>
                              </w:tc>
                              <w:tc>
                                <w:tcPr>
                                  <w:tcW w:w="960" w:type="dxa"/>
                                  <w:tcBorders>
                                    <w:top w:val="nil"/>
                                    <w:left w:val="nil"/>
                                    <w:bottom w:val="nil"/>
                                    <w:right w:val="single" w:sz="4" w:space="0" w:color="auto"/>
                                  </w:tcBorders>
                                  <w:shd w:val="clear" w:color="auto" w:fill="auto"/>
                                  <w:noWrap/>
                                  <w:vAlign w:val="bottom"/>
                                  <w:hideMark/>
                                </w:tcPr>
                                <w:p w14:paraId="60ACC027"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w:t>
                                  </w:r>
                                </w:p>
                              </w:tc>
                              <w:tc>
                                <w:tcPr>
                                  <w:tcW w:w="960" w:type="dxa"/>
                                  <w:tcBorders>
                                    <w:top w:val="nil"/>
                                    <w:left w:val="nil"/>
                                    <w:bottom w:val="nil"/>
                                    <w:right w:val="single" w:sz="4" w:space="0" w:color="auto"/>
                                  </w:tcBorders>
                                  <w:shd w:val="clear" w:color="auto" w:fill="auto"/>
                                  <w:noWrap/>
                                  <w:vAlign w:val="bottom"/>
                                  <w:hideMark/>
                                </w:tcPr>
                                <w:p w14:paraId="5E547EBE"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w:t>
                                  </w:r>
                                </w:p>
                              </w:tc>
                            </w:tr>
                            <w:tr w:rsidR="003F1B5C" w:rsidRPr="003F1B5C" w14:paraId="5174FA7F"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128DDBDC"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Net profit growth (%)</w:t>
                                  </w:r>
                                </w:p>
                              </w:tc>
                              <w:tc>
                                <w:tcPr>
                                  <w:tcW w:w="960" w:type="dxa"/>
                                  <w:tcBorders>
                                    <w:top w:val="nil"/>
                                    <w:left w:val="nil"/>
                                    <w:bottom w:val="nil"/>
                                    <w:right w:val="single" w:sz="4" w:space="0" w:color="auto"/>
                                  </w:tcBorders>
                                  <w:shd w:val="clear" w:color="auto" w:fill="auto"/>
                                  <w:noWrap/>
                                  <w:vAlign w:val="bottom"/>
                                  <w:hideMark/>
                                </w:tcPr>
                                <w:p w14:paraId="6738481C"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6%</w:t>
                                  </w:r>
                                </w:p>
                              </w:tc>
                              <w:tc>
                                <w:tcPr>
                                  <w:tcW w:w="960" w:type="dxa"/>
                                  <w:tcBorders>
                                    <w:top w:val="nil"/>
                                    <w:left w:val="nil"/>
                                    <w:bottom w:val="nil"/>
                                    <w:right w:val="single" w:sz="4" w:space="0" w:color="auto"/>
                                  </w:tcBorders>
                                  <w:shd w:val="clear" w:color="auto" w:fill="auto"/>
                                  <w:noWrap/>
                                  <w:vAlign w:val="bottom"/>
                                  <w:hideMark/>
                                </w:tcPr>
                                <w:p w14:paraId="7533350F"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8%</w:t>
                                  </w:r>
                                </w:p>
                              </w:tc>
                              <w:tc>
                                <w:tcPr>
                                  <w:tcW w:w="960" w:type="dxa"/>
                                  <w:tcBorders>
                                    <w:top w:val="nil"/>
                                    <w:left w:val="nil"/>
                                    <w:bottom w:val="nil"/>
                                    <w:right w:val="single" w:sz="4" w:space="0" w:color="auto"/>
                                  </w:tcBorders>
                                  <w:shd w:val="clear" w:color="auto" w:fill="auto"/>
                                  <w:noWrap/>
                                  <w:vAlign w:val="bottom"/>
                                  <w:hideMark/>
                                </w:tcPr>
                                <w:p w14:paraId="488766F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w:t>
                                  </w:r>
                                </w:p>
                              </w:tc>
                              <w:tc>
                                <w:tcPr>
                                  <w:tcW w:w="960" w:type="dxa"/>
                                  <w:tcBorders>
                                    <w:top w:val="nil"/>
                                    <w:left w:val="nil"/>
                                    <w:bottom w:val="nil"/>
                                    <w:right w:val="single" w:sz="4" w:space="0" w:color="auto"/>
                                  </w:tcBorders>
                                  <w:shd w:val="clear" w:color="auto" w:fill="auto"/>
                                  <w:noWrap/>
                                  <w:vAlign w:val="bottom"/>
                                  <w:hideMark/>
                                </w:tcPr>
                                <w:p w14:paraId="0D8564B4"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w:t>
                                  </w:r>
                                </w:p>
                              </w:tc>
                            </w:tr>
                            <w:tr w:rsidR="003F1B5C" w:rsidRPr="003F1B5C" w14:paraId="2E66B0CC"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0FBAC151"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EPS growth (%)</w:t>
                                  </w:r>
                                </w:p>
                              </w:tc>
                              <w:tc>
                                <w:tcPr>
                                  <w:tcW w:w="960" w:type="dxa"/>
                                  <w:tcBorders>
                                    <w:top w:val="nil"/>
                                    <w:left w:val="nil"/>
                                    <w:bottom w:val="nil"/>
                                    <w:right w:val="single" w:sz="4" w:space="0" w:color="auto"/>
                                  </w:tcBorders>
                                  <w:shd w:val="clear" w:color="auto" w:fill="auto"/>
                                  <w:noWrap/>
                                  <w:vAlign w:val="bottom"/>
                                  <w:hideMark/>
                                </w:tcPr>
                                <w:p w14:paraId="0A96F87A"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12%</w:t>
                                  </w:r>
                                </w:p>
                              </w:tc>
                              <w:tc>
                                <w:tcPr>
                                  <w:tcW w:w="960" w:type="dxa"/>
                                  <w:tcBorders>
                                    <w:top w:val="nil"/>
                                    <w:left w:val="nil"/>
                                    <w:bottom w:val="nil"/>
                                    <w:right w:val="single" w:sz="4" w:space="0" w:color="auto"/>
                                  </w:tcBorders>
                                  <w:shd w:val="clear" w:color="auto" w:fill="auto"/>
                                  <w:noWrap/>
                                  <w:vAlign w:val="bottom"/>
                                  <w:hideMark/>
                                </w:tcPr>
                                <w:p w14:paraId="5CC70EB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-212%</w:t>
                                  </w:r>
                                </w:p>
                              </w:tc>
                              <w:tc>
                                <w:tcPr>
                                  <w:tcW w:w="960" w:type="dxa"/>
                                  <w:tcBorders>
                                    <w:top w:val="nil"/>
                                    <w:left w:val="nil"/>
                                    <w:bottom w:val="nil"/>
                                    <w:right w:val="single" w:sz="4" w:space="0" w:color="auto"/>
                                  </w:tcBorders>
                                  <w:shd w:val="clear" w:color="auto" w:fill="auto"/>
                                  <w:noWrap/>
                                  <w:vAlign w:val="bottom"/>
                                  <w:hideMark/>
                                </w:tcPr>
                                <w:p w14:paraId="5B8BD39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-23%</w:t>
                                  </w:r>
                                </w:p>
                              </w:tc>
                              <w:tc>
                                <w:tcPr>
                                  <w:tcW w:w="960" w:type="dxa"/>
                                  <w:tcBorders>
                                    <w:top w:val="nil"/>
                                    <w:left w:val="nil"/>
                                    <w:bottom w:val="nil"/>
                                    <w:right w:val="single" w:sz="4" w:space="0" w:color="auto"/>
                                  </w:tcBorders>
                                  <w:shd w:val="clear" w:color="auto" w:fill="auto"/>
                                  <w:noWrap/>
                                  <w:vAlign w:val="bottom"/>
                                  <w:hideMark/>
                                </w:tcPr>
                                <w:p w14:paraId="1E40937C"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-25%</w:t>
                                  </w:r>
                                </w:p>
                              </w:tc>
                            </w:tr>
                            <w:tr w:rsidR="003F1B5C" w:rsidRPr="003F1B5C" w14:paraId="35BC38D9"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34995727"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EBITDA margin (%)</w:t>
                                  </w:r>
                                </w:p>
                              </w:tc>
                              <w:tc>
                                <w:tcPr>
                                  <w:tcW w:w="960" w:type="dxa"/>
                                  <w:tcBorders>
                                    <w:top w:val="nil"/>
                                    <w:left w:val="nil"/>
                                    <w:bottom w:val="nil"/>
                                    <w:right w:val="single" w:sz="4" w:space="0" w:color="auto"/>
                                  </w:tcBorders>
                                  <w:shd w:val="clear" w:color="auto" w:fill="auto"/>
                                  <w:noWrap/>
                                  <w:vAlign w:val="bottom"/>
                                  <w:hideMark/>
                                </w:tcPr>
                                <w:p w14:paraId="79B15339"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16%</w:t>
                                  </w:r>
                                </w:p>
                              </w:tc>
                              <w:tc>
                                <w:tcPr>
                                  <w:tcW w:w="960" w:type="dxa"/>
                                  <w:tcBorders>
                                    <w:top w:val="nil"/>
                                    <w:left w:val="nil"/>
                                    <w:bottom w:val="nil"/>
                                    <w:right w:val="single" w:sz="4" w:space="0" w:color="auto"/>
                                  </w:tcBorders>
                                  <w:shd w:val="clear" w:color="auto" w:fill="auto"/>
                                  <w:noWrap/>
                                  <w:vAlign w:val="bottom"/>
                                  <w:hideMark/>
                                </w:tcPr>
                                <w:p w14:paraId="22D2ACAB"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17%</w:t>
                                  </w:r>
                                </w:p>
                              </w:tc>
                              <w:tc>
                                <w:tcPr>
                                  <w:tcW w:w="960" w:type="dxa"/>
                                  <w:tcBorders>
                                    <w:top w:val="nil"/>
                                    <w:left w:val="nil"/>
                                    <w:bottom w:val="nil"/>
                                    <w:right w:val="single" w:sz="4" w:space="0" w:color="auto"/>
                                  </w:tcBorders>
                                  <w:shd w:val="clear" w:color="auto" w:fill="auto"/>
                                  <w:noWrap/>
                                  <w:vAlign w:val="bottom"/>
                                  <w:hideMark/>
                                </w:tcPr>
                                <w:p w14:paraId="0736D27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17%</w:t>
                                  </w:r>
                                </w:p>
                              </w:tc>
                              <w:tc>
                                <w:tcPr>
                                  <w:tcW w:w="960" w:type="dxa"/>
                                  <w:tcBorders>
                                    <w:top w:val="nil"/>
                                    <w:left w:val="nil"/>
                                    <w:bottom w:val="nil"/>
                                    <w:right w:val="single" w:sz="4" w:space="0" w:color="auto"/>
                                  </w:tcBorders>
                                  <w:shd w:val="clear" w:color="auto" w:fill="auto"/>
                                  <w:noWrap/>
                                  <w:vAlign w:val="bottom"/>
                                  <w:hideMark/>
                                </w:tcPr>
                                <w:p w14:paraId="5D342D57"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17%</w:t>
                                  </w:r>
                                </w:p>
                              </w:tc>
                            </w:tr>
                            <w:tr w:rsidR="003F1B5C" w:rsidRPr="003F1B5C" w14:paraId="07AA67EA"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10DDB94C"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EBIT margin (%)</w:t>
                                  </w:r>
                                </w:p>
                              </w:tc>
                              <w:tc>
                                <w:tcPr>
                                  <w:tcW w:w="960" w:type="dxa"/>
                                  <w:tcBorders>
                                    <w:top w:val="nil"/>
                                    <w:left w:val="nil"/>
                                    <w:bottom w:val="nil"/>
                                    <w:right w:val="single" w:sz="4" w:space="0" w:color="auto"/>
                                  </w:tcBorders>
                                  <w:shd w:val="clear" w:color="auto" w:fill="auto"/>
                                  <w:noWrap/>
                                  <w:vAlign w:val="bottom"/>
                                  <w:hideMark/>
                                </w:tcPr>
                                <w:p w14:paraId="251A51A2"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15%</w:t>
                                  </w:r>
                                </w:p>
                              </w:tc>
                              <w:tc>
                                <w:tcPr>
                                  <w:tcW w:w="960" w:type="dxa"/>
                                  <w:tcBorders>
                                    <w:top w:val="nil"/>
                                    <w:left w:val="nil"/>
                                    <w:bottom w:val="nil"/>
                                    <w:right w:val="single" w:sz="4" w:space="0" w:color="auto"/>
                                  </w:tcBorders>
                                  <w:shd w:val="clear" w:color="auto" w:fill="auto"/>
                                  <w:noWrap/>
                                  <w:vAlign w:val="bottom"/>
                                  <w:hideMark/>
                                </w:tcPr>
                                <w:p w14:paraId="7DBA7017"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16%</w:t>
                                  </w:r>
                                </w:p>
                              </w:tc>
                              <w:tc>
                                <w:tcPr>
                                  <w:tcW w:w="960" w:type="dxa"/>
                                  <w:tcBorders>
                                    <w:top w:val="nil"/>
                                    <w:left w:val="nil"/>
                                    <w:bottom w:val="nil"/>
                                    <w:right w:val="single" w:sz="4" w:space="0" w:color="auto"/>
                                  </w:tcBorders>
                                  <w:shd w:val="clear" w:color="auto" w:fill="auto"/>
                                  <w:noWrap/>
                                  <w:vAlign w:val="bottom"/>
                                  <w:hideMark/>
                                </w:tcPr>
                                <w:p w14:paraId="746B240E"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15%</w:t>
                                  </w:r>
                                </w:p>
                              </w:tc>
                              <w:tc>
                                <w:tcPr>
                                  <w:tcW w:w="960" w:type="dxa"/>
                                  <w:tcBorders>
                                    <w:top w:val="nil"/>
                                    <w:left w:val="nil"/>
                                    <w:bottom w:val="nil"/>
                                    <w:right w:val="single" w:sz="4" w:space="0" w:color="auto"/>
                                  </w:tcBorders>
                                  <w:shd w:val="clear" w:color="auto" w:fill="auto"/>
                                  <w:noWrap/>
                                  <w:vAlign w:val="bottom"/>
                                  <w:hideMark/>
                                </w:tcPr>
                                <w:p w14:paraId="4D53171C"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15%</w:t>
                                  </w:r>
                                </w:p>
                              </w:tc>
                            </w:tr>
                            <w:tr w:rsidR="003F1B5C" w:rsidRPr="003F1B5C" w14:paraId="0CB1898C" w14:textId="77777777" w:rsidTr="003F1B5C">
                              <w:trPr>
                                <w:trHeight w:val="28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F612E36"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Net margin (%)</w:t>
                                  </w:r>
                                </w:p>
                              </w:tc>
                              <w:tc>
                                <w:tcPr>
                                  <w:tcW w:w="960" w:type="dxa"/>
                                  <w:tcBorders>
                                    <w:top w:val="nil"/>
                                    <w:left w:val="nil"/>
                                    <w:bottom w:val="single" w:sz="4" w:space="0" w:color="auto"/>
                                    <w:right w:val="single" w:sz="4" w:space="0" w:color="auto"/>
                                  </w:tcBorders>
                                  <w:shd w:val="clear" w:color="auto" w:fill="auto"/>
                                  <w:noWrap/>
                                  <w:vAlign w:val="bottom"/>
                                  <w:hideMark/>
                                </w:tcPr>
                                <w:p w14:paraId="3E369BEB"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13%</w:t>
                                  </w:r>
                                </w:p>
                              </w:tc>
                              <w:tc>
                                <w:tcPr>
                                  <w:tcW w:w="960" w:type="dxa"/>
                                  <w:tcBorders>
                                    <w:top w:val="nil"/>
                                    <w:left w:val="nil"/>
                                    <w:bottom w:val="single" w:sz="4" w:space="0" w:color="auto"/>
                                    <w:right w:val="single" w:sz="4" w:space="0" w:color="auto"/>
                                  </w:tcBorders>
                                  <w:shd w:val="clear" w:color="auto" w:fill="auto"/>
                                  <w:noWrap/>
                                  <w:vAlign w:val="bottom"/>
                                  <w:hideMark/>
                                </w:tcPr>
                                <w:p w14:paraId="50085917"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13%</w:t>
                                  </w:r>
                                </w:p>
                              </w:tc>
                              <w:tc>
                                <w:tcPr>
                                  <w:tcW w:w="960" w:type="dxa"/>
                                  <w:tcBorders>
                                    <w:top w:val="nil"/>
                                    <w:left w:val="nil"/>
                                    <w:bottom w:val="single" w:sz="4" w:space="0" w:color="auto"/>
                                    <w:right w:val="single" w:sz="4" w:space="0" w:color="auto"/>
                                  </w:tcBorders>
                                  <w:shd w:val="clear" w:color="auto" w:fill="auto"/>
                                  <w:noWrap/>
                                  <w:vAlign w:val="bottom"/>
                                  <w:hideMark/>
                                </w:tcPr>
                                <w:p w14:paraId="6B4EB59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13%</w:t>
                                  </w:r>
                                </w:p>
                              </w:tc>
                              <w:tc>
                                <w:tcPr>
                                  <w:tcW w:w="960" w:type="dxa"/>
                                  <w:tcBorders>
                                    <w:top w:val="nil"/>
                                    <w:left w:val="nil"/>
                                    <w:bottom w:val="single" w:sz="4" w:space="0" w:color="auto"/>
                                    <w:right w:val="single" w:sz="4" w:space="0" w:color="auto"/>
                                  </w:tcBorders>
                                  <w:shd w:val="clear" w:color="auto" w:fill="auto"/>
                                  <w:noWrap/>
                                  <w:vAlign w:val="bottom"/>
                                  <w:hideMark/>
                                </w:tcPr>
                                <w:p w14:paraId="4598A9A9"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13%</w:t>
                                  </w:r>
                                </w:p>
                              </w:tc>
                            </w:tr>
                          </w:tbl>
                          <w:p w14:paraId="623FC828" w14:textId="77777777" w:rsidR="003F1B5C" w:rsidRDefault="003F1B5C">
                            <w:pPr>
                              <w:spacing w:before="880" w:after="240" w:line="240" w:lineRule="auto"/>
                              <w:rPr>
                                <w:rFonts w:asciiTheme="majorHAnsi" w:eastAsiaTheme="majorEastAsia" w:hAnsiTheme="majorHAnsi" w:cstheme="majorBidi"/>
                                <w:sz w:val="28"/>
                                <w:szCs w:val="28"/>
                              </w:rPr>
                            </w:pPr>
                          </w:p>
                          <w:p w14:paraId="349F160F" w14:textId="77777777" w:rsidR="003F1B5C" w:rsidRDefault="003F1B5C">
                            <w:pPr>
                              <w:spacing w:before="880" w:after="240" w:line="240" w:lineRule="auto"/>
                              <w:rPr>
                                <w:rFonts w:asciiTheme="majorHAnsi" w:eastAsiaTheme="majorEastAsia" w:hAnsiTheme="majorHAnsi" w:cstheme="majorBidi"/>
                                <w:sz w:val="28"/>
                                <w:szCs w:val="28"/>
                              </w:rPr>
                            </w:pPr>
                          </w:p>
                          <w:p w14:paraId="57CCED75" w14:textId="77777777" w:rsidR="003F1B5C" w:rsidRDefault="003F1B5C">
                            <w:pPr>
                              <w:spacing w:before="880" w:after="240" w:line="240" w:lineRule="auto"/>
                              <w:rPr>
                                <w:rFonts w:asciiTheme="majorHAnsi" w:eastAsiaTheme="majorEastAsia" w:hAnsiTheme="majorHAnsi" w:cstheme="majorBidi"/>
                                <w:sz w:val="28"/>
                                <w:szCs w:val="28"/>
                              </w:rPr>
                            </w:pPr>
                          </w:p>
                          <w:p w14:paraId="7AA25971" w14:textId="59F1B306"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w:t>
                            </w:r>
                            <w:r w:rsidR="001D2BE3">
                              <w:rPr>
                                <w:rFonts w:asciiTheme="majorHAnsi" w:eastAsiaTheme="majorEastAsia" w:hAnsiTheme="majorHAnsi" w:cstheme="majorBidi"/>
                                <w:sz w:val="28"/>
                                <w:szCs w:val="28"/>
                              </w:rPr>
                              <w:t>????</w:t>
                            </w:r>
                            <w:r w:rsidR="001102A1" w:rsidRPr="001102A1">
                              <w:rPr>
                                <w:rFonts w:asciiTheme="majorHAnsi" w:eastAsiaTheme="majorEastAsia" w:hAnsiTheme="majorHAnsi" w:cstheme="majorBidi"/>
                                <w:noProof/>
                                <w:sz w:val="28"/>
                                <w:szCs w:val="28"/>
                              </w:rPr>
                              <w:t xml:space="preserve"> </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26" style="position:absolute;margin-left:0;margin-top:145.25pt;width:228.75pt;height:572.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" fillcolor="white [3212]" strokecolor="#747070 [1614]" strokeweight="1.25pt">
                <v:textbox inset="14.4pt,36pt,14.4pt,5.76pt">
                  <w:txbxContent>
                    <w:p w14:paraId="53B1DE11" w14:textId="35C7D62F" w:rsidR="003F1B5C" w:rsidRDefault="003F1B5C">
                      <w:pPr>
                        <w:spacing w:before="880" w:after="240" w:line="240" w:lineRule="auto"/>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inline distT="0" distB="0" distL="0" distR="0" wp14:anchorId="4E70956D" wp14:editId="77DBDB8B">
                            <wp:extent cx="2423160" cy="2857500"/>
                            <wp:effectExtent l="0" t="0" r="15240" b="0"/>
                            <wp:docPr id="19858845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5920" w:type="dxa"/>
                        <w:tblLook w:val="04A0" w:firstRow="1" w:lastRow="0" w:firstColumn="1" w:lastColumn="0" w:noHBand="0" w:noVBand="1"/>
                      </w:tblPr>
                      <w:tblGrid>
                        <w:gridCol w:w="2080"/>
                        <w:gridCol w:w="960"/>
                        <w:gridCol w:w="1053"/>
                        <w:gridCol w:w="1053"/>
                        <w:gridCol w:w="1053"/>
                      </w:tblGrid>
                      <w:tr w:rsidR="003F1B5C" w:rsidRPr="003F1B5C" w14:paraId="0B2B3EC4" w14:textId="77777777" w:rsidTr="003F1B5C">
                        <w:trPr>
                          <w:trHeight w:val="288"/>
                        </w:trPr>
                        <w:tc>
                          <w:tcPr>
                            <w:tcW w:w="2080" w:type="dxa"/>
                            <w:tcBorders>
                              <w:top w:val="single" w:sz="4" w:space="0" w:color="auto"/>
                              <w:left w:val="single" w:sz="4" w:space="0" w:color="auto"/>
                              <w:bottom w:val="nil"/>
                              <w:right w:val="single" w:sz="4" w:space="0" w:color="auto"/>
                            </w:tcBorders>
                            <w:shd w:val="clear" w:color="000000" w:fill="002060"/>
                            <w:noWrap/>
                            <w:vAlign w:val="bottom"/>
                            <w:hideMark/>
                          </w:tcPr>
                          <w:p w14:paraId="0C6FF0B2"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 </w:t>
                            </w:r>
                          </w:p>
                        </w:tc>
                        <w:tc>
                          <w:tcPr>
                            <w:tcW w:w="960" w:type="dxa"/>
                            <w:tcBorders>
                              <w:top w:val="single" w:sz="4" w:space="0" w:color="auto"/>
                              <w:left w:val="nil"/>
                              <w:bottom w:val="nil"/>
                              <w:right w:val="single" w:sz="4" w:space="0" w:color="auto"/>
                            </w:tcBorders>
                            <w:shd w:val="clear" w:color="000000" w:fill="002060"/>
                            <w:noWrap/>
                            <w:vAlign w:val="bottom"/>
                            <w:hideMark/>
                          </w:tcPr>
                          <w:p w14:paraId="3D7187C0"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2022</w:t>
                            </w:r>
                          </w:p>
                        </w:tc>
                        <w:tc>
                          <w:tcPr>
                            <w:tcW w:w="960" w:type="dxa"/>
                            <w:tcBorders>
                              <w:top w:val="single" w:sz="4" w:space="0" w:color="auto"/>
                              <w:left w:val="nil"/>
                              <w:bottom w:val="nil"/>
                              <w:right w:val="single" w:sz="4" w:space="0" w:color="auto"/>
                            </w:tcBorders>
                            <w:shd w:val="clear" w:color="000000" w:fill="002060"/>
                            <w:noWrap/>
                            <w:vAlign w:val="bottom"/>
                            <w:hideMark/>
                          </w:tcPr>
                          <w:p w14:paraId="4771953C"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2023E</w:t>
                            </w:r>
                          </w:p>
                        </w:tc>
                        <w:tc>
                          <w:tcPr>
                            <w:tcW w:w="960" w:type="dxa"/>
                            <w:tcBorders>
                              <w:top w:val="single" w:sz="4" w:space="0" w:color="auto"/>
                              <w:left w:val="nil"/>
                              <w:bottom w:val="nil"/>
                              <w:right w:val="single" w:sz="4" w:space="0" w:color="auto"/>
                            </w:tcBorders>
                            <w:shd w:val="clear" w:color="000000" w:fill="002060"/>
                            <w:noWrap/>
                            <w:vAlign w:val="bottom"/>
                            <w:hideMark/>
                          </w:tcPr>
                          <w:p w14:paraId="6B76F962"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2024E</w:t>
                            </w:r>
                          </w:p>
                        </w:tc>
                        <w:tc>
                          <w:tcPr>
                            <w:tcW w:w="960" w:type="dxa"/>
                            <w:tcBorders>
                              <w:top w:val="single" w:sz="4" w:space="0" w:color="auto"/>
                              <w:left w:val="nil"/>
                              <w:bottom w:val="nil"/>
                              <w:right w:val="single" w:sz="4" w:space="0" w:color="auto"/>
                            </w:tcBorders>
                            <w:shd w:val="clear" w:color="000000" w:fill="002060"/>
                            <w:noWrap/>
                            <w:vAlign w:val="bottom"/>
                            <w:hideMark/>
                          </w:tcPr>
                          <w:p w14:paraId="4E4A1598"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2025E</w:t>
                            </w:r>
                          </w:p>
                        </w:tc>
                      </w:tr>
                      <w:tr w:rsidR="003F1B5C" w:rsidRPr="003F1B5C" w14:paraId="06F584CA"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151390D0"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Revenue</w:t>
                            </w:r>
                          </w:p>
                        </w:tc>
                        <w:tc>
                          <w:tcPr>
                            <w:tcW w:w="960" w:type="dxa"/>
                            <w:tcBorders>
                              <w:top w:val="nil"/>
                              <w:left w:val="nil"/>
                              <w:bottom w:val="nil"/>
                              <w:right w:val="single" w:sz="4" w:space="0" w:color="auto"/>
                            </w:tcBorders>
                            <w:shd w:val="clear" w:color="auto" w:fill="auto"/>
                            <w:noWrap/>
                            <w:vAlign w:val="bottom"/>
                            <w:hideMark/>
                          </w:tcPr>
                          <w:p w14:paraId="2AA74A77"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46710</w:t>
                            </w:r>
                          </w:p>
                        </w:tc>
                        <w:tc>
                          <w:tcPr>
                            <w:tcW w:w="960" w:type="dxa"/>
                            <w:tcBorders>
                              <w:top w:val="nil"/>
                              <w:left w:val="nil"/>
                              <w:bottom w:val="nil"/>
                              <w:right w:val="single" w:sz="4" w:space="0" w:color="auto"/>
                            </w:tcBorders>
                            <w:shd w:val="clear" w:color="auto" w:fill="auto"/>
                            <w:noWrap/>
                            <w:vAlign w:val="bottom"/>
                            <w:hideMark/>
                          </w:tcPr>
                          <w:p w14:paraId="6EE074F8"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48987.92</w:t>
                            </w:r>
                          </w:p>
                        </w:tc>
                        <w:tc>
                          <w:tcPr>
                            <w:tcW w:w="960" w:type="dxa"/>
                            <w:tcBorders>
                              <w:top w:val="nil"/>
                              <w:left w:val="nil"/>
                              <w:bottom w:val="nil"/>
                              <w:right w:val="single" w:sz="4" w:space="0" w:color="auto"/>
                            </w:tcBorders>
                            <w:shd w:val="clear" w:color="auto" w:fill="auto"/>
                            <w:noWrap/>
                            <w:vAlign w:val="bottom"/>
                            <w:hideMark/>
                          </w:tcPr>
                          <w:p w14:paraId="33F441B6"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51376.93</w:t>
                            </w:r>
                          </w:p>
                        </w:tc>
                        <w:tc>
                          <w:tcPr>
                            <w:tcW w:w="960" w:type="dxa"/>
                            <w:tcBorders>
                              <w:top w:val="nil"/>
                              <w:left w:val="nil"/>
                              <w:bottom w:val="nil"/>
                              <w:right w:val="single" w:sz="4" w:space="0" w:color="auto"/>
                            </w:tcBorders>
                            <w:shd w:val="clear" w:color="auto" w:fill="auto"/>
                            <w:noWrap/>
                            <w:vAlign w:val="bottom"/>
                            <w:hideMark/>
                          </w:tcPr>
                          <w:p w14:paraId="3C89A115"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53882.45</w:t>
                            </w:r>
                          </w:p>
                        </w:tc>
                      </w:tr>
                      <w:tr w:rsidR="003F1B5C" w:rsidRPr="003F1B5C" w14:paraId="7745012E"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13F3EAEA"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EBITDA</w:t>
                            </w:r>
                          </w:p>
                        </w:tc>
                        <w:tc>
                          <w:tcPr>
                            <w:tcW w:w="960" w:type="dxa"/>
                            <w:tcBorders>
                              <w:top w:val="nil"/>
                              <w:left w:val="nil"/>
                              <w:bottom w:val="nil"/>
                              <w:right w:val="single" w:sz="4" w:space="0" w:color="auto"/>
                            </w:tcBorders>
                            <w:shd w:val="clear" w:color="auto" w:fill="auto"/>
                            <w:noWrap/>
                            <w:vAlign w:val="bottom"/>
                            <w:hideMark/>
                          </w:tcPr>
                          <w:p w14:paraId="0F87C8F6"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7573.0</w:t>
                            </w:r>
                          </w:p>
                        </w:tc>
                        <w:tc>
                          <w:tcPr>
                            <w:tcW w:w="960" w:type="dxa"/>
                            <w:tcBorders>
                              <w:top w:val="nil"/>
                              <w:left w:val="nil"/>
                              <w:bottom w:val="nil"/>
                              <w:right w:val="single" w:sz="4" w:space="0" w:color="auto"/>
                            </w:tcBorders>
                            <w:shd w:val="clear" w:color="auto" w:fill="auto"/>
                            <w:noWrap/>
                            <w:vAlign w:val="bottom"/>
                            <w:hideMark/>
                          </w:tcPr>
                          <w:p w14:paraId="6735307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8419.7</w:t>
                            </w:r>
                          </w:p>
                        </w:tc>
                        <w:tc>
                          <w:tcPr>
                            <w:tcW w:w="960" w:type="dxa"/>
                            <w:tcBorders>
                              <w:top w:val="nil"/>
                              <w:left w:val="nil"/>
                              <w:bottom w:val="nil"/>
                              <w:right w:val="single" w:sz="4" w:space="0" w:color="auto"/>
                            </w:tcBorders>
                            <w:shd w:val="clear" w:color="auto" w:fill="auto"/>
                            <w:noWrap/>
                            <w:vAlign w:val="bottom"/>
                            <w:hideMark/>
                          </w:tcPr>
                          <w:p w14:paraId="7E90969F"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8580.5</w:t>
                            </w:r>
                          </w:p>
                        </w:tc>
                        <w:tc>
                          <w:tcPr>
                            <w:tcW w:w="960" w:type="dxa"/>
                            <w:tcBorders>
                              <w:top w:val="nil"/>
                              <w:left w:val="nil"/>
                              <w:bottom w:val="nil"/>
                              <w:right w:val="single" w:sz="4" w:space="0" w:color="auto"/>
                            </w:tcBorders>
                            <w:shd w:val="clear" w:color="auto" w:fill="auto"/>
                            <w:noWrap/>
                            <w:vAlign w:val="bottom"/>
                            <w:hideMark/>
                          </w:tcPr>
                          <w:p w14:paraId="0BEF52B8"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8746.3</w:t>
                            </w:r>
                          </w:p>
                        </w:tc>
                      </w:tr>
                      <w:tr w:rsidR="003F1B5C" w:rsidRPr="003F1B5C" w14:paraId="230EA10E"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2D4B4596"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EPS</w:t>
                            </w:r>
                          </w:p>
                        </w:tc>
                        <w:tc>
                          <w:tcPr>
                            <w:tcW w:w="960" w:type="dxa"/>
                            <w:tcBorders>
                              <w:top w:val="nil"/>
                              <w:left w:val="nil"/>
                              <w:bottom w:val="nil"/>
                              <w:right w:val="single" w:sz="4" w:space="0" w:color="auto"/>
                            </w:tcBorders>
                            <w:shd w:val="clear" w:color="auto" w:fill="auto"/>
                            <w:noWrap/>
                            <w:vAlign w:val="bottom"/>
                            <w:hideMark/>
                          </w:tcPr>
                          <w:p w14:paraId="3BB95958"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3.8</w:t>
                            </w:r>
                          </w:p>
                        </w:tc>
                        <w:tc>
                          <w:tcPr>
                            <w:tcW w:w="960" w:type="dxa"/>
                            <w:tcBorders>
                              <w:top w:val="nil"/>
                              <w:left w:val="nil"/>
                              <w:bottom w:val="nil"/>
                              <w:right w:val="single" w:sz="4" w:space="0" w:color="auto"/>
                            </w:tcBorders>
                            <w:shd w:val="clear" w:color="auto" w:fill="auto"/>
                            <w:noWrap/>
                            <w:vAlign w:val="bottom"/>
                            <w:hideMark/>
                          </w:tcPr>
                          <w:p w14:paraId="50A5543E"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3.2</w:t>
                            </w:r>
                          </w:p>
                        </w:tc>
                        <w:tc>
                          <w:tcPr>
                            <w:tcW w:w="960" w:type="dxa"/>
                            <w:tcBorders>
                              <w:top w:val="nil"/>
                              <w:left w:val="nil"/>
                              <w:bottom w:val="nil"/>
                              <w:right w:val="single" w:sz="4" w:space="0" w:color="auto"/>
                            </w:tcBorders>
                            <w:shd w:val="clear" w:color="auto" w:fill="auto"/>
                            <w:noWrap/>
                            <w:vAlign w:val="bottom"/>
                            <w:hideMark/>
                          </w:tcPr>
                          <w:p w14:paraId="719DAF1A"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3.2</w:t>
                            </w:r>
                          </w:p>
                        </w:tc>
                        <w:tc>
                          <w:tcPr>
                            <w:tcW w:w="960" w:type="dxa"/>
                            <w:tcBorders>
                              <w:top w:val="nil"/>
                              <w:left w:val="nil"/>
                              <w:bottom w:val="nil"/>
                              <w:right w:val="single" w:sz="4" w:space="0" w:color="auto"/>
                            </w:tcBorders>
                            <w:shd w:val="clear" w:color="auto" w:fill="auto"/>
                            <w:noWrap/>
                            <w:vAlign w:val="bottom"/>
                            <w:hideMark/>
                          </w:tcPr>
                          <w:p w14:paraId="49537DD1"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3.2</w:t>
                            </w:r>
                          </w:p>
                        </w:tc>
                      </w:tr>
                      <w:tr w:rsidR="003F1B5C" w:rsidRPr="003F1B5C" w14:paraId="02AEE528"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03455FAB"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Net debt</w:t>
                            </w:r>
                          </w:p>
                        </w:tc>
                        <w:tc>
                          <w:tcPr>
                            <w:tcW w:w="960" w:type="dxa"/>
                            <w:tcBorders>
                              <w:top w:val="nil"/>
                              <w:left w:val="nil"/>
                              <w:bottom w:val="nil"/>
                              <w:right w:val="single" w:sz="4" w:space="0" w:color="auto"/>
                            </w:tcBorders>
                            <w:shd w:val="clear" w:color="auto" w:fill="auto"/>
                            <w:noWrap/>
                            <w:vAlign w:val="bottom"/>
                            <w:hideMark/>
                          </w:tcPr>
                          <w:p w14:paraId="1773E4D6"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1298.0</w:t>
                            </w:r>
                          </w:p>
                        </w:tc>
                        <w:tc>
                          <w:tcPr>
                            <w:tcW w:w="960" w:type="dxa"/>
                            <w:tcBorders>
                              <w:top w:val="nil"/>
                              <w:left w:val="nil"/>
                              <w:bottom w:val="nil"/>
                              <w:right w:val="single" w:sz="4" w:space="0" w:color="auto"/>
                            </w:tcBorders>
                            <w:shd w:val="clear" w:color="auto" w:fill="auto"/>
                            <w:noWrap/>
                            <w:vAlign w:val="bottom"/>
                            <w:hideMark/>
                          </w:tcPr>
                          <w:p w14:paraId="541EA4AF"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1361.3</w:t>
                            </w:r>
                          </w:p>
                        </w:tc>
                        <w:tc>
                          <w:tcPr>
                            <w:tcW w:w="960" w:type="dxa"/>
                            <w:tcBorders>
                              <w:top w:val="nil"/>
                              <w:left w:val="nil"/>
                              <w:bottom w:val="nil"/>
                              <w:right w:val="single" w:sz="4" w:space="0" w:color="auto"/>
                            </w:tcBorders>
                            <w:shd w:val="clear" w:color="auto" w:fill="auto"/>
                            <w:noWrap/>
                            <w:vAlign w:val="bottom"/>
                            <w:hideMark/>
                          </w:tcPr>
                          <w:p w14:paraId="36A0AE3C"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1427.7</w:t>
                            </w:r>
                          </w:p>
                        </w:tc>
                        <w:tc>
                          <w:tcPr>
                            <w:tcW w:w="960" w:type="dxa"/>
                            <w:tcBorders>
                              <w:top w:val="nil"/>
                              <w:left w:val="nil"/>
                              <w:bottom w:val="nil"/>
                              <w:right w:val="single" w:sz="4" w:space="0" w:color="auto"/>
                            </w:tcBorders>
                            <w:shd w:val="clear" w:color="auto" w:fill="auto"/>
                            <w:noWrap/>
                            <w:vAlign w:val="bottom"/>
                            <w:hideMark/>
                          </w:tcPr>
                          <w:p w14:paraId="4D48F369"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1497.4</w:t>
                            </w:r>
                          </w:p>
                        </w:tc>
                      </w:tr>
                      <w:tr w:rsidR="003F1B5C" w:rsidRPr="003F1B5C" w14:paraId="03F56A36"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0A99D320"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FCFF</w:t>
                            </w:r>
                          </w:p>
                        </w:tc>
                        <w:tc>
                          <w:tcPr>
                            <w:tcW w:w="960" w:type="dxa"/>
                            <w:tcBorders>
                              <w:top w:val="nil"/>
                              <w:left w:val="nil"/>
                              <w:bottom w:val="nil"/>
                              <w:right w:val="single" w:sz="4" w:space="0" w:color="auto"/>
                            </w:tcBorders>
                            <w:shd w:val="clear" w:color="auto" w:fill="auto"/>
                            <w:noWrap/>
                            <w:vAlign w:val="bottom"/>
                            <w:hideMark/>
                          </w:tcPr>
                          <w:p w14:paraId="4A4530D1"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7114.0</w:t>
                            </w:r>
                          </w:p>
                        </w:tc>
                        <w:tc>
                          <w:tcPr>
                            <w:tcW w:w="960" w:type="dxa"/>
                            <w:tcBorders>
                              <w:top w:val="nil"/>
                              <w:left w:val="nil"/>
                              <w:bottom w:val="nil"/>
                              <w:right w:val="single" w:sz="4" w:space="0" w:color="auto"/>
                            </w:tcBorders>
                            <w:shd w:val="clear" w:color="auto" w:fill="auto"/>
                            <w:noWrap/>
                            <w:vAlign w:val="bottom"/>
                            <w:hideMark/>
                          </w:tcPr>
                          <w:p w14:paraId="5B6EA99E"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4339.0</w:t>
                            </w:r>
                          </w:p>
                        </w:tc>
                        <w:tc>
                          <w:tcPr>
                            <w:tcW w:w="960" w:type="dxa"/>
                            <w:tcBorders>
                              <w:top w:val="nil"/>
                              <w:left w:val="nil"/>
                              <w:bottom w:val="nil"/>
                              <w:right w:val="single" w:sz="4" w:space="0" w:color="auto"/>
                            </w:tcBorders>
                            <w:shd w:val="clear" w:color="auto" w:fill="auto"/>
                            <w:noWrap/>
                            <w:vAlign w:val="bottom"/>
                            <w:hideMark/>
                          </w:tcPr>
                          <w:p w14:paraId="3F6DEBF0"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4576.5</w:t>
                            </w:r>
                          </w:p>
                        </w:tc>
                        <w:tc>
                          <w:tcPr>
                            <w:tcW w:w="960" w:type="dxa"/>
                            <w:tcBorders>
                              <w:top w:val="nil"/>
                              <w:left w:val="nil"/>
                              <w:bottom w:val="nil"/>
                              <w:right w:val="single" w:sz="4" w:space="0" w:color="auto"/>
                            </w:tcBorders>
                            <w:shd w:val="clear" w:color="auto" w:fill="auto"/>
                            <w:noWrap/>
                            <w:vAlign w:val="bottom"/>
                            <w:hideMark/>
                          </w:tcPr>
                          <w:p w14:paraId="77013259"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4826.1</w:t>
                            </w:r>
                          </w:p>
                        </w:tc>
                      </w:tr>
                      <w:tr w:rsidR="003F1B5C" w:rsidRPr="003F1B5C" w14:paraId="7CA77A80"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78F8400D"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ROE</w:t>
                            </w:r>
                          </w:p>
                        </w:tc>
                        <w:tc>
                          <w:tcPr>
                            <w:tcW w:w="960" w:type="dxa"/>
                            <w:tcBorders>
                              <w:top w:val="nil"/>
                              <w:left w:val="nil"/>
                              <w:bottom w:val="nil"/>
                              <w:right w:val="single" w:sz="4" w:space="0" w:color="auto"/>
                            </w:tcBorders>
                            <w:shd w:val="clear" w:color="auto" w:fill="auto"/>
                            <w:noWrap/>
                            <w:vAlign w:val="bottom"/>
                            <w:hideMark/>
                          </w:tcPr>
                          <w:p w14:paraId="66BE39E4"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0.526</w:t>
                            </w:r>
                          </w:p>
                        </w:tc>
                        <w:tc>
                          <w:tcPr>
                            <w:tcW w:w="960" w:type="dxa"/>
                            <w:tcBorders>
                              <w:top w:val="nil"/>
                              <w:left w:val="nil"/>
                              <w:bottom w:val="nil"/>
                              <w:right w:val="single" w:sz="4" w:space="0" w:color="auto"/>
                            </w:tcBorders>
                            <w:shd w:val="clear" w:color="auto" w:fill="auto"/>
                            <w:noWrap/>
                            <w:vAlign w:val="bottom"/>
                            <w:hideMark/>
                          </w:tcPr>
                          <w:p w14:paraId="2ABFD3BE"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0.829</w:t>
                            </w:r>
                          </w:p>
                        </w:tc>
                        <w:tc>
                          <w:tcPr>
                            <w:tcW w:w="960" w:type="dxa"/>
                            <w:tcBorders>
                              <w:top w:val="nil"/>
                              <w:left w:val="nil"/>
                              <w:bottom w:val="nil"/>
                              <w:right w:val="single" w:sz="4" w:space="0" w:color="auto"/>
                            </w:tcBorders>
                            <w:shd w:val="clear" w:color="auto" w:fill="auto"/>
                            <w:noWrap/>
                            <w:vAlign w:val="bottom"/>
                            <w:hideMark/>
                          </w:tcPr>
                          <w:p w14:paraId="1C2AF9CA"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1.305</w:t>
                            </w:r>
                          </w:p>
                        </w:tc>
                        <w:tc>
                          <w:tcPr>
                            <w:tcW w:w="960" w:type="dxa"/>
                            <w:tcBorders>
                              <w:top w:val="nil"/>
                              <w:left w:val="nil"/>
                              <w:bottom w:val="nil"/>
                              <w:right w:val="single" w:sz="4" w:space="0" w:color="auto"/>
                            </w:tcBorders>
                            <w:shd w:val="clear" w:color="auto" w:fill="auto"/>
                            <w:noWrap/>
                            <w:vAlign w:val="bottom"/>
                            <w:hideMark/>
                          </w:tcPr>
                          <w:p w14:paraId="37BD8516"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2.055</w:t>
                            </w:r>
                          </w:p>
                        </w:tc>
                      </w:tr>
                      <w:tr w:rsidR="003F1B5C" w:rsidRPr="003F1B5C" w14:paraId="76FD51FB"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401374B7"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P/E</w:t>
                            </w:r>
                          </w:p>
                        </w:tc>
                        <w:tc>
                          <w:tcPr>
                            <w:tcW w:w="960" w:type="dxa"/>
                            <w:tcBorders>
                              <w:top w:val="nil"/>
                              <w:left w:val="nil"/>
                              <w:bottom w:val="nil"/>
                              <w:right w:val="single" w:sz="4" w:space="0" w:color="auto"/>
                            </w:tcBorders>
                            <w:shd w:val="clear" w:color="auto" w:fill="auto"/>
                            <w:noWrap/>
                            <w:vAlign w:val="bottom"/>
                            <w:hideMark/>
                          </w:tcPr>
                          <w:p w14:paraId="45715FD4"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23.301</w:t>
                            </w:r>
                          </w:p>
                        </w:tc>
                        <w:tc>
                          <w:tcPr>
                            <w:tcW w:w="960" w:type="dxa"/>
                            <w:tcBorders>
                              <w:top w:val="nil"/>
                              <w:left w:val="nil"/>
                              <w:bottom w:val="nil"/>
                              <w:right w:val="single" w:sz="4" w:space="0" w:color="auto"/>
                            </w:tcBorders>
                            <w:shd w:val="clear" w:color="auto" w:fill="auto"/>
                            <w:noWrap/>
                            <w:vAlign w:val="bottom"/>
                            <w:hideMark/>
                          </w:tcPr>
                          <w:p w14:paraId="29762F91"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27.077</w:t>
                            </w:r>
                          </w:p>
                        </w:tc>
                        <w:tc>
                          <w:tcPr>
                            <w:tcW w:w="960" w:type="dxa"/>
                            <w:tcBorders>
                              <w:top w:val="nil"/>
                              <w:left w:val="nil"/>
                              <w:bottom w:val="nil"/>
                              <w:right w:val="single" w:sz="4" w:space="0" w:color="auto"/>
                            </w:tcBorders>
                            <w:shd w:val="clear" w:color="auto" w:fill="auto"/>
                            <w:noWrap/>
                            <w:vAlign w:val="bottom"/>
                            <w:hideMark/>
                          </w:tcPr>
                          <w:p w14:paraId="360BA891"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27.077</w:t>
                            </w:r>
                          </w:p>
                        </w:tc>
                        <w:tc>
                          <w:tcPr>
                            <w:tcW w:w="960" w:type="dxa"/>
                            <w:tcBorders>
                              <w:top w:val="nil"/>
                              <w:left w:val="nil"/>
                              <w:bottom w:val="nil"/>
                              <w:right w:val="single" w:sz="4" w:space="0" w:color="auto"/>
                            </w:tcBorders>
                            <w:shd w:val="clear" w:color="auto" w:fill="auto"/>
                            <w:noWrap/>
                            <w:vAlign w:val="bottom"/>
                            <w:hideMark/>
                          </w:tcPr>
                          <w:p w14:paraId="784E82D0"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27.077</w:t>
                            </w:r>
                          </w:p>
                        </w:tc>
                      </w:tr>
                      <w:tr w:rsidR="003F1B5C" w:rsidRPr="003F1B5C" w14:paraId="21027A17" w14:textId="77777777" w:rsidTr="003F1B5C">
                        <w:trPr>
                          <w:trHeight w:val="28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F3F0417"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EV/EBITDA</w:t>
                            </w:r>
                          </w:p>
                        </w:tc>
                        <w:tc>
                          <w:tcPr>
                            <w:tcW w:w="960" w:type="dxa"/>
                            <w:tcBorders>
                              <w:top w:val="nil"/>
                              <w:left w:val="nil"/>
                              <w:bottom w:val="single" w:sz="4" w:space="0" w:color="auto"/>
                              <w:right w:val="single" w:sz="4" w:space="0" w:color="auto"/>
                            </w:tcBorders>
                            <w:shd w:val="clear" w:color="auto" w:fill="auto"/>
                            <w:noWrap/>
                            <w:vAlign w:val="bottom"/>
                            <w:hideMark/>
                          </w:tcPr>
                          <w:p w14:paraId="5F8CD49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4.038</w:t>
                            </w:r>
                          </w:p>
                        </w:tc>
                        <w:tc>
                          <w:tcPr>
                            <w:tcW w:w="960" w:type="dxa"/>
                            <w:tcBorders>
                              <w:top w:val="nil"/>
                              <w:left w:val="nil"/>
                              <w:bottom w:val="single" w:sz="4" w:space="0" w:color="auto"/>
                              <w:right w:val="single" w:sz="4" w:space="0" w:color="auto"/>
                            </w:tcBorders>
                            <w:shd w:val="clear" w:color="auto" w:fill="auto"/>
                            <w:noWrap/>
                            <w:vAlign w:val="bottom"/>
                            <w:hideMark/>
                          </w:tcPr>
                          <w:p w14:paraId="38C3ECBC"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3.632</w:t>
                            </w:r>
                          </w:p>
                        </w:tc>
                        <w:tc>
                          <w:tcPr>
                            <w:tcW w:w="960" w:type="dxa"/>
                            <w:tcBorders>
                              <w:top w:val="nil"/>
                              <w:left w:val="nil"/>
                              <w:bottom w:val="single" w:sz="4" w:space="0" w:color="auto"/>
                              <w:right w:val="single" w:sz="4" w:space="0" w:color="auto"/>
                            </w:tcBorders>
                            <w:shd w:val="clear" w:color="auto" w:fill="auto"/>
                            <w:noWrap/>
                            <w:vAlign w:val="bottom"/>
                            <w:hideMark/>
                          </w:tcPr>
                          <w:p w14:paraId="4F5DC04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3.564</w:t>
                            </w:r>
                          </w:p>
                        </w:tc>
                        <w:tc>
                          <w:tcPr>
                            <w:tcW w:w="960" w:type="dxa"/>
                            <w:tcBorders>
                              <w:top w:val="nil"/>
                              <w:left w:val="nil"/>
                              <w:bottom w:val="single" w:sz="4" w:space="0" w:color="auto"/>
                              <w:right w:val="single" w:sz="4" w:space="0" w:color="auto"/>
                            </w:tcBorders>
                            <w:shd w:val="clear" w:color="auto" w:fill="auto"/>
                            <w:noWrap/>
                            <w:vAlign w:val="bottom"/>
                            <w:hideMark/>
                          </w:tcPr>
                          <w:p w14:paraId="5AA5AD9E"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3.496</w:t>
                            </w:r>
                          </w:p>
                        </w:tc>
                      </w:tr>
                      <w:tr w:rsidR="003F1B5C" w:rsidRPr="003F1B5C" w14:paraId="548653A3" w14:textId="77777777" w:rsidTr="003F1B5C">
                        <w:trPr>
                          <w:trHeight w:val="288"/>
                        </w:trPr>
                        <w:tc>
                          <w:tcPr>
                            <w:tcW w:w="2080" w:type="dxa"/>
                            <w:tcBorders>
                              <w:top w:val="nil"/>
                              <w:left w:val="nil"/>
                              <w:bottom w:val="nil"/>
                              <w:right w:val="nil"/>
                            </w:tcBorders>
                            <w:shd w:val="clear" w:color="auto" w:fill="auto"/>
                            <w:noWrap/>
                            <w:vAlign w:val="bottom"/>
                            <w:hideMark/>
                          </w:tcPr>
                          <w:p w14:paraId="77128936"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p>
                        </w:tc>
                        <w:tc>
                          <w:tcPr>
                            <w:tcW w:w="960" w:type="dxa"/>
                            <w:tcBorders>
                              <w:top w:val="nil"/>
                              <w:left w:val="nil"/>
                              <w:bottom w:val="nil"/>
                              <w:right w:val="nil"/>
                            </w:tcBorders>
                            <w:shd w:val="clear" w:color="auto" w:fill="auto"/>
                            <w:noWrap/>
                            <w:vAlign w:val="bottom"/>
                            <w:hideMark/>
                          </w:tcPr>
                          <w:p w14:paraId="1D26DA0D"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687DAE5"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4E5698B"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00ED822"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r>
                      <w:tr w:rsidR="003F1B5C" w:rsidRPr="003F1B5C" w14:paraId="47ECAF75" w14:textId="77777777" w:rsidTr="003F1B5C">
                        <w:trPr>
                          <w:trHeight w:val="288"/>
                        </w:trPr>
                        <w:tc>
                          <w:tcPr>
                            <w:tcW w:w="2080" w:type="dxa"/>
                            <w:tcBorders>
                              <w:top w:val="nil"/>
                              <w:left w:val="nil"/>
                              <w:bottom w:val="nil"/>
                              <w:right w:val="nil"/>
                            </w:tcBorders>
                            <w:shd w:val="clear" w:color="auto" w:fill="auto"/>
                            <w:noWrap/>
                            <w:vAlign w:val="bottom"/>
                            <w:hideMark/>
                          </w:tcPr>
                          <w:p w14:paraId="40437267"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688A6E4"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37771FC"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85CC5CF"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2A1D7A61"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r>
                      <w:tr w:rsidR="003F1B5C" w:rsidRPr="003F1B5C" w14:paraId="7960AB9C" w14:textId="77777777" w:rsidTr="003F1B5C">
                        <w:trPr>
                          <w:trHeight w:val="288"/>
                        </w:trPr>
                        <w:tc>
                          <w:tcPr>
                            <w:tcW w:w="2080" w:type="dxa"/>
                            <w:tcBorders>
                              <w:top w:val="nil"/>
                              <w:left w:val="nil"/>
                              <w:bottom w:val="nil"/>
                              <w:right w:val="nil"/>
                            </w:tcBorders>
                            <w:shd w:val="clear" w:color="auto" w:fill="auto"/>
                            <w:noWrap/>
                            <w:vAlign w:val="bottom"/>
                            <w:hideMark/>
                          </w:tcPr>
                          <w:p w14:paraId="5E13FBA3"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FA977C7"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6364E5C8"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0D0175A"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A1CAE8A" w14:textId="77777777" w:rsidR="003F1B5C" w:rsidRPr="003F1B5C" w:rsidRDefault="003F1B5C" w:rsidP="003F1B5C">
                            <w:pPr>
                              <w:spacing w:after="0" w:line="240" w:lineRule="auto"/>
                              <w:rPr>
                                <w:rFonts w:ascii="Times New Roman" w:eastAsia="Times New Roman" w:hAnsi="Times New Roman" w:cs="Times New Roman"/>
                                <w:sz w:val="20"/>
                                <w:szCs w:val="20"/>
                                <w:lang w:val="en-GB" w:eastAsia="en-GB"/>
                              </w:rPr>
                            </w:pPr>
                          </w:p>
                        </w:tc>
                      </w:tr>
                      <w:tr w:rsidR="003F1B5C" w:rsidRPr="003F1B5C" w14:paraId="7AC1D716" w14:textId="77777777" w:rsidTr="003F1B5C">
                        <w:trPr>
                          <w:trHeight w:val="288"/>
                        </w:trPr>
                        <w:tc>
                          <w:tcPr>
                            <w:tcW w:w="2080" w:type="dxa"/>
                            <w:tcBorders>
                              <w:top w:val="single" w:sz="4" w:space="0" w:color="auto"/>
                              <w:left w:val="single" w:sz="4" w:space="0" w:color="auto"/>
                              <w:bottom w:val="nil"/>
                              <w:right w:val="single" w:sz="4" w:space="0" w:color="auto"/>
                            </w:tcBorders>
                            <w:shd w:val="clear" w:color="000000" w:fill="002060"/>
                            <w:noWrap/>
                            <w:vAlign w:val="bottom"/>
                            <w:hideMark/>
                          </w:tcPr>
                          <w:p w14:paraId="0CA48AD1"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 </w:t>
                            </w:r>
                          </w:p>
                        </w:tc>
                        <w:tc>
                          <w:tcPr>
                            <w:tcW w:w="960" w:type="dxa"/>
                            <w:tcBorders>
                              <w:top w:val="single" w:sz="4" w:space="0" w:color="auto"/>
                              <w:left w:val="nil"/>
                              <w:bottom w:val="nil"/>
                              <w:right w:val="single" w:sz="4" w:space="0" w:color="auto"/>
                            </w:tcBorders>
                            <w:shd w:val="clear" w:color="000000" w:fill="002060"/>
                            <w:noWrap/>
                            <w:vAlign w:val="bottom"/>
                            <w:hideMark/>
                          </w:tcPr>
                          <w:p w14:paraId="1F6E333E"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2022</w:t>
                            </w:r>
                          </w:p>
                        </w:tc>
                        <w:tc>
                          <w:tcPr>
                            <w:tcW w:w="960" w:type="dxa"/>
                            <w:tcBorders>
                              <w:top w:val="single" w:sz="4" w:space="0" w:color="auto"/>
                              <w:left w:val="nil"/>
                              <w:bottom w:val="nil"/>
                              <w:right w:val="single" w:sz="4" w:space="0" w:color="auto"/>
                            </w:tcBorders>
                            <w:shd w:val="clear" w:color="000000" w:fill="002060"/>
                            <w:noWrap/>
                            <w:vAlign w:val="bottom"/>
                            <w:hideMark/>
                          </w:tcPr>
                          <w:p w14:paraId="61B097A8"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2023E</w:t>
                            </w:r>
                          </w:p>
                        </w:tc>
                        <w:tc>
                          <w:tcPr>
                            <w:tcW w:w="960" w:type="dxa"/>
                            <w:tcBorders>
                              <w:top w:val="single" w:sz="4" w:space="0" w:color="auto"/>
                              <w:left w:val="nil"/>
                              <w:bottom w:val="nil"/>
                              <w:right w:val="single" w:sz="4" w:space="0" w:color="auto"/>
                            </w:tcBorders>
                            <w:shd w:val="clear" w:color="000000" w:fill="002060"/>
                            <w:noWrap/>
                            <w:vAlign w:val="bottom"/>
                            <w:hideMark/>
                          </w:tcPr>
                          <w:p w14:paraId="4EB6E278"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2024E</w:t>
                            </w:r>
                          </w:p>
                        </w:tc>
                        <w:tc>
                          <w:tcPr>
                            <w:tcW w:w="960" w:type="dxa"/>
                            <w:tcBorders>
                              <w:top w:val="single" w:sz="4" w:space="0" w:color="auto"/>
                              <w:left w:val="nil"/>
                              <w:bottom w:val="nil"/>
                              <w:right w:val="single" w:sz="4" w:space="0" w:color="auto"/>
                            </w:tcBorders>
                            <w:shd w:val="clear" w:color="000000" w:fill="002060"/>
                            <w:noWrap/>
                            <w:vAlign w:val="bottom"/>
                            <w:hideMark/>
                          </w:tcPr>
                          <w:p w14:paraId="591AF8A6" w14:textId="77777777" w:rsidR="003F1B5C" w:rsidRPr="003F1B5C" w:rsidRDefault="003F1B5C" w:rsidP="003F1B5C">
                            <w:pPr>
                              <w:spacing w:after="0" w:line="240" w:lineRule="auto"/>
                              <w:jc w:val="right"/>
                              <w:rPr>
                                <w:rFonts w:ascii="Calibri" w:eastAsia="Times New Roman" w:hAnsi="Calibri" w:cs="Calibri"/>
                                <w:b/>
                                <w:bCs/>
                                <w:color w:val="FFFFFF"/>
                                <w:lang w:val="en-GB" w:eastAsia="en-GB"/>
                              </w:rPr>
                            </w:pPr>
                            <w:r w:rsidRPr="003F1B5C">
                              <w:rPr>
                                <w:rFonts w:ascii="Calibri" w:eastAsia="Times New Roman" w:hAnsi="Calibri" w:cs="Calibri"/>
                                <w:b/>
                                <w:bCs/>
                                <w:color w:val="FFFFFF"/>
                                <w:lang w:val="en-GB" w:eastAsia="en-GB"/>
                              </w:rPr>
                              <w:t>2025E</w:t>
                            </w:r>
                          </w:p>
                        </w:tc>
                      </w:tr>
                      <w:tr w:rsidR="003F1B5C" w:rsidRPr="003F1B5C" w14:paraId="0B633800"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79655E93"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Sales growth (%)</w:t>
                            </w:r>
                          </w:p>
                        </w:tc>
                        <w:tc>
                          <w:tcPr>
                            <w:tcW w:w="960" w:type="dxa"/>
                            <w:tcBorders>
                              <w:top w:val="nil"/>
                              <w:left w:val="nil"/>
                              <w:bottom w:val="nil"/>
                              <w:right w:val="single" w:sz="4" w:space="0" w:color="auto"/>
                            </w:tcBorders>
                            <w:shd w:val="clear" w:color="auto" w:fill="auto"/>
                            <w:noWrap/>
                            <w:vAlign w:val="bottom"/>
                            <w:hideMark/>
                          </w:tcPr>
                          <w:p w14:paraId="40EA29B5"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5%</w:t>
                            </w:r>
                          </w:p>
                        </w:tc>
                        <w:tc>
                          <w:tcPr>
                            <w:tcW w:w="960" w:type="dxa"/>
                            <w:tcBorders>
                              <w:top w:val="nil"/>
                              <w:left w:val="nil"/>
                              <w:bottom w:val="nil"/>
                              <w:right w:val="single" w:sz="4" w:space="0" w:color="auto"/>
                            </w:tcBorders>
                            <w:shd w:val="clear" w:color="auto" w:fill="auto"/>
                            <w:noWrap/>
                            <w:vAlign w:val="bottom"/>
                            <w:hideMark/>
                          </w:tcPr>
                          <w:p w14:paraId="724EEBC7"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5%</w:t>
                            </w:r>
                          </w:p>
                        </w:tc>
                        <w:tc>
                          <w:tcPr>
                            <w:tcW w:w="960" w:type="dxa"/>
                            <w:tcBorders>
                              <w:top w:val="nil"/>
                              <w:left w:val="nil"/>
                              <w:bottom w:val="nil"/>
                              <w:right w:val="single" w:sz="4" w:space="0" w:color="auto"/>
                            </w:tcBorders>
                            <w:shd w:val="clear" w:color="auto" w:fill="auto"/>
                            <w:noWrap/>
                            <w:vAlign w:val="bottom"/>
                            <w:hideMark/>
                          </w:tcPr>
                          <w:p w14:paraId="58B82821"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5%</w:t>
                            </w:r>
                          </w:p>
                        </w:tc>
                        <w:tc>
                          <w:tcPr>
                            <w:tcW w:w="960" w:type="dxa"/>
                            <w:tcBorders>
                              <w:top w:val="nil"/>
                              <w:left w:val="nil"/>
                              <w:bottom w:val="nil"/>
                              <w:right w:val="single" w:sz="4" w:space="0" w:color="auto"/>
                            </w:tcBorders>
                            <w:shd w:val="clear" w:color="auto" w:fill="auto"/>
                            <w:noWrap/>
                            <w:vAlign w:val="bottom"/>
                            <w:hideMark/>
                          </w:tcPr>
                          <w:p w14:paraId="2BE85720"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5%</w:t>
                            </w:r>
                          </w:p>
                        </w:tc>
                      </w:tr>
                      <w:tr w:rsidR="003F1B5C" w:rsidRPr="003F1B5C" w14:paraId="6A8F3269"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78681583"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EBIT growth (%)</w:t>
                            </w:r>
                          </w:p>
                        </w:tc>
                        <w:tc>
                          <w:tcPr>
                            <w:tcW w:w="960" w:type="dxa"/>
                            <w:tcBorders>
                              <w:top w:val="nil"/>
                              <w:left w:val="nil"/>
                              <w:bottom w:val="nil"/>
                              <w:right w:val="single" w:sz="4" w:space="0" w:color="auto"/>
                            </w:tcBorders>
                            <w:shd w:val="clear" w:color="auto" w:fill="auto"/>
                            <w:noWrap/>
                            <w:vAlign w:val="bottom"/>
                            <w:hideMark/>
                          </w:tcPr>
                          <w:p w14:paraId="4C0E47A9"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w:t>
                            </w:r>
                          </w:p>
                        </w:tc>
                        <w:tc>
                          <w:tcPr>
                            <w:tcW w:w="960" w:type="dxa"/>
                            <w:tcBorders>
                              <w:top w:val="nil"/>
                              <w:left w:val="nil"/>
                              <w:bottom w:val="nil"/>
                              <w:right w:val="single" w:sz="4" w:space="0" w:color="auto"/>
                            </w:tcBorders>
                            <w:shd w:val="clear" w:color="auto" w:fill="auto"/>
                            <w:noWrap/>
                            <w:vAlign w:val="bottom"/>
                            <w:hideMark/>
                          </w:tcPr>
                          <w:p w14:paraId="5AE00F0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12%</w:t>
                            </w:r>
                          </w:p>
                        </w:tc>
                        <w:tc>
                          <w:tcPr>
                            <w:tcW w:w="960" w:type="dxa"/>
                            <w:tcBorders>
                              <w:top w:val="nil"/>
                              <w:left w:val="nil"/>
                              <w:bottom w:val="nil"/>
                              <w:right w:val="single" w:sz="4" w:space="0" w:color="auto"/>
                            </w:tcBorders>
                            <w:shd w:val="clear" w:color="auto" w:fill="auto"/>
                            <w:noWrap/>
                            <w:vAlign w:val="bottom"/>
                            <w:hideMark/>
                          </w:tcPr>
                          <w:p w14:paraId="60ACC027"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w:t>
                            </w:r>
                          </w:p>
                        </w:tc>
                        <w:tc>
                          <w:tcPr>
                            <w:tcW w:w="960" w:type="dxa"/>
                            <w:tcBorders>
                              <w:top w:val="nil"/>
                              <w:left w:val="nil"/>
                              <w:bottom w:val="nil"/>
                              <w:right w:val="single" w:sz="4" w:space="0" w:color="auto"/>
                            </w:tcBorders>
                            <w:shd w:val="clear" w:color="auto" w:fill="auto"/>
                            <w:noWrap/>
                            <w:vAlign w:val="bottom"/>
                            <w:hideMark/>
                          </w:tcPr>
                          <w:p w14:paraId="5E547EBE"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w:t>
                            </w:r>
                          </w:p>
                        </w:tc>
                      </w:tr>
                      <w:tr w:rsidR="003F1B5C" w:rsidRPr="003F1B5C" w14:paraId="5174FA7F"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128DDBDC"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Net profit growth (%)</w:t>
                            </w:r>
                          </w:p>
                        </w:tc>
                        <w:tc>
                          <w:tcPr>
                            <w:tcW w:w="960" w:type="dxa"/>
                            <w:tcBorders>
                              <w:top w:val="nil"/>
                              <w:left w:val="nil"/>
                              <w:bottom w:val="nil"/>
                              <w:right w:val="single" w:sz="4" w:space="0" w:color="auto"/>
                            </w:tcBorders>
                            <w:shd w:val="clear" w:color="auto" w:fill="auto"/>
                            <w:noWrap/>
                            <w:vAlign w:val="bottom"/>
                            <w:hideMark/>
                          </w:tcPr>
                          <w:p w14:paraId="6738481C"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6%</w:t>
                            </w:r>
                          </w:p>
                        </w:tc>
                        <w:tc>
                          <w:tcPr>
                            <w:tcW w:w="960" w:type="dxa"/>
                            <w:tcBorders>
                              <w:top w:val="nil"/>
                              <w:left w:val="nil"/>
                              <w:bottom w:val="nil"/>
                              <w:right w:val="single" w:sz="4" w:space="0" w:color="auto"/>
                            </w:tcBorders>
                            <w:shd w:val="clear" w:color="auto" w:fill="auto"/>
                            <w:noWrap/>
                            <w:vAlign w:val="bottom"/>
                            <w:hideMark/>
                          </w:tcPr>
                          <w:p w14:paraId="7533350F"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8%</w:t>
                            </w:r>
                          </w:p>
                        </w:tc>
                        <w:tc>
                          <w:tcPr>
                            <w:tcW w:w="960" w:type="dxa"/>
                            <w:tcBorders>
                              <w:top w:val="nil"/>
                              <w:left w:val="nil"/>
                              <w:bottom w:val="nil"/>
                              <w:right w:val="single" w:sz="4" w:space="0" w:color="auto"/>
                            </w:tcBorders>
                            <w:shd w:val="clear" w:color="auto" w:fill="auto"/>
                            <w:noWrap/>
                            <w:vAlign w:val="bottom"/>
                            <w:hideMark/>
                          </w:tcPr>
                          <w:p w14:paraId="488766F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w:t>
                            </w:r>
                          </w:p>
                        </w:tc>
                        <w:tc>
                          <w:tcPr>
                            <w:tcW w:w="960" w:type="dxa"/>
                            <w:tcBorders>
                              <w:top w:val="nil"/>
                              <w:left w:val="nil"/>
                              <w:bottom w:val="nil"/>
                              <w:right w:val="single" w:sz="4" w:space="0" w:color="auto"/>
                            </w:tcBorders>
                            <w:shd w:val="clear" w:color="auto" w:fill="auto"/>
                            <w:noWrap/>
                            <w:vAlign w:val="bottom"/>
                            <w:hideMark/>
                          </w:tcPr>
                          <w:p w14:paraId="0D8564B4"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3%</w:t>
                            </w:r>
                          </w:p>
                        </w:tc>
                      </w:tr>
                      <w:tr w:rsidR="003F1B5C" w:rsidRPr="003F1B5C" w14:paraId="2E66B0CC"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0FBAC151"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EPS growth (%)</w:t>
                            </w:r>
                          </w:p>
                        </w:tc>
                        <w:tc>
                          <w:tcPr>
                            <w:tcW w:w="960" w:type="dxa"/>
                            <w:tcBorders>
                              <w:top w:val="nil"/>
                              <w:left w:val="nil"/>
                              <w:bottom w:val="nil"/>
                              <w:right w:val="single" w:sz="4" w:space="0" w:color="auto"/>
                            </w:tcBorders>
                            <w:shd w:val="clear" w:color="auto" w:fill="auto"/>
                            <w:noWrap/>
                            <w:vAlign w:val="bottom"/>
                            <w:hideMark/>
                          </w:tcPr>
                          <w:p w14:paraId="0A96F87A"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12%</w:t>
                            </w:r>
                          </w:p>
                        </w:tc>
                        <w:tc>
                          <w:tcPr>
                            <w:tcW w:w="960" w:type="dxa"/>
                            <w:tcBorders>
                              <w:top w:val="nil"/>
                              <w:left w:val="nil"/>
                              <w:bottom w:val="nil"/>
                              <w:right w:val="single" w:sz="4" w:space="0" w:color="auto"/>
                            </w:tcBorders>
                            <w:shd w:val="clear" w:color="auto" w:fill="auto"/>
                            <w:noWrap/>
                            <w:vAlign w:val="bottom"/>
                            <w:hideMark/>
                          </w:tcPr>
                          <w:p w14:paraId="5CC70EB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-212%</w:t>
                            </w:r>
                          </w:p>
                        </w:tc>
                        <w:tc>
                          <w:tcPr>
                            <w:tcW w:w="960" w:type="dxa"/>
                            <w:tcBorders>
                              <w:top w:val="nil"/>
                              <w:left w:val="nil"/>
                              <w:bottom w:val="nil"/>
                              <w:right w:val="single" w:sz="4" w:space="0" w:color="auto"/>
                            </w:tcBorders>
                            <w:shd w:val="clear" w:color="auto" w:fill="auto"/>
                            <w:noWrap/>
                            <w:vAlign w:val="bottom"/>
                            <w:hideMark/>
                          </w:tcPr>
                          <w:p w14:paraId="5B8BD39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-23%</w:t>
                            </w:r>
                          </w:p>
                        </w:tc>
                        <w:tc>
                          <w:tcPr>
                            <w:tcW w:w="960" w:type="dxa"/>
                            <w:tcBorders>
                              <w:top w:val="nil"/>
                              <w:left w:val="nil"/>
                              <w:bottom w:val="nil"/>
                              <w:right w:val="single" w:sz="4" w:space="0" w:color="auto"/>
                            </w:tcBorders>
                            <w:shd w:val="clear" w:color="auto" w:fill="auto"/>
                            <w:noWrap/>
                            <w:vAlign w:val="bottom"/>
                            <w:hideMark/>
                          </w:tcPr>
                          <w:p w14:paraId="1E40937C"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-25%</w:t>
                            </w:r>
                          </w:p>
                        </w:tc>
                      </w:tr>
                      <w:tr w:rsidR="003F1B5C" w:rsidRPr="003F1B5C" w14:paraId="35BC38D9"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34995727"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EBITDA margin (%)</w:t>
                            </w:r>
                          </w:p>
                        </w:tc>
                        <w:tc>
                          <w:tcPr>
                            <w:tcW w:w="960" w:type="dxa"/>
                            <w:tcBorders>
                              <w:top w:val="nil"/>
                              <w:left w:val="nil"/>
                              <w:bottom w:val="nil"/>
                              <w:right w:val="single" w:sz="4" w:space="0" w:color="auto"/>
                            </w:tcBorders>
                            <w:shd w:val="clear" w:color="auto" w:fill="auto"/>
                            <w:noWrap/>
                            <w:vAlign w:val="bottom"/>
                            <w:hideMark/>
                          </w:tcPr>
                          <w:p w14:paraId="79B15339"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16%</w:t>
                            </w:r>
                          </w:p>
                        </w:tc>
                        <w:tc>
                          <w:tcPr>
                            <w:tcW w:w="960" w:type="dxa"/>
                            <w:tcBorders>
                              <w:top w:val="nil"/>
                              <w:left w:val="nil"/>
                              <w:bottom w:val="nil"/>
                              <w:right w:val="single" w:sz="4" w:space="0" w:color="auto"/>
                            </w:tcBorders>
                            <w:shd w:val="clear" w:color="auto" w:fill="auto"/>
                            <w:noWrap/>
                            <w:vAlign w:val="bottom"/>
                            <w:hideMark/>
                          </w:tcPr>
                          <w:p w14:paraId="22D2ACAB"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17%</w:t>
                            </w:r>
                          </w:p>
                        </w:tc>
                        <w:tc>
                          <w:tcPr>
                            <w:tcW w:w="960" w:type="dxa"/>
                            <w:tcBorders>
                              <w:top w:val="nil"/>
                              <w:left w:val="nil"/>
                              <w:bottom w:val="nil"/>
                              <w:right w:val="single" w:sz="4" w:space="0" w:color="auto"/>
                            </w:tcBorders>
                            <w:shd w:val="clear" w:color="auto" w:fill="auto"/>
                            <w:noWrap/>
                            <w:vAlign w:val="bottom"/>
                            <w:hideMark/>
                          </w:tcPr>
                          <w:p w14:paraId="0736D27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17%</w:t>
                            </w:r>
                          </w:p>
                        </w:tc>
                        <w:tc>
                          <w:tcPr>
                            <w:tcW w:w="960" w:type="dxa"/>
                            <w:tcBorders>
                              <w:top w:val="nil"/>
                              <w:left w:val="nil"/>
                              <w:bottom w:val="nil"/>
                              <w:right w:val="single" w:sz="4" w:space="0" w:color="auto"/>
                            </w:tcBorders>
                            <w:shd w:val="clear" w:color="auto" w:fill="auto"/>
                            <w:noWrap/>
                            <w:vAlign w:val="bottom"/>
                            <w:hideMark/>
                          </w:tcPr>
                          <w:p w14:paraId="5D342D57"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17%</w:t>
                            </w:r>
                          </w:p>
                        </w:tc>
                      </w:tr>
                      <w:tr w:rsidR="003F1B5C" w:rsidRPr="003F1B5C" w14:paraId="07AA67EA" w14:textId="77777777" w:rsidTr="003F1B5C">
                        <w:trPr>
                          <w:trHeight w:val="288"/>
                        </w:trPr>
                        <w:tc>
                          <w:tcPr>
                            <w:tcW w:w="2080" w:type="dxa"/>
                            <w:tcBorders>
                              <w:top w:val="nil"/>
                              <w:left w:val="single" w:sz="4" w:space="0" w:color="auto"/>
                              <w:bottom w:val="nil"/>
                              <w:right w:val="single" w:sz="4" w:space="0" w:color="auto"/>
                            </w:tcBorders>
                            <w:shd w:val="clear" w:color="auto" w:fill="auto"/>
                            <w:noWrap/>
                            <w:vAlign w:val="bottom"/>
                            <w:hideMark/>
                          </w:tcPr>
                          <w:p w14:paraId="10DDB94C"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EBIT margin (%)</w:t>
                            </w:r>
                          </w:p>
                        </w:tc>
                        <w:tc>
                          <w:tcPr>
                            <w:tcW w:w="960" w:type="dxa"/>
                            <w:tcBorders>
                              <w:top w:val="nil"/>
                              <w:left w:val="nil"/>
                              <w:bottom w:val="nil"/>
                              <w:right w:val="single" w:sz="4" w:space="0" w:color="auto"/>
                            </w:tcBorders>
                            <w:shd w:val="clear" w:color="auto" w:fill="auto"/>
                            <w:noWrap/>
                            <w:vAlign w:val="bottom"/>
                            <w:hideMark/>
                          </w:tcPr>
                          <w:p w14:paraId="251A51A2"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15%</w:t>
                            </w:r>
                          </w:p>
                        </w:tc>
                        <w:tc>
                          <w:tcPr>
                            <w:tcW w:w="960" w:type="dxa"/>
                            <w:tcBorders>
                              <w:top w:val="nil"/>
                              <w:left w:val="nil"/>
                              <w:bottom w:val="nil"/>
                              <w:right w:val="single" w:sz="4" w:space="0" w:color="auto"/>
                            </w:tcBorders>
                            <w:shd w:val="clear" w:color="auto" w:fill="auto"/>
                            <w:noWrap/>
                            <w:vAlign w:val="bottom"/>
                            <w:hideMark/>
                          </w:tcPr>
                          <w:p w14:paraId="7DBA7017"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16%</w:t>
                            </w:r>
                          </w:p>
                        </w:tc>
                        <w:tc>
                          <w:tcPr>
                            <w:tcW w:w="960" w:type="dxa"/>
                            <w:tcBorders>
                              <w:top w:val="nil"/>
                              <w:left w:val="nil"/>
                              <w:bottom w:val="nil"/>
                              <w:right w:val="single" w:sz="4" w:space="0" w:color="auto"/>
                            </w:tcBorders>
                            <w:shd w:val="clear" w:color="auto" w:fill="auto"/>
                            <w:noWrap/>
                            <w:vAlign w:val="bottom"/>
                            <w:hideMark/>
                          </w:tcPr>
                          <w:p w14:paraId="746B240E"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15%</w:t>
                            </w:r>
                          </w:p>
                        </w:tc>
                        <w:tc>
                          <w:tcPr>
                            <w:tcW w:w="960" w:type="dxa"/>
                            <w:tcBorders>
                              <w:top w:val="nil"/>
                              <w:left w:val="nil"/>
                              <w:bottom w:val="nil"/>
                              <w:right w:val="single" w:sz="4" w:space="0" w:color="auto"/>
                            </w:tcBorders>
                            <w:shd w:val="clear" w:color="auto" w:fill="auto"/>
                            <w:noWrap/>
                            <w:vAlign w:val="bottom"/>
                            <w:hideMark/>
                          </w:tcPr>
                          <w:p w14:paraId="4D53171C"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15%</w:t>
                            </w:r>
                          </w:p>
                        </w:tc>
                      </w:tr>
                      <w:tr w:rsidR="003F1B5C" w:rsidRPr="003F1B5C" w14:paraId="0CB1898C" w14:textId="77777777" w:rsidTr="003F1B5C">
                        <w:trPr>
                          <w:trHeight w:val="28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F612E36" w14:textId="77777777" w:rsidR="003F1B5C" w:rsidRPr="003F1B5C" w:rsidRDefault="003F1B5C" w:rsidP="003F1B5C">
                            <w:pPr>
                              <w:spacing w:after="0" w:line="240" w:lineRule="auto"/>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Net margin (%)</w:t>
                            </w:r>
                          </w:p>
                        </w:tc>
                        <w:tc>
                          <w:tcPr>
                            <w:tcW w:w="960" w:type="dxa"/>
                            <w:tcBorders>
                              <w:top w:val="nil"/>
                              <w:left w:val="nil"/>
                              <w:bottom w:val="single" w:sz="4" w:space="0" w:color="auto"/>
                              <w:right w:val="single" w:sz="4" w:space="0" w:color="auto"/>
                            </w:tcBorders>
                            <w:shd w:val="clear" w:color="auto" w:fill="auto"/>
                            <w:noWrap/>
                            <w:vAlign w:val="bottom"/>
                            <w:hideMark/>
                          </w:tcPr>
                          <w:p w14:paraId="3E369BEB"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13%</w:t>
                            </w:r>
                          </w:p>
                        </w:tc>
                        <w:tc>
                          <w:tcPr>
                            <w:tcW w:w="960" w:type="dxa"/>
                            <w:tcBorders>
                              <w:top w:val="nil"/>
                              <w:left w:val="nil"/>
                              <w:bottom w:val="single" w:sz="4" w:space="0" w:color="auto"/>
                              <w:right w:val="single" w:sz="4" w:space="0" w:color="auto"/>
                            </w:tcBorders>
                            <w:shd w:val="clear" w:color="auto" w:fill="auto"/>
                            <w:noWrap/>
                            <w:vAlign w:val="bottom"/>
                            <w:hideMark/>
                          </w:tcPr>
                          <w:p w14:paraId="50085917"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13%</w:t>
                            </w:r>
                          </w:p>
                        </w:tc>
                        <w:tc>
                          <w:tcPr>
                            <w:tcW w:w="960" w:type="dxa"/>
                            <w:tcBorders>
                              <w:top w:val="nil"/>
                              <w:left w:val="nil"/>
                              <w:bottom w:val="single" w:sz="4" w:space="0" w:color="auto"/>
                              <w:right w:val="single" w:sz="4" w:space="0" w:color="auto"/>
                            </w:tcBorders>
                            <w:shd w:val="clear" w:color="auto" w:fill="auto"/>
                            <w:noWrap/>
                            <w:vAlign w:val="bottom"/>
                            <w:hideMark/>
                          </w:tcPr>
                          <w:p w14:paraId="6B4EB593"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13%</w:t>
                            </w:r>
                          </w:p>
                        </w:tc>
                        <w:tc>
                          <w:tcPr>
                            <w:tcW w:w="960" w:type="dxa"/>
                            <w:tcBorders>
                              <w:top w:val="nil"/>
                              <w:left w:val="nil"/>
                              <w:bottom w:val="single" w:sz="4" w:space="0" w:color="auto"/>
                              <w:right w:val="single" w:sz="4" w:space="0" w:color="auto"/>
                            </w:tcBorders>
                            <w:shd w:val="clear" w:color="auto" w:fill="auto"/>
                            <w:noWrap/>
                            <w:vAlign w:val="bottom"/>
                            <w:hideMark/>
                          </w:tcPr>
                          <w:p w14:paraId="4598A9A9" w14:textId="77777777" w:rsidR="003F1B5C" w:rsidRPr="003F1B5C" w:rsidRDefault="003F1B5C" w:rsidP="003F1B5C">
                            <w:pPr>
                              <w:spacing w:after="0" w:line="240" w:lineRule="auto"/>
                              <w:jc w:val="right"/>
                              <w:rPr>
                                <w:rFonts w:ascii="Calibri" w:eastAsia="Times New Roman" w:hAnsi="Calibri" w:cs="Calibri"/>
                                <w:color w:val="000000"/>
                                <w:lang w:val="en-GB" w:eastAsia="en-GB"/>
                              </w:rPr>
                            </w:pPr>
                            <w:r w:rsidRPr="003F1B5C">
                              <w:rPr>
                                <w:rFonts w:ascii="Calibri" w:eastAsia="Times New Roman" w:hAnsi="Calibri" w:cs="Calibri"/>
                                <w:color w:val="000000"/>
                                <w:lang w:val="en-GB" w:eastAsia="en-GB"/>
                              </w:rPr>
                              <w:t>13%</w:t>
                            </w:r>
                          </w:p>
                        </w:tc>
                      </w:tr>
                    </w:tbl>
                    <w:p w14:paraId="623FC828" w14:textId="77777777" w:rsidR="003F1B5C" w:rsidRDefault="003F1B5C">
                      <w:pPr>
                        <w:spacing w:before="880" w:after="240" w:line="240" w:lineRule="auto"/>
                        <w:rPr>
                          <w:rFonts w:asciiTheme="majorHAnsi" w:eastAsiaTheme="majorEastAsia" w:hAnsiTheme="majorHAnsi" w:cstheme="majorBidi"/>
                          <w:sz w:val="28"/>
                          <w:szCs w:val="28"/>
                        </w:rPr>
                      </w:pPr>
                    </w:p>
                    <w:p w14:paraId="349F160F" w14:textId="77777777" w:rsidR="003F1B5C" w:rsidRDefault="003F1B5C">
                      <w:pPr>
                        <w:spacing w:before="880" w:after="240" w:line="240" w:lineRule="auto"/>
                        <w:rPr>
                          <w:rFonts w:asciiTheme="majorHAnsi" w:eastAsiaTheme="majorEastAsia" w:hAnsiTheme="majorHAnsi" w:cstheme="majorBidi"/>
                          <w:sz w:val="28"/>
                          <w:szCs w:val="28"/>
                        </w:rPr>
                      </w:pPr>
                    </w:p>
                    <w:p w14:paraId="57CCED75" w14:textId="77777777" w:rsidR="003F1B5C" w:rsidRDefault="003F1B5C">
                      <w:pPr>
                        <w:spacing w:before="880" w:after="240" w:line="240" w:lineRule="auto"/>
                        <w:rPr>
                          <w:rFonts w:asciiTheme="majorHAnsi" w:eastAsiaTheme="majorEastAsia" w:hAnsiTheme="majorHAnsi" w:cstheme="majorBidi"/>
                          <w:sz w:val="28"/>
                          <w:szCs w:val="28"/>
                        </w:rPr>
                      </w:pPr>
                    </w:p>
                    <w:p w14:paraId="7AA25971" w14:textId="59F1B306"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w:t>
                      </w:r>
                      <w:r w:rsidR="001D2BE3">
                        <w:rPr>
                          <w:rFonts w:asciiTheme="majorHAnsi" w:eastAsiaTheme="majorEastAsia" w:hAnsiTheme="majorHAnsi" w:cstheme="majorBidi"/>
                          <w:sz w:val="28"/>
                          <w:szCs w:val="28"/>
                        </w:rPr>
                        <w:t>????</w:t>
                      </w:r>
                      <w:r w:rsidR="001102A1" w:rsidRPr="001102A1">
                        <w:rPr>
                          <w:rFonts w:asciiTheme="majorHAnsi" w:eastAsiaTheme="majorEastAsia" w:hAnsiTheme="majorHAnsi" w:cstheme="majorBidi"/>
                          <w:noProof/>
                          <w:sz w:val="28"/>
                          <w:szCs w:val="28"/>
                        </w:rPr>
                        <w:t xml:space="preserve"> </w:t>
                      </w:r>
                    </w:p>
                  </w:txbxContent>
                </v:textbox>
                <w10:wrap type="square" anchorx="margin"/>
              </v:rect>
            </w:pict>
          </mc:Fallback>
        </mc:AlternateContent>
      </w:r>
      <w:r w:rsidR="003F1B5C">
        <w:rPr>
          <w:noProof/>
        </w:rPr>
        <mc:AlternateContent>
          <mc:Choice Requires="wps">
            <w:drawing>
              <wp:anchor distT="45720" distB="45720" distL="114300" distR="114300" simplePos="0" relativeHeight="251668480" behindDoc="0" locked="0" layoutInCell="1" allowOverlap="1" wp14:anchorId="384FE0A7" wp14:editId="7EE35B94">
                <wp:simplePos x="0" y="0"/>
                <wp:positionH relativeFrom="margin">
                  <wp:align>right</wp:align>
                </wp:positionH>
                <wp:positionV relativeFrom="paragraph">
                  <wp:posOffset>2962275</wp:posOffset>
                </wp:positionV>
                <wp:extent cx="3549015" cy="2076450"/>
                <wp:effectExtent l="0" t="0" r="1333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2076450"/>
                        </a:xfrm>
                        <a:prstGeom prst="rect">
                          <a:avLst/>
                        </a:prstGeom>
                        <a:solidFill>
                          <a:srgbClr val="FFFFFF"/>
                        </a:solidFill>
                        <a:ln w="9525">
                          <a:solidFill>
                            <a:srgbClr val="000000"/>
                          </a:solidFill>
                          <a:miter lim="800000"/>
                          <a:headEnd/>
                          <a:tailEnd/>
                        </a:ln>
                      </wps:spPr>
                      <wps:txb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p w14:paraId="15BEABC6" w14:textId="4871E5EA" w:rsidR="00523D56" w:rsidRPr="00B92FD6" w:rsidRDefault="00523D56" w:rsidP="00B92FD6">
                            <w:r>
                              <w:t xml:space="preserve">Based on the Segmental Forecast Nike’s revenue is forecast to grow at an Average of 3.2% between 2024- 2027. This growth will be driven largely by the footwear market. The Jordan brand is expected to </w:t>
                            </w:r>
                            <w:r w:rsidR="009642FA">
                              <w:t xml:space="preserve">be the lead in </w:t>
                            </w:r>
                            <w:r>
                              <w:t>driv</w:t>
                            </w:r>
                            <w:r w:rsidR="009642FA">
                              <w:t>ing</w:t>
                            </w:r>
                            <w:r>
                              <w:t xml:space="preserve"> this.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7" type="#_x0000_t202" style="position:absolute;margin-left:228.25pt;margin-top:233.25pt;width:279.45pt;height:163.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">
                <v:textbo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p w14:paraId="15BEABC6" w14:textId="4871E5EA" w:rsidR="00523D56" w:rsidRPr="00B92FD6" w:rsidRDefault="00523D56" w:rsidP="00B92FD6">
                      <w:r>
                        <w:t xml:space="preserve">Based on the Segmental Forecast Nike’s revenue is forecast to grow at an Average of 3.2% between 2024- 2027. This growth will be driven largely by the footwear market. The Jordan brand is expected to </w:t>
                      </w:r>
                      <w:r w:rsidR="009642FA">
                        <w:t xml:space="preserve">be the lead in </w:t>
                      </w:r>
                      <w:r>
                        <w:t>driv</w:t>
                      </w:r>
                      <w:r w:rsidR="009642FA">
                        <w:t>ing</w:t>
                      </w:r>
                      <w:r>
                        <w:t xml:space="preserve"> this. </w:t>
                      </w:r>
                    </w:p>
                  </w:txbxContent>
                </v:textbox>
                <w10:wrap type="square" anchorx="margin"/>
              </v:shape>
            </w:pict>
          </mc:Fallback>
        </mc:AlternateContent>
      </w:r>
      <w:r w:rsidR="00571D49">
        <w:rPr>
          <w:noProof/>
        </w:rPr>
        <mc:AlternateContent>
          <mc:Choice Requires="wps">
            <w:drawing>
              <wp:anchor distT="45720" distB="45720" distL="114300" distR="114300" simplePos="0" relativeHeight="251662336" behindDoc="0" locked="0" layoutInCell="1" allowOverlap="1" wp14:anchorId="08B56C2A" wp14:editId="579A399F">
                <wp:simplePos x="0" y="0"/>
                <wp:positionH relativeFrom="margin">
                  <wp:align>right</wp:align>
                </wp:positionH>
                <wp:positionV relativeFrom="paragraph">
                  <wp:posOffset>1615440</wp:posOffset>
                </wp:positionV>
                <wp:extent cx="3909060" cy="1234440"/>
                <wp:effectExtent l="0" t="0" r="1524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23444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50678B26" w14:textId="02B7243D" w:rsidR="009642FA" w:rsidRDefault="009642FA">
                            <w:r>
                              <w:t xml:space="preserve">Based on the model, Nike’s is expected grow at around 3% till 2027 which is a fall in the average rate between 2015 – 2022 at 6.4%. </w:t>
                            </w:r>
                          </w:p>
                          <w:p w14:paraId="6DF181F3" w14:textId="77777777" w:rsidR="00B92FD6" w:rsidRDefault="00B92FD6"/>
                          <w:p w14:paraId="5828A0FE" w14:textId="77777777" w:rsidR="009642FA" w:rsidRPr="00017B2B" w:rsidRDefault="00964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Text Box 2" o:spid="_x0000_s1028" type="#_x0000_t202" style="position:absolute;margin-left:256.6pt;margin-top:127.2pt;width:307.8pt;height:97.2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">
                <v:textbox>
                  <w:txbxContent>
                    <w:p w14:paraId="74C4E50C" w14:textId="738FE86E" w:rsidR="00017B2B" w:rsidRDefault="00017B2B">
                      <w:pPr>
                        <w:rPr>
                          <w:b/>
                          <w:bCs/>
                        </w:rPr>
                      </w:pPr>
                      <w:r w:rsidRPr="00017B2B">
                        <w:rPr>
                          <w:b/>
                          <w:bCs/>
                        </w:rPr>
                        <w:t>Investment thesis:</w:t>
                      </w:r>
                    </w:p>
                    <w:p w14:paraId="50678B26" w14:textId="02B7243D" w:rsidR="009642FA" w:rsidRDefault="009642FA">
                      <w:r>
                        <w:t xml:space="preserve">Based on the model, Nike’s is expected grow at around 3% till 2027 which is a fall in the average rate between 2015 – 2022 at 6.4%. </w:t>
                      </w:r>
                    </w:p>
                    <w:p w14:paraId="6DF181F3" w14:textId="77777777" w:rsidR="00B92FD6" w:rsidRDefault="00B92FD6"/>
                    <w:p w14:paraId="5828A0FE" w14:textId="77777777" w:rsidR="009642FA" w:rsidRPr="00017B2B" w:rsidRDefault="009642FA"/>
                  </w:txbxContent>
                </v:textbox>
                <w10:wrap type="square" anchorx="margin"/>
              </v:shape>
            </w:pict>
          </mc:Fallback>
        </mc:AlternateContent>
      </w:r>
      <w:r w:rsidR="00917F79">
        <w:rPr>
          <w:noProof/>
        </w:rPr>
        <mc:AlternateContent>
          <mc:Choice Requires="wps">
            <w:drawing>
              <wp:anchor distT="45720" distB="45720" distL="114300" distR="114300" simplePos="0" relativeHeight="251657216" behindDoc="0" locked="0" layoutInCell="1" allowOverlap="1" wp14:anchorId="62A4B6EE" wp14:editId="7CE6E08B">
                <wp:simplePos x="0" y="0"/>
                <wp:positionH relativeFrom="margin">
                  <wp:align>left</wp:align>
                </wp:positionH>
                <wp:positionV relativeFrom="paragraph">
                  <wp:posOffset>0</wp:posOffset>
                </wp:positionV>
                <wp:extent cx="6858000" cy="15544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54480"/>
                        </a:xfrm>
                        <a:prstGeom prst="rect">
                          <a:avLst/>
                        </a:prstGeom>
                        <a:solidFill>
                          <a:srgbClr val="FFFFFF"/>
                        </a:solidFill>
                        <a:ln w="9525">
                          <a:solidFill>
                            <a:srgbClr val="000000"/>
                          </a:solidFill>
                          <a:miter lim="800000"/>
                          <a:headEnd/>
                          <a:tailEnd/>
                        </a:ln>
                      </wps:spPr>
                      <wps:txbx>
                        <w:txbxContent>
                          <w:p w14:paraId="25CEBCDC" w14:textId="6EC8882C" w:rsidR="00017B2B" w:rsidRDefault="00017B2B">
                            <w:r>
                              <w:t>Company Name</w:t>
                            </w:r>
                            <w:r w:rsidR="00917F79">
                              <w:t>: Nike Inc</w:t>
                            </w:r>
                          </w:p>
                          <w:p w14:paraId="4696F081" w14:textId="0B50E8CE" w:rsidR="00017B2B" w:rsidRDefault="00017B2B">
                            <w:r>
                              <w:t>Ticker</w:t>
                            </w:r>
                            <w:r w:rsidR="00917F79">
                              <w:t>: NKE</w:t>
                            </w:r>
                          </w:p>
                          <w:p w14:paraId="7B155A12" w14:textId="4B6CFCE0" w:rsidR="00017B2B" w:rsidRDefault="00017B2B">
                            <w:r>
                              <w:t xml:space="preserve">Current </w:t>
                            </w:r>
                            <w:r w:rsidR="00B92FD6">
                              <w:t>Share</w:t>
                            </w:r>
                            <w:r>
                              <w:t xml:space="preserve"> Price</w:t>
                            </w:r>
                            <w:r w:rsidR="00917F79">
                              <w:t xml:space="preserve">: $83.48 </w:t>
                            </w:r>
                            <w:r w:rsidR="00FB6A4C">
                              <w:t>Premarket</w:t>
                            </w:r>
                            <w:r w:rsidR="00917F79">
                              <w:t xml:space="preserve"> 23/08/2024 </w:t>
                            </w:r>
                          </w:p>
                          <w:p w14:paraId="51657A7D" w14:textId="3AEC032F" w:rsidR="00B720B0" w:rsidRDefault="00B720B0">
                            <w:r>
                              <w:t>Upside/Downside to current share price: ((Forecasted Price</w:t>
                            </w:r>
                            <w:r w:rsidR="00571D49">
                              <w:t xml:space="preserve"> </w:t>
                            </w:r>
                            <w:r w:rsidR="00917F79">
                              <w:t>($94.3 fintel.io)</w:t>
                            </w:r>
                            <w:r>
                              <w:t xml:space="preserve"> – Current Price)/Current Price)</w:t>
                            </w:r>
                            <w:r w:rsidR="00917F79">
                              <w:t xml:space="preserve"> </w:t>
                            </w:r>
                          </w:p>
                          <w:p w14:paraId="1895C095" w14:textId="4A01B46F" w:rsidR="00917F79" w:rsidRDefault="00917F79">
                            <w:r>
                              <w:t>93.3-83.84/83.48</w:t>
                            </w:r>
                            <w:r w:rsidR="00571D49">
                              <w:t>=</w:t>
                            </w:r>
                            <m:oMath>
                              <m:f>
                                <m:fPr>
                                  <m:ctrlPr>
                                    <w:rPr>
                                      <w:rFonts w:ascii="Cambria Math" w:hAnsi="Cambria Math"/>
                                      <w:i/>
                                    </w:rPr>
                                  </m:ctrlPr>
                                </m:fPr>
                                <m:num>
                                  <m:d>
                                    <m:dPr>
                                      <m:ctrlPr>
                                        <w:rPr>
                                          <w:rFonts w:ascii="Cambria Math" w:hAnsi="Cambria Math"/>
                                          <w:i/>
                                        </w:rPr>
                                      </m:ctrlPr>
                                    </m:dPr>
                                    <m:e>
                                      <m:r>
                                        <w:rPr>
                                          <w:rFonts w:ascii="Cambria Math" w:hAnsi="Cambria Math"/>
                                        </w:rPr>
                                        <m:t>93.3-83.48</m:t>
                                      </m:r>
                                    </m:e>
                                  </m:d>
                                </m:num>
                                <m:den>
                                  <m:r>
                                    <w:rPr>
                                      <w:rFonts w:ascii="Cambria Math" w:hAnsi="Cambria Math"/>
                                    </w:rPr>
                                    <m:t>83.48</m:t>
                                  </m:r>
                                </m:den>
                              </m:f>
                            </m:oMath>
                            <w:r w:rsidR="00571D49">
                              <w:t xml:space="preserve">  = 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29" type="#_x0000_t202" style="position:absolute;margin-left:0;margin-top:0;width:540pt;height:122.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">
                <v:textbox>
                  <w:txbxContent>
                    <w:p w14:paraId="25CEBCDC" w14:textId="6EC8882C" w:rsidR="00017B2B" w:rsidRDefault="00017B2B">
                      <w:r>
                        <w:t>Company Name</w:t>
                      </w:r>
                      <w:r w:rsidR="00917F79">
                        <w:t>: Nike Inc</w:t>
                      </w:r>
                    </w:p>
                    <w:p w14:paraId="4696F081" w14:textId="0B50E8CE" w:rsidR="00017B2B" w:rsidRDefault="00017B2B">
                      <w:r>
                        <w:t>Ticker</w:t>
                      </w:r>
                      <w:r w:rsidR="00917F79">
                        <w:t>: NKE</w:t>
                      </w:r>
                    </w:p>
                    <w:p w14:paraId="7B155A12" w14:textId="4B6CFCE0" w:rsidR="00017B2B" w:rsidRDefault="00017B2B">
                      <w:r>
                        <w:t xml:space="preserve">Current </w:t>
                      </w:r>
                      <w:r w:rsidR="00B92FD6">
                        <w:t>Share</w:t>
                      </w:r>
                      <w:r>
                        <w:t xml:space="preserve"> Price</w:t>
                      </w:r>
                      <w:r w:rsidR="00917F79">
                        <w:t xml:space="preserve">: $83.48 </w:t>
                      </w:r>
                      <w:r w:rsidR="00FB6A4C">
                        <w:t>Premarket</w:t>
                      </w:r>
                      <w:r w:rsidR="00917F79">
                        <w:t xml:space="preserve"> 23/08/2024 </w:t>
                      </w:r>
                    </w:p>
                    <w:p w14:paraId="51657A7D" w14:textId="3AEC032F" w:rsidR="00B720B0" w:rsidRDefault="00B720B0">
                      <w:r>
                        <w:t>Upside/Downside to current share price: ((Forecasted Price</w:t>
                      </w:r>
                      <w:r w:rsidR="00571D49">
                        <w:t xml:space="preserve"> </w:t>
                      </w:r>
                      <w:r w:rsidR="00917F79">
                        <w:t>($94.3 fintel.io)</w:t>
                      </w:r>
                      <w:r>
                        <w:t xml:space="preserve"> – Current Price)/Current Price)</w:t>
                      </w:r>
                      <w:r w:rsidR="00917F79">
                        <w:t xml:space="preserve"> </w:t>
                      </w:r>
                    </w:p>
                    <w:p w14:paraId="1895C095" w14:textId="4A01B46F" w:rsidR="00917F79" w:rsidRDefault="00917F79">
                      <w:r>
                        <w:t>93.3-83.84/83.48</w:t>
                      </w:r>
                      <w:r w:rsidR="00571D49">
                        <w:t>=</w:t>
                      </w:r>
                      <m:oMath>
                        <m:f>
                          <m:fPr>
                            <m:ctrlPr>
                              <w:rPr>
                                <w:rFonts w:ascii="Cambria Math" w:hAnsi="Cambria Math"/>
                                <w:i/>
                              </w:rPr>
                            </m:ctrlPr>
                          </m:fPr>
                          <m:num>
                            <m:d>
                              <m:dPr>
                                <m:ctrlPr>
                                  <w:rPr>
                                    <w:rFonts w:ascii="Cambria Math" w:hAnsi="Cambria Math"/>
                                    <w:i/>
                                  </w:rPr>
                                </m:ctrlPr>
                              </m:dPr>
                              <m:e>
                                <m:r>
                                  <w:rPr>
                                    <w:rFonts w:ascii="Cambria Math" w:hAnsi="Cambria Math"/>
                                  </w:rPr>
                                  <m:t>93.3-83.48</m:t>
                                </m:r>
                              </m:e>
                            </m:d>
                          </m:num>
                          <m:den>
                            <m:r>
                              <w:rPr>
                                <w:rFonts w:ascii="Cambria Math" w:hAnsi="Cambria Math"/>
                              </w:rPr>
                              <m:t>83.48</m:t>
                            </m:r>
                          </m:den>
                        </m:f>
                      </m:oMath>
                      <w:r w:rsidR="00571D49">
                        <w:t xml:space="preserve">  = 0.11</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6746C723" w:rsidR="00017B2B" w:rsidRDefault="00017B2B" w:rsidP="00017B2B">
                            <w:r w:rsidRPr="00017B2B">
                              <w:rPr>
                                <w:b/>
                                <w:bCs/>
                              </w:rPr>
                              <w:t>Point 2:</w:t>
                            </w:r>
                            <w:r w:rsidR="00B92FD6">
                              <w:rPr>
                                <w:b/>
                                <w:bCs/>
                              </w:rPr>
                              <w:t xml:space="preserve"> </w:t>
                            </w:r>
                            <w:r w:rsidR="00B92FD6">
                              <w:t>Margin of the group EBITDA, each segment’s contribution to earnings. The expectation of the margin growth. Key cost trends according to historic numbers (R&amp;D).</w:t>
                            </w:r>
                          </w:p>
                          <w:p w14:paraId="05E6C525" w14:textId="0D405B94" w:rsidR="007426A8" w:rsidRDefault="007426A8" w:rsidP="00017B2B">
                            <w:r>
                              <w:t xml:space="preserve">EBITDA makes up 17% of the 2027 forecasted revenue. With in this North America is expected to be a significant contributor to the EBITDA at 58%. NA also contributes 34% of the forecasted revenue. </w:t>
                            </w:r>
                          </w:p>
                          <w:p w14:paraId="0C4D499C" w14:textId="77777777" w:rsidR="009C1660" w:rsidRPr="00B92FD6" w:rsidRDefault="009C1660"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30"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">
                <v:textbox>
                  <w:txbxContent>
                    <w:p w14:paraId="182755EA" w14:textId="6746C723" w:rsidR="00017B2B" w:rsidRDefault="00017B2B" w:rsidP="00017B2B">
                      <w:r w:rsidRPr="00017B2B">
                        <w:rPr>
                          <w:b/>
                          <w:bCs/>
                        </w:rPr>
                        <w:t>Point 2:</w:t>
                      </w:r>
                      <w:r w:rsidR="00B92FD6">
                        <w:rPr>
                          <w:b/>
                          <w:bCs/>
                        </w:rPr>
                        <w:t xml:space="preserve"> </w:t>
                      </w:r>
                      <w:r w:rsidR="00B92FD6">
                        <w:t>Margin of the group EBITDA, each segment’s contribution to earnings. The expectation of the margin growth. Key cost trends according to historic numbers (R&amp;D).</w:t>
                      </w:r>
                    </w:p>
                    <w:p w14:paraId="05E6C525" w14:textId="0D405B94" w:rsidR="007426A8" w:rsidRDefault="007426A8" w:rsidP="00017B2B">
                      <w:r>
                        <w:t xml:space="preserve">EBITDA makes up 17% of the 2027 forecasted revenue. With in this North America is expected to be a significant contributor to the EBITDA at 58%. NA also contributes 34% of the forecasted revenue. </w:t>
                      </w:r>
                    </w:p>
                    <w:p w14:paraId="0C4D499C" w14:textId="77777777" w:rsidR="009C1660" w:rsidRPr="00B92FD6" w:rsidRDefault="009C1660" w:rsidP="00017B2B"/>
                  </w:txbxContent>
                </v:textbox>
                <w10:wrap type="square" anchorx="margin"/>
              </v:shape>
            </w:pict>
          </mc:Fallback>
        </mc:AlternateContent>
      </w:r>
      <w:r w:rsidR="00B92FD6">
        <w:rPr>
          <w:noProof/>
        </w:rPr>
        <mc:AlternateContent>
          <mc:Choice Requires="wps">
            <w:drawing>
              <wp:anchor distT="45720" distB="45720" distL="114300" distR="114300" simplePos="0" relativeHeight="251666432" behindDoc="0" locked="0" layoutInCell="1" allowOverlap="1" wp14:anchorId="773CC498" wp14:editId="354B3A65">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1B23DB5F" w14:textId="35D66B78" w:rsidR="00017B2B" w:rsidRDefault="00017B2B" w:rsidP="00017B2B">
                            <w:r w:rsidRPr="00017B2B">
                              <w:rPr>
                                <w:b/>
                                <w:bCs/>
                              </w:rPr>
                              <w:t>Point 3</w:t>
                            </w:r>
                            <w:r>
                              <w:rPr>
                                <w:b/>
                                <w:bCs/>
                              </w:rPr>
                              <w:t>:</w:t>
                            </w:r>
                            <w:r w:rsidR="00B92FD6">
                              <w:rPr>
                                <w:b/>
                                <w:bCs/>
                              </w:rPr>
                              <w:t xml:space="preserve"> </w:t>
                            </w:r>
                            <w:r w:rsidR="00B92FD6">
                              <w:t>EPS, FCFF and Capex forecasts. Any future developments, company’s key drug pipeline/development.</w:t>
                            </w:r>
                          </w:p>
                          <w:p w14:paraId="00DE76CD" w14:textId="48185F7B" w:rsidR="009C1660" w:rsidRDefault="0022212C" w:rsidP="00017B2B">
                            <w:r>
                              <w:t>Nike’s Capex forecasts a growth around ~25% however the FCFF shrunk by 25% over the same period. EPS also was estimated to reduce from 3.75 to 3.23. This is likely due to the forecasted growth in Capex</w:t>
                            </w:r>
                            <w:r w:rsidR="00370EED">
                              <w:t xml:space="preserve">, while a decrease in the Eps maybe expected this should be off set by the growth of the average share price. </w:t>
                            </w:r>
                          </w:p>
                          <w:p w14:paraId="28E5B5FC" w14:textId="4F28654A" w:rsidR="001D2BE3" w:rsidRDefault="001D2BE3" w:rsidP="00017B2B">
                            <w:r>
                              <w:t xml:space="preserve">My recommendation is to buy with the intention to hold for the long term.  </w:t>
                            </w:r>
                          </w:p>
                          <w:p w14:paraId="3BEE82FA" w14:textId="77777777" w:rsidR="001D2BE3" w:rsidRPr="00B92FD6" w:rsidRDefault="001D2BE3"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31"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">
                <v:textbox>
                  <w:txbxContent>
                    <w:p w14:paraId="1B23DB5F" w14:textId="35D66B78" w:rsidR="00017B2B" w:rsidRDefault="00017B2B" w:rsidP="00017B2B">
                      <w:r w:rsidRPr="00017B2B">
                        <w:rPr>
                          <w:b/>
                          <w:bCs/>
                        </w:rPr>
                        <w:t>Point 3</w:t>
                      </w:r>
                      <w:r>
                        <w:rPr>
                          <w:b/>
                          <w:bCs/>
                        </w:rPr>
                        <w:t>:</w:t>
                      </w:r>
                      <w:r w:rsidR="00B92FD6">
                        <w:rPr>
                          <w:b/>
                          <w:bCs/>
                        </w:rPr>
                        <w:t xml:space="preserve"> </w:t>
                      </w:r>
                      <w:r w:rsidR="00B92FD6">
                        <w:t>EPS, FCFF and Capex forecasts. Any future developments, company’s key drug pipeline/development.</w:t>
                      </w:r>
                    </w:p>
                    <w:p w14:paraId="00DE76CD" w14:textId="48185F7B" w:rsidR="009C1660" w:rsidRDefault="0022212C" w:rsidP="00017B2B">
                      <w:r>
                        <w:t>Nike’s Capex forecasts a growth around ~25% however the FCFF shrunk by 25% over the same period. EPS also was estimated to reduce from 3.75 to 3.23. This is likely due to the forecasted growth in Capex</w:t>
                      </w:r>
                      <w:r w:rsidR="00370EED">
                        <w:t xml:space="preserve">, while a decrease in the Eps maybe expected this should be off set by the growth of the average share price. </w:t>
                      </w:r>
                    </w:p>
                    <w:p w14:paraId="28E5B5FC" w14:textId="4F28654A" w:rsidR="001D2BE3" w:rsidRDefault="001D2BE3" w:rsidP="00017B2B">
                      <w:r>
                        <w:t xml:space="preserve">My recommendation is to buy with the intention to hold for the long term.  </w:t>
                      </w:r>
                    </w:p>
                    <w:p w14:paraId="3BEE82FA" w14:textId="77777777" w:rsidR="001D2BE3" w:rsidRPr="00B92FD6" w:rsidRDefault="001D2BE3" w:rsidP="00017B2B"/>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72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102A1"/>
    <w:rsid w:val="001D2BE3"/>
    <w:rsid w:val="00217736"/>
    <w:rsid w:val="0022212C"/>
    <w:rsid w:val="00277611"/>
    <w:rsid w:val="002F0499"/>
    <w:rsid w:val="00370EED"/>
    <w:rsid w:val="003F1B5C"/>
    <w:rsid w:val="00523D56"/>
    <w:rsid w:val="00571D49"/>
    <w:rsid w:val="005B6A90"/>
    <w:rsid w:val="006F64A7"/>
    <w:rsid w:val="007426A8"/>
    <w:rsid w:val="00910756"/>
    <w:rsid w:val="00917F79"/>
    <w:rsid w:val="009642FA"/>
    <w:rsid w:val="009758AA"/>
    <w:rsid w:val="009C1660"/>
    <w:rsid w:val="00A6150D"/>
    <w:rsid w:val="00AD1F8F"/>
    <w:rsid w:val="00B2118C"/>
    <w:rsid w:val="00B720B0"/>
    <w:rsid w:val="00B92FD6"/>
    <w:rsid w:val="00D67533"/>
    <w:rsid w:val="00F4210A"/>
    <w:rsid w:val="00F52E97"/>
    <w:rsid w:val="00FA0D50"/>
    <w:rsid w:val="00FB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F6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91534">
      <w:bodyDiv w:val="1"/>
      <w:marLeft w:val="0"/>
      <w:marRight w:val="0"/>
      <w:marTop w:val="0"/>
      <w:marBottom w:val="0"/>
      <w:divBdr>
        <w:top w:val="none" w:sz="0" w:space="0" w:color="auto"/>
        <w:left w:val="none" w:sz="0" w:space="0" w:color="auto"/>
        <w:bottom w:val="none" w:sz="0" w:space="0" w:color="auto"/>
        <w:right w:val="none" w:sz="0" w:space="0" w:color="auto"/>
      </w:divBdr>
    </w:div>
    <w:div w:id="17604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Average</a:t>
            </a:r>
            <a:r>
              <a:rPr lang="en-GB" baseline="0"/>
              <a:t> Growth %</a:t>
            </a:r>
            <a:endParaRPr lang="en-GB"/>
          </a:p>
        </c:rich>
      </c:tx>
      <c:layout>
        <c:manualLayout>
          <c:xMode val="edge"/>
          <c:yMode val="edge"/>
          <c:x val="0.30826771653543311"/>
          <c:y val="7.1839080459770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Avg Revenue Growth </c:v>
                </c:pt>
              </c:strCache>
            </c:strRef>
          </c:tx>
          <c:spPr>
            <a:solidFill>
              <a:schemeClr val="accent1"/>
            </a:solidFill>
            <a:ln>
              <a:noFill/>
            </a:ln>
            <a:effectLst/>
          </c:spPr>
          <c:invertIfNegative val="0"/>
          <c:cat>
            <c:strRef>
              <c:f>Sheet1!$A$2:$A$4</c:f>
              <c:strCache>
                <c:ptCount val="3"/>
                <c:pt idx="0">
                  <c:v>2015 -2019</c:v>
                </c:pt>
                <c:pt idx="1">
                  <c:v>2020 -2024</c:v>
                </c:pt>
                <c:pt idx="2">
                  <c:v>2024 -2027</c:v>
                </c:pt>
              </c:strCache>
            </c:strRef>
          </c:cat>
          <c:val>
            <c:numRef>
              <c:f>Sheet1!$B$2:$B$4</c:f>
              <c:numCache>
                <c:formatCode>General</c:formatCode>
                <c:ptCount val="3"/>
                <c:pt idx="0">
                  <c:v>6</c:v>
                </c:pt>
                <c:pt idx="1">
                  <c:v>6.1</c:v>
                </c:pt>
                <c:pt idx="2">
                  <c:v>3.2</c:v>
                </c:pt>
              </c:numCache>
            </c:numRef>
          </c:val>
          <c:extLst>
            <c:ext xmlns:c16="http://schemas.microsoft.com/office/drawing/2014/chart" uri="{C3380CC4-5D6E-409C-BE32-E72D297353CC}">
              <c16:uniqueId val="{00000000-3331-4255-8BED-4272E79B471D}"/>
            </c:ext>
          </c:extLst>
        </c:ser>
        <c:ser>
          <c:idx val="1"/>
          <c:order val="1"/>
          <c:tx>
            <c:strRef>
              <c:f>Sheet1!$C$1</c:f>
              <c:strCache>
                <c:ptCount val="1"/>
                <c:pt idx="0">
                  <c:v>EBIT Avg Growth</c:v>
                </c:pt>
              </c:strCache>
            </c:strRef>
          </c:tx>
          <c:spPr>
            <a:solidFill>
              <a:schemeClr val="accent2"/>
            </a:solidFill>
            <a:ln>
              <a:noFill/>
            </a:ln>
            <a:effectLst/>
          </c:spPr>
          <c:invertIfNegative val="0"/>
          <c:cat>
            <c:strRef>
              <c:f>Sheet1!$A$2:$A$4</c:f>
              <c:strCache>
                <c:ptCount val="3"/>
                <c:pt idx="0">
                  <c:v>2015 -2019</c:v>
                </c:pt>
                <c:pt idx="1">
                  <c:v>2020 -2024</c:v>
                </c:pt>
                <c:pt idx="2">
                  <c:v>2024 -2027</c:v>
                </c:pt>
              </c:strCache>
            </c:strRef>
          </c:cat>
          <c:val>
            <c:numRef>
              <c:f>Sheet1!$C$2:$C$4</c:f>
              <c:numCache>
                <c:formatCode>General</c:formatCode>
                <c:ptCount val="3"/>
                <c:pt idx="0">
                  <c:v>3.9</c:v>
                </c:pt>
                <c:pt idx="1">
                  <c:v>26.2</c:v>
                </c:pt>
                <c:pt idx="2">
                  <c:v>1.7</c:v>
                </c:pt>
              </c:numCache>
            </c:numRef>
          </c:val>
          <c:extLst>
            <c:ext xmlns:c16="http://schemas.microsoft.com/office/drawing/2014/chart" uri="{C3380CC4-5D6E-409C-BE32-E72D297353CC}">
              <c16:uniqueId val="{00000001-3331-4255-8BED-4272E79B471D}"/>
            </c:ext>
          </c:extLst>
        </c:ser>
        <c:dLbls>
          <c:showLegendKey val="0"/>
          <c:showVal val="0"/>
          <c:showCatName val="0"/>
          <c:showSerName val="0"/>
          <c:showPercent val="0"/>
          <c:showBubbleSize val="0"/>
        </c:dLbls>
        <c:gapWidth val="182"/>
        <c:axId val="471462224"/>
        <c:axId val="471463664"/>
      </c:barChart>
      <c:catAx>
        <c:axId val="471462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463664"/>
        <c:crosses val="autoZero"/>
        <c:auto val="1"/>
        <c:lblAlgn val="ctr"/>
        <c:lblOffset val="100"/>
        <c:noMultiLvlLbl val="0"/>
      </c:catAx>
      <c:valAx>
        <c:axId val="471463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46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2052</TotalTime>
  <Pages>2</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hardy ramsden</cp:lastModifiedBy>
  <cp:revision>11</cp:revision>
  <dcterms:created xsi:type="dcterms:W3CDTF">2020-08-04T09:51:00Z</dcterms:created>
  <dcterms:modified xsi:type="dcterms:W3CDTF">2024-08-31T08:12:00Z</dcterms:modified>
</cp:coreProperties>
</file>