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2607E" w14:textId="77777777" w:rsidR="008A7C5F" w:rsidRPr="00CE3097" w:rsidRDefault="008A7C5F" w:rsidP="008A7C5F">
      <w:pPr>
        <w:shd w:val="clear" w:color="auto" w:fill="FFFFFF"/>
        <w:spacing w:before="180" w:after="0" w:line="240" w:lineRule="auto"/>
        <w:outlineLvl w:val="1"/>
        <w:rPr>
          <w:rFonts w:ascii="Times New Roman" w:eastAsia="Times New Roman" w:hAnsi="Times New Roman" w:cs="Times New Roman"/>
          <w:b/>
          <w:bCs/>
          <w:color w:val="111111"/>
          <w:kern w:val="0"/>
          <w:sz w:val="32"/>
          <w:szCs w:val="32"/>
          <w:lang w:eastAsia="en-IN"/>
          <w14:ligatures w14:val="none"/>
        </w:rPr>
      </w:pPr>
      <w:r w:rsidRPr="00CE3097">
        <w:rPr>
          <w:rFonts w:ascii="Times New Roman" w:eastAsia="Times New Roman" w:hAnsi="Times New Roman" w:cs="Times New Roman"/>
          <w:b/>
          <w:bCs/>
          <w:color w:val="111111"/>
          <w:kern w:val="0"/>
          <w:sz w:val="32"/>
          <w:szCs w:val="32"/>
          <w:lang w:eastAsia="en-IN"/>
          <w14:ligatures w14:val="none"/>
        </w:rPr>
        <w:t>Marriott International, Inc. (MAR)</w:t>
      </w:r>
    </w:p>
    <w:p w14:paraId="0E6EEE79" w14:textId="77777777" w:rsidR="008A7C5F" w:rsidRDefault="008A7C5F" w:rsidP="00CE3097">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p>
    <w:p w14:paraId="40586649" w14:textId="6FB50432" w:rsidR="00CE3097" w:rsidRPr="00CE3097" w:rsidRDefault="00CE3097" w:rsidP="00CE3097">
      <w:pPr>
        <w:shd w:val="clear" w:color="auto" w:fill="FFFFFF"/>
        <w:spacing w:before="180" w:after="0" w:line="240" w:lineRule="auto"/>
        <w:outlineLvl w:val="1"/>
        <w:rPr>
          <w:rFonts w:ascii="Times New Roman" w:eastAsia="Times New Roman" w:hAnsi="Times New Roman" w:cs="Times New Roman"/>
          <w:b/>
          <w:bCs/>
          <w:color w:val="111111"/>
          <w:kern w:val="0"/>
          <w:sz w:val="28"/>
          <w:szCs w:val="28"/>
          <w:lang w:eastAsia="en-IN"/>
          <w14:ligatures w14:val="none"/>
        </w:rPr>
      </w:pPr>
      <w:r w:rsidRPr="00CE3097">
        <w:rPr>
          <w:rFonts w:ascii="Times New Roman" w:eastAsia="Times New Roman" w:hAnsi="Times New Roman" w:cs="Times New Roman"/>
          <w:b/>
          <w:bCs/>
          <w:color w:val="111111"/>
          <w:kern w:val="0"/>
          <w:sz w:val="28"/>
          <w:szCs w:val="28"/>
          <w:lang w:eastAsia="en-IN"/>
          <w14:ligatures w14:val="none"/>
        </w:rPr>
        <w:t>Revenue Drivers for Marriott International, Inc. (MAR)</w:t>
      </w:r>
    </w:p>
    <w:p w14:paraId="1A58E0D4" w14:textId="77777777" w:rsidR="00CE3097" w:rsidRPr="00CE3097" w:rsidRDefault="00CE3097" w:rsidP="00CE3097">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Based on the latest data and earnings call transcript, the key revenue drivers for Marriott International, Inc. are:</w:t>
      </w:r>
    </w:p>
    <w:p w14:paraId="5EB5E47A" w14:textId="77777777" w:rsidR="00CE3097" w:rsidRPr="00CE3097" w:rsidRDefault="00CE3097" w:rsidP="00CE3097">
      <w:pPr>
        <w:numPr>
          <w:ilvl w:val="0"/>
          <w:numId w:val="24"/>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RevPAR (Revenue per Available Room) Growth:</w:t>
      </w:r>
    </w:p>
    <w:p w14:paraId="4C78F217" w14:textId="36567C7E" w:rsidR="00114A88" w:rsidRDefault="009E2DF0" w:rsidP="00866875">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Pr>
          <w:rFonts w:ascii="Times New Roman" w:eastAsia="Times New Roman" w:hAnsi="Times New Roman" w:cs="Times New Roman"/>
          <w:color w:val="111111"/>
          <w:kern w:val="0"/>
          <w:sz w:val="24"/>
          <w:szCs w:val="24"/>
          <w:lang w:eastAsia="en-IN"/>
          <w14:ligatures w14:val="none"/>
        </w:rPr>
        <w:t xml:space="preserve">                         </w:t>
      </w:r>
      <w:r w:rsidR="00CE3097" w:rsidRPr="00CE3097">
        <w:rPr>
          <w:rFonts w:ascii="Times New Roman" w:eastAsia="Times New Roman" w:hAnsi="Times New Roman" w:cs="Times New Roman"/>
          <w:color w:val="111111"/>
          <w:kern w:val="0"/>
          <w:sz w:val="24"/>
          <w:szCs w:val="24"/>
          <w:lang w:eastAsia="en-IN"/>
          <w14:ligatures w14:val="none"/>
        </w:rPr>
        <w:t xml:space="preserve">Global </w:t>
      </w:r>
      <w:proofErr w:type="gramStart"/>
      <w:r w:rsidR="00CE3097" w:rsidRPr="00CE3097">
        <w:rPr>
          <w:rFonts w:ascii="Times New Roman" w:eastAsia="Times New Roman" w:hAnsi="Times New Roman" w:cs="Times New Roman"/>
          <w:color w:val="111111"/>
          <w:kern w:val="0"/>
          <w:sz w:val="24"/>
          <w:szCs w:val="24"/>
          <w:lang w:eastAsia="en-IN"/>
          <w14:ligatures w14:val="none"/>
        </w:rPr>
        <w:t>RevPAR :</w:t>
      </w:r>
      <w:proofErr w:type="gramEnd"/>
    </w:p>
    <w:p w14:paraId="071C238B" w14:textId="693B18D9" w:rsidR="0048139A" w:rsidRPr="009E2DF0" w:rsidRDefault="00866875" w:rsidP="009E2DF0">
      <w:pPr>
        <w:pStyle w:val="NoSpacing"/>
        <w:jc w:val="center"/>
        <w:rPr>
          <w:lang w:eastAsia="en-IN"/>
        </w:rPr>
      </w:pPr>
      <w:proofErr w:type="gramStart"/>
      <w:r w:rsidRPr="009E2DF0">
        <w:rPr>
          <w:lang w:eastAsia="en-IN"/>
        </w:rPr>
        <w:t>202</w:t>
      </w:r>
      <w:r w:rsidRPr="009E2DF0">
        <w:rPr>
          <w:lang w:eastAsia="en-IN"/>
        </w:rPr>
        <w:t>4:</w:t>
      </w:r>
      <w:r w:rsidR="00D1162D" w:rsidRPr="009E2DF0">
        <w:rPr>
          <w:lang w:eastAsia="en-IN"/>
        </w:rPr>
        <w:t>$</w:t>
      </w:r>
      <w:proofErr w:type="gramEnd"/>
      <w:r w:rsidR="00D1162D" w:rsidRPr="009E2DF0">
        <w:rPr>
          <w:lang w:eastAsia="en-IN"/>
        </w:rPr>
        <w:t>114.88, Growth: 5</w:t>
      </w:r>
      <w:r w:rsidR="00CD527E">
        <w:rPr>
          <w:lang w:eastAsia="en-IN"/>
        </w:rPr>
        <w:t>%</w:t>
      </w:r>
    </w:p>
    <w:p w14:paraId="7C8A2A52" w14:textId="2AA2D79C" w:rsidR="00FB6B64" w:rsidRPr="009E2DF0" w:rsidRDefault="00FB6B64" w:rsidP="009E2DF0">
      <w:pPr>
        <w:pStyle w:val="NoSpacing"/>
        <w:jc w:val="center"/>
        <w:rPr>
          <w:lang w:eastAsia="en-IN"/>
        </w:rPr>
      </w:pPr>
      <w:r w:rsidRPr="009E2DF0">
        <w:rPr>
          <w:lang w:eastAsia="en-IN"/>
        </w:rPr>
        <w:t>2023 Q4: $116.81, Growth: 27.9</w:t>
      </w:r>
    </w:p>
    <w:p w14:paraId="2212B173" w14:textId="1C598BB1" w:rsidR="0048139A" w:rsidRPr="009E2DF0" w:rsidRDefault="00FB6B64" w:rsidP="009E2DF0">
      <w:pPr>
        <w:pStyle w:val="NoSpacing"/>
        <w:jc w:val="center"/>
        <w:rPr>
          <w:lang w:eastAsia="en-IN"/>
        </w:rPr>
      </w:pPr>
      <w:r w:rsidRPr="009E2DF0">
        <w:rPr>
          <w:lang w:eastAsia="en-IN"/>
        </w:rPr>
        <w:t>2022: $91.3, Growth: 55.4%</w:t>
      </w:r>
    </w:p>
    <w:p w14:paraId="5447FA80" w14:textId="3250BFAC" w:rsidR="00FB6B64" w:rsidRPr="009E2DF0" w:rsidRDefault="00FB6B64" w:rsidP="009E2DF0">
      <w:pPr>
        <w:pStyle w:val="NoSpacing"/>
        <w:jc w:val="center"/>
        <w:rPr>
          <w:lang w:eastAsia="en-IN"/>
        </w:rPr>
      </w:pPr>
      <w:r w:rsidRPr="009E2DF0">
        <w:rPr>
          <w:lang w:eastAsia="en-IN"/>
        </w:rPr>
        <w:t>2021: $58.75, Growth: 41.53%</w:t>
      </w:r>
    </w:p>
    <w:p w14:paraId="6861D577" w14:textId="5ED5F011" w:rsidR="00FB6B64" w:rsidRPr="009E2DF0" w:rsidRDefault="00FB6B64" w:rsidP="009E2DF0">
      <w:pPr>
        <w:pStyle w:val="NoSpacing"/>
        <w:jc w:val="center"/>
        <w:rPr>
          <w:lang w:eastAsia="en-IN"/>
        </w:rPr>
      </w:pPr>
      <w:r w:rsidRPr="009E2DF0">
        <w:rPr>
          <w:lang w:eastAsia="en-IN"/>
        </w:rPr>
        <w:t>2020: $41.51, Growth: -62.77%</w:t>
      </w:r>
    </w:p>
    <w:p w14:paraId="0C4735B0" w14:textId="50679A0F" w:rsidR="00FB6B64" w:rsidRDefault="00FB6B64" w:rsidP="009E2DF0">
      <w:pPr>
        <w:pStyle w:val="NoSpacing"/>
        <w:jc w:val="center"/>
        <w:rPr>
          <w:lang w:eastAsia="en-IN"/>
        </w:rPr>
      </w:pPr>
      <w:r w:rsidRPr="009E2DF0">
        <w:rPr>
          <w:lang w:eastAsia="en-IN"/>
        </w:rPr>
        <w:t>2019: $111.51, Growth: -2.66%</w:t>
      </w:r>
    </w:p>
    <w:p w14:paraId="030B16C2" w14:textId="10E1FDCA" w:rsidR="00CE3097" w:rsidRPr="00CE3097" w:rsidRDefault="00C2371B" w:rsidP="00C2371B">
      <w:pPr>
        <w:pStyle w:val="NoSpacing"/>
        <w:rPr>
          <w:lang w:eastAsia="en-IN"/>
        </w:rPr>
      </w:pPr>
      <w:r w:rsidRPr="00C2371B">
        <w:rPr>
          <w:lang w:eastAsia="en-IN"/>
        </w:rPr>
        <w:t>Marriott's global RevPAR for Q4 2023 was $116.81, showing a significant growth of 27.94% compared to the previous year. For Q1 2024, the RevPAR slightly decreased to $114.88, with a growth rate of 5</w:t>
      </w:r>
      <w:r w:rsidR="00E2525E">
        <w:rPr>
          <w:lang w:eastAsia="en-IN"/>
        </w:rPr>
        <w:t>%</w:t>
      </w:r>
    </w:p>
    <w:p w14:paraId="28690682" w14:textId="77777777" w:rsidR="00CE3097" w:rsidRPr="00CE3097" w:rsidRDefault="00CE3097" w:rsidP="00CE3097">
      <w:pPr>
        <w:numPr>
          <w:ilvl w:val="1"/>
          <w:numId w:val="24"/>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International RevPAR: $116.81 with a growth of 27.94% for FY 2023.</w:t>
      </w:r>
    </w:p>
    <w:p w14:paraId="602B719B" w14:textId="63A7F081" w:rsidR="00CE3097" w:rsidRPr="00CE3097" w:rsidRDefault="00CE3097" w:rsidP="00CE3097">
      <w:pPr>
        <w:numPr>
          <w:ilvl w:val="0"/>
          <w:numId w:val="24"/>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Average Daily Rate (ADR):</w:t>
      </w:r>
      <w:r w:rsidR="00377C9B" w:rsidRPr="008B6A5C">
        <w:rPr>
          <w:rFonts w:ascii="Times New Roman" w:hAnsi="Times New Roman" w:cs="Times New Roman"/>
          <w:color w:val="101113"/>
          <w:sz w:val="24"/>
          <w:szCs w:val="24"/>
          <w:shd w:val="clear" w:color="auto" w:fill="F9F8F6"/>
        </w:rPr>
        <w:t xml:space="preserve"> </w:t>
      </w:r>
      <w:r w:rsidR="00377C9B" w:rsidRPr="008B6A5C">
        <w:rPr>
          <w:rFonts w:ascii="Times New Roman" w:eastAsia="Times New Roman" w:hAnsi="Times New Roman" w:cs="Times New Roman"/>
          <w:color w:val="111111"/>
          <w:kern w:val="0"/>
          <w:sz w:val="24"/>
          <w:szCs w:val="24"/>
          <w:lang w:eastAsia="en-IN"/>
          <w14:ligatures w14:val="none"/>
        </w:rPr>
        <w:t> is a key performance metric in the hospitality industry that represents the average rental income per paid occupied room in a given time period. It is calculated by dividing the total room revenue by the number of rooms sold.</w:t>
      </w:r>
    </w:p>
    <w:p w14:paraId="7DB232FA" w14:textId="77777777" w:rsidR="00CE3097" w:rsidRDefault="00CE3097" w:rsidP="00CE3097">
      <w:pPr>
        <w:numPr>
          <w:ilvl w:val="1"/>
          <w:numId w:val="24"/>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Increase in ADR by around 3% in Q2 2024.</w:t>
      </w:r>
    </w:p>
    <w:p w14:paraId="110AE0C0" w14:textId="1C08A664" w:rsidR="00CD527E" w:rsidRPr="00CD527E" w:rsidRDefault="00CD527E" w:rsidP="00CD527E">
      <w:pPr>
        <w:pStyle w:val="NoSpacing"/>
        <w:jc w:val="center"/>
        <w:rPr>
          <w:lang w:eastAsia="en-IN"/>
        </w:rPr>
      </w:pPr>
      <w:r w:rsidRPr="00CD527E">
        <w:rPr>
          <w:lang w:eastAsia="en-IN"/>
        </w:rPr>
        <w:t xml:space="preserve">2024 Q1: $174.24, Growth: </w:t>
      </w:r>
      <w:r>
        <w:rPr>
          <w:lang w:eastAsia="en-IN"/>
        </w:rPr>
        <w:t>3%</w:t>
      </w:r>
    </w:p>
    <w:p w14:paraId="2B9BA582" w14:textId="77777777" w:rsidR="00CD527E" w:rsidRPr="00CD527E" w:rsidRDefault="00CD527E" w:rsidP="00CD527E">
      <w:pPr>
        <w:pStyle w:val="NoSpacing"/>
        <w:jc w:val="center"/>
        <w:rPr>
          <w:lang w:eastAsia="en-IN"/>
        </w:rPr>
      </w:pPr>
      <w:r w:rsidRPr="00CD527E">
        <w:rPr>
          <w:lang w:eastAsia="en-IN"/>
        </w:rPr>
        <w:t>2023: $172.05, Growth: 7.39%</w:t>
      </w:r>
    </w:p>
    <w:p w14:paraId="0D294000" w14:textId="77777777" w:rsidR="00CD527E" w:rsidRPr="00CD527E" w:rsidRDefault="00CD527E" w:rsidP="00CD527E">
      <w:pPr>
        <w:pStyle w:val="NoSpacing"/>
        <w:jc w:val="center"/>
        <w:rPr>
          <w:lang w:eastAsia="en-IN"/>
        </w:rPr>
      </w:pPr>
      <w:r w:rsidRPr="00CD527E">
        <w:rPr>
          <w:lang w:eastAsia="en-IN"/>
        </w:rPr>
        <w:t>2022: $160.21, Growth: 15.5%</w:t>
      </w:r>
    </w:p>
    <w:p w14:paraId="0288F654" w14:textId="77777777" w:rsidR="00CD527E" w:rsidRPr="00CD527E" w:rsidRDefault="00CD527E" w:rsidP="00CD527E">
      <w:pPr>
        <w:pStyle w:val="NoSpacing"/>
        <w:jc w:val="center"/>
        <w:rPr>
          <w:lang w:eastAsia="en-IN"/>
        </w:rPr>
      </w:pPr>
      <w:r w:rsidRPr="00CD527E">
        <w:rPr>
          <w:lang w:eastAsia="en-IN"/>
        </w:rPr>
        <w:t>2021: $138.71, Growth: 5.38%</w:t>
      </w:r>
    </w:p>
    <w:p w14:paraId="5B5E9C14" w14:textId="77777777" w:rsidR="00CD527E" w:rsidRPr="00CD527E" w:rsidRDefault="00CD527E" w:rsidP="00CD527E">
      <w:pPr>
        <w:pStyle w:val="NoSpacing"/>
        <w:jc w:val="center"/>
        <w:rPr>
          <w:lang w:eastAsia="en-IN"/>
        </w:rPr>
      </w:pPr>
      <w:r w:rsidRPr="00CD527E">
        <w:rPr>
          <w:lang w:eastAsia="en-IN"/>
        </w:rPr>
        <w:t>2020: $131.63, Growth: -16.32%</w:t>
      </w:r>
    </w:p>
    <w:p w14:paraId="57968182" w14:textId="77777777" w:rsidR="00CD527E" w:rsidRDefault="00CD527E" w:rsidP="00CD527E">
      <w:pPr>
        <w:pStyle w:val="NoSpacing"/>
        <w:jc w:val="center"/>
        <w:rPr>
          <w:lang w:eastAsia="en-IN"/>
        </w:rPr>
      </w:pPr>
      <w:r w:rsidRPr="00CD527E">
        <w:rPr>
          <w:lang w:eastAsia="en-IN"/>
        </w:rPr>
        <w:t>2019: $157.31, Growth: -2.58%</w:t>
      </w:r>
    </w:p>
    <w:p w14:paraId="0D5B6A31" w14:textId="77777777" w:rsidR="00E2525E" w:rsidRPr="00CD527E" w:rsidRDefault="00E2525E" w:rsidP="00CD527E">
      <w:pPr>
        <w:pStyle w:val="NoSpacing"/>
        <w:jc w:val="center"/>
        <w:rPr>
          <w:lang w:eastAsia="en-IN"/>
        </w:rPr>
      </w:pPr>
    </w:p>
    <w:p w14:paraId="7EC28374" w14:textId="1C188549" w:rsidR="00577B47" w:rsidRDefault="00577B47" w:rsidP="00577B47">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577B47">
        <w:rPr>
          <w:rFonts w:ascii="Times New Roman" w:eastAsia="Times New Roman" w:hAnsi="Times New Roman" w:cs="Times New Roman"/>
          <w:color w:val="111111"/>
          <w:kern w:val="0"/>
          <w:sz w:val="24"/>
          <w:szCs w:val="24"/>
          <w:lang w:eastAsia="en-IN"/>
          <w14:ligatures w14:val="none"/>
        </w:rPr>
        <w:t xml:space="preserve">Marriott's global ADR for Q4 2023 was $172.05, with a growth of 7.39%. For Q1 2024, the ADR increased to $174.24, with a growth rate of </w:t>
      </w:r>
      <w:r w:rsidR="00231232">
        <w:rPr>
          <w:rFonts w:ascii="Times New Roman" w:eastAsia="Times New Roman" w:hAnsi="Times New Roman" w:cs="Times New Roman"/>
          <w:color w:val="111111"/>
          <w:kern w:val="0"/>
          <w:sz w:val="24"/>
          <w:szCs w:val="24"/>
          <w:lang w:eastAsia="en-IN"/>
          <w14:ligatures w14:val="none"/>
        </w:rPr>
        <w:t>3</w:t>
      </w:r>
      <w:r w:rsidRPr="00577B47">
        <w:rPr>
          <w:rFonts w:ascii="Times New Roman" w:eastAsia="Times New Roman" w:hAnsi="Times New Roman" w:cs="Times New Roman"/>
          <w:color w:val="111111"/>
          <w:kern w:val="0"/>
          <w:sz w:val="24"/>
          <w:szCs w:val="24"/>
          <w:lang w:eastAsia="en-IN"/>
          <w14:ligatures w14:val="none"/>
        </w:rPr>
        <w:t>%.</w:t>
      </w:r>
    </w:p>
    <w:p w14:paraId="0AFA33DA" w14:textId="1B18F8DD" w:rsidR="00231232" w:rsidRPr="00577B47" w:rsidRDefault="00231232" w:rsidP="00577B47">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Pr>
          <w:rFonts w:ascii="Times New Roman" w:eastAsia="Times New Roman" w:hAnsi="Times New Roman" w:cs="Times New Roman"/>
          <w:noProof/>
          <w:color w:val="111111"/>
          <w:kern w:val="0"/>
          <w:sz w:val="24"/>
          <w:szCs w:val="24"/>
          <w:lang w:eastAsia="en-IN"/>
        </w:rPr>
        <w:drawing>
          <wp:inline distT="0" distB="0" distL="0" distR="0" wp14:anchorId="280FFB25" wp14:editId="777C6E18">
            <wp:extent cx="5037667" cy="1919605"/>
            <wp:effectExtent l="0" t="0" r="0" b="4445"/>
            <wp:docPr id="14476165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16538" name="Picture 1447616538"/>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77278" cy="1934699"/>
                    </a:xfrm>
                    <a:prstGeom prst="rect">
                      <a:avLst/>
                    </a:prstGeom>
                  </pic:spPr>
                </pic:pic>
              </a:graphicData>
            </a:graphic>
          </wp:inline>
        </w:drawing>
      </w:r>
    </w:p>
    <w:p w14:paraId="6556C0F8" w14:textId="77777777" w:rsidR="00CD527E" w:rsidRPr="00CE3097" w:rsidRDefault="00CD527E" w:rsidP="00E2525E">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p>
    <w:p w14:paraId="385AA1B3" w14:textId="77777777" w:rsidR="00CE3097" w:rsidRPr="00CE3097" w:rsidRDefault="00CE3097" w:rsidP="00CE3097">
      <w:pPr>
        <w:numPr>
          <w:ilvl w:val="0"/>
          <w:numId w:val="24"/>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Occupancy Rates:</w:t>
      </w:r>
    </w:p>
    <w:p w14:paraId="07FA13B1" w14:textId="77777777" w:rsidR="00CE3097" w:rsidRPr="00CE3097" w:rsidRDefault="00CE3097" w:rsidP="00CE3097">
      <w:pPr>
        <w:numPr>
          <w:ilvl w:val="1"/>
          <w:numId w:val="24"/>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Increase in occupancy by about 150 basis points in Q2 2024.</w:t>
      </w:r>
    </w:p>
    <w:p w14:paraId="1FD2219A" w14:textId="77777777" w:rsidR="00CE3097" w:rsidRPr="00CE3097" w:rsidRDefault="00CE3097" w:rsidP="00CE3097">
      <w:pPr>
        <w:numPr>
          <w:ilvl w:val="1"/>
          <w:numId w:val="24"/>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US &amp; Canada Occupancy: 69.8% with a growth of 4.18% for FY 2023.</w:t>
      </w:r>
    </w:p>
    <w:p w14:paraId="5B5FE28A" w14:textId="77777777" w:rsidR="00CE3097" w:rsidRDefault="00CE3097" w:rsidP="00CE3097">
      <w:pPr>
        <w:numPr>
          <w:ilvl w:val="1"/>
          <w:numId w:val="24"/>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International Occupancy: 67.9% with a growth of 19.12% for FY 2023.</w:t>
      </w:r>
    </w:p>
    <w:p w14:paraId="2FE08703" w14:textId="6B8BA4CE" w:rsidR="00837DCF" w:rsidRPr="00CE3097" w:rsidRDefault="0099044B" w:rsidP="00837DCF">
      <w:pPr>
        <w:shd w:val="clear" w:color="auto" w:fill="FFFFFF"/>
        <w:spacing w:before="180" w:after="0" w:line="240" w:lineRule="auto"/>
        <w:ind w:left="1080"/>
        <w:outlineLvl w:val="1"/>
        <w:rPr>
          <w:rFonts w:ascii="Times New Roman" w:eastAsia="Times New Roman" w:hAnsi="Times New Roman" w:cs="Times New Roman"/>
          <w:color w:val="111111"/>
          <w:kern w:val="0"/>
          <w:sz w:val="24"/>
          <w:szCs w:val="24"/>
          <w:lang w:eastAsia="en-IN"/>
          <w14:ligatures w14:val="none"/>
        </w:rPr>
      </w:pPr>
      <w:r>
        <w:rPr>
          <w:rFonts w:ascii="Times New Roman" w:eastAsia="Times New Roman" w:hAnsi="Times New Roman" w:cs="Times New Roman"/>
          <w:noProof/>
          <w:color w:val="111111"/>
          <w:kern w:val="0"/>
          <w:sz w:val="24"/>
          <w:szCs w:val="24"/>
          <w:lang w:eastAsia="en-IN"/>
        </w:rPr>
        <w:drawing>
          <wp:inline distT="0" distB="0" distL="0" distR="0" wp14:anchorId="673E63E7" wp14:editId="0D8B09A8">
            <wp:extent cx="3996267" cy="2832276"/>
            <wp:effectExtent l="0" t="0" r="4445" b="6350"/>
            <wp:docPr id="17871050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105016" name="Picture 17871050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97578" cy="2833205"/>
                    </a:xfrm>
                    <a:prstGeom prst="rect">
                      <a:avLst/>
                    </a:prstGeom>
                  </pic:spPr>
                </pic:pic>
              </a:graphicData>
            </a:graphic>
          </wp:inline>
        </w:drawing>
      </w:r>
    </w:p>
    <w:p w14:paraId="0882C0EC" w14:textId="77777777" w:rsidR="00CE3097" w:rsidRPr="00CE3097" w:rsidRDefault="00CE3097" w:rsidP="00CE3097">
      <w:pPr>
        <w:numPr>
          <w:ilvl w:val="0"/>
          <w:numId w:val="24"/>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Customer Segments:</w:t>
      </w:r>
    </w:p>
    <w:p w14:paraId="1B2FC9B8" w14:textId="77777777" w:rsidR="00CE3097" w:rsidRPr="00CE3097" w:rsidRDefault="00CE3097" w:rsidP="00CE3097">
      <w:pPr>
        <w:numPr>
          <w:ilvl w:val="1"/>
          <w:numId w:val="24"/>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Robust growth in group, business transient, and leisure transient segments.</w:t>
      </w:r>
    </w:p>
    <w:p w14:paraId="135A633A" w14:textId="77777777" w:rsidR="00CE3097" w:rsidRPr="00CE3097" w:rsidRDefault="00CE3097" w:rsidP="00CE3097">
      <w:pPr>
        <w:numPr>
          <w:ilvl w:val="0"/>
          <w:numId w:val="24"/>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Loyalty Program:</w:t>
      </w:r>
    </w:p>
    <w:p w14:paraId="0D9D5136" w14:textId="77777777" w:rsidR="00CE3097" w:rsidRPr="00CE3097" w:rsidRDefault="00CE3097" w:rsidP="00CE3097">
      <w:pPr>
        <w:numPr>
          <w:ilvl w:val="1"/>
          <w:numId w:val="24"/>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Continued growth in Marriott Bonvoy loyalty program membership and penetration.</w:t>
      </w:r>
    </w:p>
    <w:p w14:paraId="67412D60" w14:textId="77777777" w:rsidR="00CE3097" w:rsidRPr="00CE3097" w:rsidRDefault="00CE3097" w:rsidP="00CE3097">
      <w:pPr>
        <w:numPr>
          <w:ilvl w:val="0"/>
          <w:numId w:val="24"/>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Global Portfolio Expansion:</w:t>
      </w:r>
    </w:p>
    <w:p w14:paraId="4A76B4E2" w14:textId="77777777" w:rsidR="00CE3097" w:rsidRPr="00CE3097" w:rsidRDefault="00CE3097" w:rsidP="00CE3097">
      <w:pPr>
        <w:numPr>
          <w:ilvl w:val="1"/>
          <w:numId w:val="24"/>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6% year-over-year net rooms growth.</w:t>
      </w:r>
    </w:p>
    <w:p w14:paraId="4706295A" w14:textId="77777777" w:rsidR="00CE3097" w:rsidRPr="00CE3097" w:rsidRDefault="00CE3097" w:rsidP="00CE3097">
      <w:pPr>
        <w:numPr>
          <w:ilvl w:val="1"/>
          <w:numId w:val="24"/>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Strength in conversions, representing 37% of openings and 32% of signings.</w:t>
      </w:r>
    </w:p>
    <w:p w14:paraId="526D4713" w14:textId="77777777" w:rsidR="00CE3097" w:rsidRPr="00CE3097" w:rsidRDefault="00CE3097" w:rsidP="00CE3097">
      <w:pPr>
        <w:shd w:val="clear" w:color="auto" w:fill="FFFFFF"/>
        <w:spacing w:before="180" w:after="0" w:line="240" w:lineRule="auto"/>
        <w:outlineLvl w:val="1"/>
        <w:rPr>
          <w:rFonts w:ascii="Times New Roman" w:eastAsia="Times New Roman" w:hAnsi="Times New Roman" w:cs="Times New Roman"/>
          <w:b/>
          <w:bCs/>
          <w:color w:val="111111"/>
          <w:kern w:val="0"/>
          <w:sz w:val="24"/>
          <w:szCs w:val="24"/>
          <w:lang w:eastAsia="en-IN"/>
          <w14:ligatures w14:val="none"/>
        </w:rPr>
      </w:pPr>
      <w:r w:rsidRPr="00CE3097">
        <w:rPr>
          <w:rFonts w:ascii="Times New Roman" w:eastAsia="Times New Roman" w:hAnsi="Times New Roman" w:cs="Times New Roman"/>
          <w:b/>
          <w:bCs/>
          <w:color w:val="111111"/>
          <w:kern w:val="0"/>
          <w:sz w:val="24"/>
          <w:szCs w:val="24"/>
          <w:lang w:eastAsia="en-IN"/>
          <w14:ligatures w14:val="none"/>
        </w:rPr>
        <w:t>Impact of Price and Volume Data on Revenue Growth</w:t>
      </w:r>
    </w:p>
    <w:p w14:paraId="454C7486" w14:textId="77777777" w:rsidR="00CE3097" w:rsidRPr="00CE3097" w:rsidRDefault="00CE3097" w:rsidP="00CE3097">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1. Price (Average Daily Rate - ADR):</w:t>
      </w:r>
    </w:p>
    <w:p w14:paraId="211F239B" w14:textId="77777777" w:rsidR="00CE3097" w:rsidRPr="00CE3097" w:rsidRDefault="00CE3097" w:rsidP="00CE3097">
      <w:pPr>
        <w:numPr>
          <w:ilvl w:val="0"/>
          <w:numId w:val="25"/>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Impact on Revenue Growth: An increase in ADR directly boosts revenue as it represents the average price paid per room. Higher ADR indicates that Marriott can charge more for its rooms, which can be due to higher demand, improved service offerings, or market positioning.</w:t>
      </w:r>
    </w:p>
    <w:p w14:paraId="42A5AC81" w14:textId="77777777" w:rsidR="00CE3097" w:rsidRPr="00CE3097" w:rsidRDefault="00CE3097" w:rsidP="00CE3097">
      <w:pPr>
        <w:numPr>
          <w:ilvl w:val="0"/>
          <w:numId w:val="25"/>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Q2 2024 Data: ADR increased by around 3%, contributing to overall revenue growth.</w:t>
      </w:r>
    </w:p>
    <w:p w14:paraId="68D7975E" w14:textId="77777777" w:rsidR="00CE3097" w:rsidRPr="00CE3097" w:rsidRDefault="00CE3097" w:rsidP="00CE3097">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2. Volume (Occupancy Rates and Number of Rooms):</w:t>
      </w:r>
    </w:p>
    <w:p w14:paraId="31D6EE6E" w14:textId="77777777" w:rsidR="00CE3097" w:rsidRPr="00CE3097" w:rsidRDefault="00CE3097" w:rsidP="00CE3097">
      <w:pPr>
        <w:numPr>
          <w:ilvl w:val="0"/>
          <w:numId w:val="26"/>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Occupancy Rates:</w:t>
      </w:r>
    </w:p>
    <w:p w14:paraId="1D85C06A" w14:textId="77777777" w:rsidR="00CE3097" w:rsidRPr="00CE3097" w:rsidRDefault="00CE3097" w:rsidP="00CE3097">
      <w:pPr>
        <w:numPr>
          <w:ilvl w:val="1"/>
          <w:numId w:val="26"/>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lastRenderedPageBreak/>
        <w:t>Impact on Revenue Growth: Higher occupancy rates mean more rooms are being sold, which increases total revenue. Occupancy rates reflect the percentage of available rooms that are occupied over a given period.</w:t>
      </w:r>
    </w:p>
    <w:p w14:paraId="2F335CCE" w14:textId="77777777" w:rsidR="00CE3097" w:rsidRPr="00CE3097" w:rsidRDefault="00CE3097" w:rsidP="00CE3097">
      <w:pPr>
        <w:numPr>
          <w:ilvl w:val="1"/>
          <w:numId w:val="26"/>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Q2 2024 Data: Occupancy increased by about 150 basis points, indicating more rooms were occupied, thus driving revenue growth.</w:t>
      </w:r>
    </w:p>
    <w:p w14:paraId="607C0A73" w14:textId="77777777" w:rsidR="00CE3097" w:rsidRPr="00CE3097" w:rsidRDefault="00CE3097" w:rsidP="00CE3097">
      <w:pPr>
        <w:numPr>
          <w:ilvl w:val="0"/>
          <w:numId w:val="26"/>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Number of Rooms:</w:t>
      </w:r>
    </w:p>
    <w:p w14:paraId="11A9BFC9" w14:textId="77777777" w:rsidR="00CE3097" w:rsidRPr="00CE3097" w:rsidRDefault="00CE3097" w:rsidP="00CE3097">
      <w:pPr>
        <w:numPr>
          <w:ilvl w:val="1"/>
          <w:numId w:val="26"/>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Impact on Revenue Growth: Expanding the number of rooms available (through new hotel openings or acquisitions) increases the potential revenue base. More rooms mean more opportunities to generate revenue.</w:t>
      </w:r>
    </w:p>
    <w:p w14:paraId="382F4BF9" w14:textId="77777777" w:rsidR="00CE3097" w:rsidRPr="00CE3097" w:rsidRDefault="00CE3097" w:rsidP="00CE3097">
      <w:pPr>
        <w:numPr>
          <w:ilvl w:val="1"/>
          <w:numId w:val="26"/>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Global Portfolio Expansion: 6% year-over-year net rooms growth, contributing to increased revenue potential.</w:t>
      </w:r>
    </w:p>
    <w:p w14:paraId="09827404" w14:textId="77777777" w:rsidR="00CE3097" w:rsidRPr="00CE3097" w:rsidRDefault="00CE3097" w:rsidP="00CE3097">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Summary of Revenue Drivers and Their Impact</w:t>
      </w:r>
    </w:p>
    <w:p w14:paraId="6CA967C9" w14:textId="77777777" w:rsidR="00CE3097" w:rsidRPr="00CE3097" w:rsidRDefault="00CE3097" w:rsidP="00CE3097">
      <w:pPr>
        <w:numPr>
          <w:ilvl w:val="0"/>
          <w:numId w:val="27"/>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RevPAR Growth: Combines both price (ADR) and volume (occupancy rates) to provide a comprehensive measure of revenue performance per available room. An increase in RevPAR indicates that Marriott is effectively managing both pricing and occupancy to maximize revenue.</w:t>
      </w:r>
    </w:p>
    <w:p w14:paraId="39FF7BE9" w14:textId="77777777" w:rsidR="00CE3097" w:rsidRPr="00CE3097" w:rsidRDefault="00CE3097" w:rsidP="00CE3097">
      <w:pPr>
        <w:numPr>
          <w:ilvl w:val="0"/>
          <w:numId w:val="27"/>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ADR (Price): Directly increases revenue by raising the average price per room.</w:t>
      </w:r>
    </w:p>
    <w:p w14:paraId="19417715" w14:textId="77777777" w:rsidR="00CE3097" w:rsidRPr="00CE3097" w:rsidRDefault="00CE3097" w:rsidP="00CE3097">
      <w:pPr>
        <w:numPr>
          <w:ilvl w:val="0"/>
          <w:numId w:val="27"/>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Occupancy Rates (Volume): Increases revenue by selling more rooms.</w:t>
      </w:r>
    </w:p>
    <w:p w14:paraId="7F822782" w14:textId="77777777" w:rsidR="00CE3097" w:rsidRPr="00CE3097" w:rsidRDefault="00CE3097" w:rsidP="00CE3097">
      <w:pPr>
        <w:numPr>
          <w:ilvl w:val="0"/>
          <w:numId w:val="27"/>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Customer Segments: Growth in specific segments (group, business transient, leisure transient) indicates diversified revenue streams and resilience across different market conditions.</w:t>
      </w:r>
    </w:p>
    <w:p w14:paraId="3F329FFC" w14:textId="77777777" w:rsidR="00CE3097" w:rsidRPr="00CE3097" w:rsidRDefault="00CE3097" w:rsidP="00CE3097">
      <w:pPr>
        <w:numPr>
          <w:ilvl w:val="0"/>
          <w:numId w:val="27"/>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Loyalty Program: Enhances customer retention and repeat business, contributing to stable and growing revenue.</w:t>
      </w:r>
    </w:p>
    <w:p w14:paraId="143066D5" w14:textId="77777777" w:rsidR="00CE3097" w:rsidRPr="00CE3097" w:rsidRDefault="00CE3097" w:rsidP="00CE3097">
      <w:pPr>
        <w:numPr>
          <w:ilvl w:val="0"/>
          <w:numId w:val="27"/>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Global Portfolio Expansion: Increases the number of rooms available for sale, thus expanding the revenue base.</w:t>
      </w:r>
    </w:p>
    <w:p w14:paraId="4B7DE433" w14:textId="4F7AE38A" w:rsidR="00CE3097" w:rsidRPr="00CE3097" w:rsidRDefault="00CE3097" w:rsidP="00CE3097">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CE3097">
        <w:rPr>
          <w:rFonts w:ascii="Times New Roman" w:eastAsia="Times New Roman" w:hAnsi="Times New Roman" w:cs="Times New Roman"/>
          <w:color w:val="111111"/>
          <w:kern w:val="0"/>
          <w:sz w:val="24"/>
          <w:szCs w:val="24"/>
          <w:lang w:eastAsia="en-IN"/>
          <w14:ligatures w14:val="none"/>
        </w:rPr>
        <w:t>Marriott International, Inc.'s revenue growth is driven by a combination of price (ADR) and volume (occupancy rates and number of rooms). The company's strategic focus on expanding its global portfolio, enhancing its loyalty program, and targeting diverse customer segments has enabled it to effectively leverage both price and volume to drive revenue growth. The positive trends in RevPAR, ADR, and occupancy rates highlight Marriott's ability to optimize its pricing strategy and maximize room utilization, contributing to its overall financial performance.</w:t>
      </w:r>
    </w:p>
    <w:p w14:paraId="2191E71A" w14:textId="77777777" w:rsidR="004C0421" w:rsidRDefault="004C0421"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p>
    <w:p w14:paraId="75C17DB9" w14:textId="77777777" w:rsidR="00822FC9" w:rsidRDefault="00822FC9"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p>
    <w:p w14:paraId="169D3BCB" w14:textId="77777777" w:rsidR="00822FC9" w:rsidRDefault="00822FC9"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p>
    <w:p w14:paraId="4F926E5C" w14:textId="77777777" w:rsidR="00700EC2" w:rsidRDefault="00700EC2"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p>
    <w:p w14:paraId="118015DB" w14:textId="77777777" w:rsidR="00700EC2" w:rsidRDefault="00700EC2"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p>
    <w:p w14:paraId="55A6C676" w14:textId="77777777" w:rsidR="004C0421" w:rsidRDefault="004C0421"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p>
    <w:p w14:paraId="47118DB6" w14:textId="78C8EEC0"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b/>
          <w:bCs/>
          <w:color w:val="111111"/>
          <w:kern w:val="0"/>
          <w:sz w:val="28"/>
          <w:szCs w:val="28"/>
          <w:lang w:eastAsia="en-IN"/>
          <w14:ligatures w14:val="none"/>
        </w:rPr>
      </w:pPr>
      <w:r w:rsidRPr="00AC42CF">
        <w:rPr>
          <w:rFonts w:ascii="Times New Roman" w:eastAsia="Times New Roman" w:hAnsi="Times New Roman" w:cs="Times New Roman"/>
          <w:b/>
          <w:bCs/>
          <w:color w:val="111111"/>
          <w:kern w:val="0"/>
          <w:sz w:val="28"/>
          <w:szCs w:val="28"/>
          <w:lang w:eastAsia="en-IN"/>
          <w14:ligatures w14:val="none"/>
        </w:rPr>
        <w:lastRenderedPageBreak/>
        <w:t xml:space="preserve">Cost Drivers for Marriott International, Inc. (MAR) </w:t>
      </w:r>
    </w:p>
    <w:p w14:paraId="077651B1"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Based on the latest data and earnings call transcript, here are the key cost drivers for Marriott International, Inc., along with their correlation with revenue:</w:t>
      </w:r>
    </w:p>
    <w:p w14:paraId="6128AD38"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1. Cost of Goods Sold (COGS)</w:t>
      </w:r>
    </w:p>
    <w:p w14:paraId="708A26D7" w14:textId="77777777" w:rsidR="00AC42CF" w:rsidRPr="00AC42CF" w:rsidRDefault="00AC42CF" w:rsidP="00AC42CF">
      <w:pPr>
        <w:numPr>
          <w:ilvl w:val="0"/>
          <w:numId w:val="28"/>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Nature: Variable</w:t>
      </w:r>
    </w:p>
    <w:p w14:paraId="7F00FCB7" w14:textId="77777777" w:rsidR="00AC42CF" w:rsidRPr="00AC42CF" w:rsidRDefault="00AC42CF" w:rsidP="00AC42CF">
      <w:pPr>
        <w:numPr>
          <w:ilvl w:val="0"/>
          <w:numId w:val="28"/>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Correlation with Revenue: High</w:t>
      </w:r>
    </w:p>
    <w:p w14:paraId="63EBE6FF" w14:textId="77777777" w:rsidR="00AC42CF" w:rsidRPr="00AC42CF" w:rsidRDefault="00AC42CF" w:rsidP="00AC42CF">
      <w:pPr>
        <w:numPr>
          <w:ilvl w:val="0"/>
          <w:numId w:val="28"/>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Details: COGS includes expenses directly related to providing hotel services, such as housekeeping, utilities, and guest amenities. These costs increase with higher occupancy rates and room sales.</w:t>
      </w:r>
    </w:p>
    <w:p w14:paraId="6C09C1D7" w14:textId="77777777" w:rsidR="00AC42CF" w:rsidRPr="00AC42CF" w:rsidRDefault="00AC42CF" w:rsidP="00AC42CF">
      <w:pPr>
        <w:numPr>
          <w:ilvl w:val="0"/>
          <w:numId w:val="28"/>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Recent Data:</w:t>
      </w:r>
    </w:p>
    <w:p w14:paraId="4D5E42F3" w14:textId="77777777" w:rsidR="00AC42CF" w:rsidRPr="00AC42CF" w:rsidRDefault="00AC42CF" w:rsidP="00AC42CF">
      <w:pPr>
        <w:numPr>
          <w:ilvl w:val="1"/>
          <w:numId w:val="28"/>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Annual Data:</w:t>
      </w:r>
    </w:p>
    <w:p w14:paraId="343B4935" w14:textId="77777777" w:rsidR="00AC42CF" w:rsidRPr="00AC42CF" w:rsidRDefault="00AC42CF" w:rsidP="00AC42CF">
      <w:pPr>
        <w:numPr>
          <w:ilvl w:val="2"/>
          <w:numId w:val="28"/>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2023: $1,165M (Growth: 8.47%)</w:t>
      </w:r>
    </w:p>
    <w:p w14:paraId="6174436E" w14:textId="77777777" w:rsidR="00AC42CF" w:rsidRPr="00AC42CF" w:rsidRDefault="00AC42CF" w:rsidP="00AC42CF">
      <w:pPr>
        <w:numPr>
          <w:ilvl w:val="2"/>
          <w:numId w:val="28"/>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2022: $1,074M (Growth: 46.32%)</w:t>
      </w:r>
    </w:p>
    <w:p w14:paraId="444BB03F" w14:textId="77777777" w:rsidR="00AC42CF" w:rsidRPr="00AC42CF" w:rsidRDefault="00AC42CF" w:rsidP="00AC42CF">
      <w:pPr>
        <w:numPr>
          <w:ilvl w:val="2"/>
          <w:numId w:val="28"/>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2021: $734M (Growth: 8.42%)</w:t>
      </w:r>
    </w:p>
    <w:p w14:paraId="26B54033" w14:textId="77777777" w:rsidR="00AC42CF" w:rsidRPr="00AC42CF" w:rsidRDefault="00AC42CF" w:rsidP="00AC42CF">
      <w:pPr>
        <w:numPr>
          <w:ilvl w:val="1"/>
          <w:numId w:val="28"/>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Quarterly Data:</w:t>
      </w:r>
    </w:p>
    <w:p w14:paraId="126C99CE" w14:textId="77777777" w:rsidR="00AC42CF" w:rsidRPr="00AC42CF" w:rsidRDefault="00AC42CF" w:rsidP="00AC42CF">
      <w:pPr>
        <w:numPr>
          <w:ilvl w:val="2"/>
          <w:numId w:val="28"/>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Q1 2024: $286M (Growth: 1.78%)</w:t>
      </w:r>
    </w:p>
    <w:p w14:paraId="6B552CEE" w14:textId="77777777" w:rsidR="00AC42CF" w:rsidRPr="00AC42CF" w:rsidRDefault="00AC42CF" w:rsidP="00AC42CF">
      <w:pPr>
        <w:numPr>
          <w:ilvl w:val="2"/>
          <w:numId w:val="28"/>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Q4 2023: $304M (Growth: 3.05%)</w:t>
      </w:r>
    </w:p>
    <w:p w14:paraId="3DA99009" w14:textId="77777777" w:rsidR="00AC42CF" w:rsidRPr="00AC42CF" w:rsidRDefault="00AC42CF" w:rsidP="00AC42CF">
      <w:pPr>
        <w:numPr>
          <w:ilvl w:val="2"/>
          <w:numId w:val="28"/>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Q3 2023: $293M (Growth: -2.66%)</w:t>
      </w:r>
    </w:p>
    <w:p w14:paraId="2D078090" w14:textId="77777777" w:rsidR="00AC42CF" w:rsidRDefault="00AC42CF" w:rsidP="00AC42CF">
      <w:pPr>
        <w:numPr>
          <w:ilvl w:val="2"/>
          <w:numId w:val="28"/>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Q2 2023: $287M (Growth: 2.14%)</w:t>
      </w:r>
    </w:p>
    <w:p w14:paraId="1AB23317" w14:textId="77777777" w:rsidR="004D65DE" w:rsidRDefault="004D65DE" w:rsidP="004D65DE">
      <w:pPr>
        <w:shd w:val="clear" w:color="auto" w:fill="FFFFFF"/>
        <w:spacing w:before="180" w:after="0" w:line="240" w:lineRule="auto"/>
        <w:ind w:left="1440"/>
        <w:outlineLvl w:val="1"/>
        <w:rPr>
          <w:rFonts w:ascii="Times New Roman" w:eastAsia="Times New Roman" w:hAnsi="Times New Roman" w:cs="Times New Roman"/>
          <w:noProof/>
          <w:color w:val="111111"/>
          <w:kern w:val="0"/>
          <w:sz w:val="24"/>
          <w:szCs w:val="24"/>
          <w:lang w:eastAsia="en-IN"/>
        </w:rPr>
      </w:pPr>
    </w:p>
    <w:p w14:paraId="4F805BCD" w14:textId="30DC9E50" w:rsidR="004D65DE" w:rsidRPr="00AC42CF" w:rsidRDefault="004D65DE" w:rsidP="004D65DE">
      <w:pPr>
        <w:shd w:val="clear" w:color="auto" w:fill="FFFFFF"/>
        <w:spacing w:before="180" w:after="0" w:line="240" w:lineRule="auto"/>
        <w:ind w:left="1440"/>
        <w:outlineLvl w:val="1"/>
        <w:rPr>
          <w:rFonts w:ascii="Times New Roman" w:eastAsia="Times New Roman" w:hAnsi="Times New Roman" w:cs="Times New Roman"/>
          <w:color w:val="111111"/>
          <w:kern w:val="0"/>
          <w:sz w:val="24"/>
          <w:szCs w:val="24"/>
          <w:lang w:eastAsia="en-IN"/>
          <w14:ligatures w14:val="none"/>
        </w:rPr>
      </w:pPr>
      <w:r>
        <w:rPr>
          <w:rFonts w:ascii="Times New Roman" w:eastAsia="Times New Roman" w:hAnsi="Times New Roman" w:cs="Times New Roman"/>
          <w:noProof/>
          <w:color w:val="111111"/>
          <w:kern w:val="0"/>
          <w:sz w:val="24"/>
          <w:szCs w:val="24"/>
          <w:lang w:eastAsia="en-IN"/>
        </w:rPr>
        <w:drawing>
          <wp:inline distT="0" distB="0" distL="0" distR="0" wp14:anchorId="69270CD0" wp14:editId="53A83815">
            <wp:extent cx="4491791" cy="3183467"/>
            <wp:effectExtent l="0" t="0" r="4445" b="0"/>
            <wp:docPr id="18140696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69668" name="Picture 18140696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62440" cy="3233538"/>
                    </a:xfrm>
                    <a:prstGeom prst="rect">
                      <a:avLst/>
                    </a:prstGeom>
                  </pic:spPr>
                </pic:pic>
              </a:graphicData>
            </a:graphic>
          </wp:inline>
        </w:drawing>
      </w:r>
    </w:p>
    <w:p w14:paraId="13DBDF3E"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lastRenderedPageBreak/>
        <w:t>2. Incentive Management Fees</w:t>
      </w:r>
    </w:p>
    <w:p w14:paraId="75101993" w14:textId="77777777" w:rsidR="00AC42CF" w:rsidRPr="00AC42CF" w:rsidRDefault="00AC42CF" w:rsidP="00AC42CF">
      <w:pPr>
        <w:numPr>
          <w:ilvl w:val="0"/>
          <w:numId w:val="29"/>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Nature: Variable</w:t>
      </w:r>
    </w:p>
    <w:p w14:paraId="05B20442" w14:textId="77777777" w:rsidR="00AC42CF" w:rsidRPr="00AC42CF" w:rsidRDefault="00AC42CF" w:rsidP="00AC42CF">
      <w:pPr>
        <w:numPr>
          <w:ilvl w:val="0"/>
          <w:numId w:val="29"/>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Correlation with Revenue: High</w:t>
      </w:r>
    </w:p>
    <w:p w14:paraId="195A022A" w14:textId="77777777" w:rsidR="00AC42CF" w:rsidRPr="00AC42CF" w:rsidRDefault="00AC42CF" w:rsidP="00AC42CF">
      <w:pPr>
        <w:numPr>
          <w:ilvl w:val="0"/>
          <w:numId w:val="29"/>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Details: Fees paid to hotel managers based on performance metrics like RevPAR and occupancy rates. Higher performance leads to higher fees.</w:t>
      </w:r>
    </w:p>
    <w:p w14:paraId="2D11C2DA" w14:textId="77777777" w:rsidR="00AC42CF" w:rsidRPr="00AC42CF" w:rsidRDefault="00AC42CF" w:rsidP="00AC42CF">
      <w:pPr>
        <w:numPr>
          <w:ilvl w:val="0"/>
          <w:numId w:val="29"/>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Recent Data: Specific numbers for incentive management fees are not provided, but they are impacted by market weaknesses in regions like Hawaii and Greater China.</w:t>
      </w:r>
    </w:p>
    <w:p w14:paraId="1D6CE483"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3. Marketing and Sales Expenses</w:t>
      </w:r>
    </w:p>
    <w:p w14:paraId="75873BB8" w14:textId="77777777" w:rsidR="00AC42CF" w:rsidRPr="00AC42CF" w:rsidRDefault="00AC42CF" w:rsidP="00AC42CF">
      <w:pPr>
        <w:numPr>
          <w:ilvl w:val="0"/>
          <w:numId w:val="30"/>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Nature: Variable</w:t>
      </w:r>
    </w:p>
    <w:p w14:paraId="600B02A5" w14:textId="77777777" w:rsidR="00AC42CF" w:rsidRPr="00AC42CF" w:rsidRDefault="00AC42CF" w:rsidP="00AC42CF">
      <w:pPr>
        <w:numPr>
          <w:ilvl w:val="0"/>
          <w:numId w:val="30"/>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Correlation with Revenue: High</w:t>
      </w:r>
    </w:p>
    <w:p w14:paraId="21715713" w14:textId="77777777" w:rsidR="00AC42CF" w:rsidRPr="00AC42CF" w:rsidRDefault="00AC42CF" w:rsidP="00AC42CF">
      <w:pPr>
        <w:numPr>
          <w:ilvl w:val="0"/>
          <w:numId w:val="30"/>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Details: Costs related to advertising, promotions, and sales commissions. These expenses increase with efforts to drive higher occupancy and room rates.</w:t>
      </w:r>
    </w:p>
    <w:p w14:paraId="1426334B" w14:textId="77777777" w:rsidR="00AC42CF" w:rsidRPr="00AC42CF" w:rsidRDefault="00AC42CF" w:rsidP="00AC42CF">
      <w:pPr>
        <w:numPr>
          <w:ilvl w:val="0"/>
          <w:numId w:val="30"/>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Recent Data: Specific numbers for marketing and sales expenses are not provided, but they are variable and increase with revenue-generating activities.</w:t>
      </w:r>
    </w:p>
    <w:p w14:paraId="188A915A"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4. Property and Equipment Costs</w:t>
      </w:r>
    </w:p>
    <w:p w14:paraId="16F6D9A7" w14:textId="77777777" w:rsidR="00AC42CF" w:rsidRPr="00AC42CF" w:rsidRDefault="00AC42CF" w:rsidP="00AC42CF">
      <w:pPr>
        <w:numPr>
          <w:ilvl w:val="0"/>
          <w:numId w:val="31"/>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Nature: Fixed</w:t>
      </w:r>
    </w:p>
    <w:p w14:paraId="170898BD" w14:textId="77777777" w:rsidR="00AC42CF" w:rsidRPr="00AC42CF" w:rsidRDefault="00AC42CF" w:rsidP="00AC42CF">
      <w:pPr>
        <w:numPr>
          <w:ilvl w:val="0"/>
          <w:numId w:val="31"/>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Correlation with Revenue: Low</w:t>
      </w:r>
    </w:p>
    <w:p w14:paraId="3FD83F8F" w14:textId="77777777" w:rsidR="00AC42CF" w:rsidRPr="00AC42CF" w:rsidRDefault="00AC42CF" w:rsidP="00AC42CF">
      <w:pPr>
        <w:numPr>
          <w:ilvl w:val="0"/>
          <w:numId w:val="31"/>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Details: Costs related to owning or leasing hotel properties, including depreciation and maintenance. These costs remain constant regardless of occupancy rates.</w:t>
      </w:r>
    </w:p>
    <w:p w14:paraId="660B33ED" w14:textId="77777777" w:rsidR="00AC42CF" w:rsidRPr="00AC42CF" w:rsidRDefault="00AC42CF" w:rsidP="00AC42CF">
      <w:pPr>
        <w:numPr>
          <w:ilvl w:val="0"/>
          <w:numId w:val="31"/>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Recent Data: Specific numbers for property and equipment costs are not provided, but they are fixed and do not fluctuate with revenue.</w:t>
      </w:r>
    </w:p>
    <w:p w14:paraId="56D40947"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5. Administrative Expenses</w:t>
      </w:r>
    </w:p>
    <w:p w14:paraId="1F74BE23" w14:textId="77777777" w:rsidR="00AC42CF" w:rsidRPr="00AC42CF" w:rsidRDefault="00AC42CF" w:rsidP="00AC42CF">
      <w:pPr>
        <w:numPr>
          <w:ilvl w:val="0"/>
          <w:numId w:val="32"/>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Nature: Fixed</w:t>
      </w:r>
    </w:p>
    <w:p w14:paraId="5CAF1A48" w14:textId="77777777" w:rsidR="00AC42CF" w:rsidRPr="00AC42CF" w:rsidRDefault="00AC42CF" w:rsidP="00AC42CF">
      <w:pPr>
        <w:numPr>
          <w:ilvl w:val="0"/>
          <w:numId w:val="32"/>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Correlation with Revenue: Low</w:t>
      </w:r>
    </w:p>
    <w:p w14:paraId="449026A1" w14:textId="77777777" w:rsidR="00AC42CF" w:rsidRPr="00AC42CF" w:rsidRDefault="00AC42CF" w:rsidP="00AC42CF">
      <w:pPr>
        <w:numPr>
          <w:ilvl w:val="0"/>
          <w:numId w:val="32"/>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Details: Salaries of corporate staff, office rent, and other overhead costs. These expenses do not fluctuate with revenue.</w:t>
      </w:r>
    </w:p>
    <w:p w14:paraId="6926CC99" w14:textId="77777777" w:rsidR="00AC42CF" w:rsidRPr="00AC42CF" w:rsidRDefault="00AC42CF" w:rsidP="00AC42CF">
      <w:pPr>
        <w:numPr>
          <w:ilvl w:val="0"/>
          <w:numId w:val="32"/>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Recent Data: Specific numbers for administrative expenses are not provided, but they are fixed and do not fluctuate with revenue.</w:t>
      </w:r>
    </w:p>
    <w:p w14:paraId="1083E8D2"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6. Franchise Fees</w:t>
      </w:r>
    </w:p>
    <w:p w14:paraId="2F876E99" w14:textId="77777777" w:rsidR="00AC42CF" w:rsidRPr="00AC42CF" w:rsidRDefault="00AC42CF" w:rsidP="00AC42CF">
      <w:pPr>
        <w:numPr>
          <w:ilvl w:val="0"/>
          <w:numId w:val="33"/>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Nature: Semi-Variable</w:t>
      </w:r>
    </w:p>
    <w:p w14:paraId="79AAA0CC" w14:textId="77777777" w:rsidR="00AC42CF" w:rsidRPr="00AC42CF" w:rsidRDefault="00AC42CF" w:rsidP="00AC42CF">
      <w:pPr>
        <w:numPr>
          <w:ilvl w:val="0"/>
          <w:numId w:val="33"/>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Correlation with Revenue: Mixed</w:t>
      </w:r>
    </w:p>
    <w:p w14:paraId="21E79B50" w14:textId="77777777" w:rsidR="00AC42CF" w:rsidRPr="00AC42CF" w:rsidRDefault="00AC42CF" w:rsidP="00AC42CF">
      <w:pPr>
        <w:numPr>
          <w:ilvl w:val="0"/>
          <w:numId w:val="33"/>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Details: Franchise fees include fixed base fees plus variable components based on hotel performance metrics. The fixed component remains constant, while the variable component fluctuates with revenue.</w:t>
      </w:r>
    </w:p>
    <w:p w14:paraId="4D3E0070" w14:textId="77777777" w:rsidR="00AC42CF" w:rsidRPr="00AC42CF" w:rsidRDefault="00AC42CF" w:rsidP="00AC42CF">
      <w:pPr>
        <w:numPr>
          <w:ilvl w:val="0"/>
          <w:numId w:val="33"/>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lastRenderedPageBreak/>
        <w:t>Recent Data: Specific numbers for franchise fees are not provided, but they are semi-variable and include both fixed and variable components.</w:t>
      </w:r>
    </w:p>
    <w:p w14:paraId="5EA3A140"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7. Maintenance Costs</w:t>
      </w:r>
    </w:p>
    <w:p w14:paraId="466E08EA" w14:textId="77777777" w:rsidR="00AC42CF" w:rsidRPr="00AC42CF" w:rsidRDefault="00AC42CF" w:rsidP="00AC42CF">
      <w:pPr>
        <w:numPr>
          <w:ilvl w:val="0"/>
          <w:numId w:val="34"/>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Nature: Semi-Variable</w:t>
      </w:r>
    </w:p>
    <w:p w14:paraId="0658CBBC" w14:textId="77777777" w:rsidR="00AC42CF" w:rsidRPr="00AC42CF" w:rsidRDefault="00AC42CF" w:rsidP="00AC42CF">
      <w:pPr>
        <w:numPr>
          <w:ilvl w:val="0"/>
          <w:numId w:val="34"/>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Correlation with Revenue: Mixed</w:t>
      </w:r>
    </w:p>
    <w:p w14:paraId="178C8CCB" w14:textId="77777777" w:rsidR="00AC42CF" w:rsidRPr="00AC42CF" w:rsidRDefault="00AC42CF" w:rsidP="00AC42CF">
      <w:pPr>
        <w:numPr>
          <w:ilvl w:val="0"/>
          <w:numId w:val="34"/>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Details: Regular maintenance costs are fixed, but additional maintenance may be required based on occupancy levels and wear and tear.</w:t>
      </w:r>
    </w:p>
    <w:p w14:paraId="060202A5" w14:textId="77777777" w:rsidR="00AC42CF" w:rsidRPr="00AC42CF" w:rsidRDefault="00AC42CF" w:rsidP="00AC42CF">
      <w:pPr>
        <w:numPr>
          <w:ilvl w:val="0"/>
          <w:numId w:val="34"/>
        </w:num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Recent Data: Specific numbers for maintenance costs are not provided, but they are semi-variable and include both fixed and variable components.</w:t>
      </w:r>
    </w:p>
    <w:p w14:paraId="162C1E94"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Summary of Cost Drivers and Their Correlation with Revenue</w:t>
      </w:r>
    </w:p>
    <w:tbl>
      <w:tblPr>
        <w:tblW w:w="9972" w:type="dxa"/>
        <w:tblCellMar>
          <w:left w:w="0" w:type="dxa"/>
          <w:right w:w="0" w:type="dxa"/>
        </w:tblCellMar>
        <w:tblLook w:val="04A0" w:firstRow="1" w:lastRow="0" w:firstColumn="1" w:lastColumn="0" w:noHBand="0" w:noVBand="1"/>
      </w:tblPr>
      <w:tblGrid>
        <w:gridCol w:w="3189"/>
        <w:gridCol w:w="1567"/>
        <w:gridCol w:w="2726"/>
        <w:gridCol w:w="2490"/>
      </w:tblGrid>
      <w:tr w:rsidR="00AC42CF" w:rsidRPr="00AC42CF" w14:paraId="67C6471B" w14:textId="77777777" w:rsidTr="00AC42CF">
        <w:trPr>
          <w:tblHeader/>
        </w:trPr>
        <w:tc>
          <w:tcPr>
            <w:tcW w:w="0" w:type="auto"/>
            <w:tcBorders>
              <w:bottom w:val="single" w:sz="24" w:space="0" w:color="DDDAD5"/>
              <w:right w:val="single" w:sz="24" w:space="0" w:color="DDDAD5"/>
            </w:tcBorders>
            <w:vAlign w:val="bottom"/>
            <w:hideMark/>
          </w:tcPr>
          <w:p w14:paraId="359DD4CE"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Cost Item</w:t>
            </w:r>
          </w:p>
        </w:tc>
        <w:tc>
          <w:tcPr>
            <w:tcW w:w="0" w:type="auto"/>
            <w:tcBorders>
              <w:bottom w:val="single" w:sz="24" w:space="0" w:color="DDDAD5"/>
              <w:right w:val="single" w:sz="24" w:space="0" w:color="DDDAD5"/>
            </w:tcBorders>
            <w:vAlign w:val="bottom"/>
            <w:hideMark/>
          </w:tcPr>
          <w:p w14:paraId="02F9AFCB"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Nature</w:t>
            </w:r>
          </w:p>
        </w:tc>
        <w:tc>
          <w:tcPr>
            <w:tcW w:w="0" w:type="auto"/>
            <w:tcBorders>
              <w:bottom w:val="single" w:sz="24" w:space="0" w:color="DDDAD5"/>
              <w:right w:val="single" w:sz="24" w:space="0" w:color="DDDAD5"/>
            </w:tcBorders>
            <w:vAlign w:val="bottom"/>
            <w:hideMark/>
          </w:tcPr>
          <w:p w14:paraId="3FD9A0C4"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Correlation with Revenue</w:t>
            </w:r>
          </w:p>
        </w:tc>
        <w:tc>
          <w:tcPr>
            <w:tcW w:w="0" w:type="auto"/>
            <w:tcBorders>
              <w:top w:val="nil"/>
              <w:right w:val="nil"/>
            </w:tcBorders>
            <w:vAlign w:val="bottom"/>
            <w:hideMark/>
          </w:tcPr>
          <w:p w14:paraId="1AF94484"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Recent Data (Annual)</w:t>
            </w:r>
          </w:p>
        </w:tc>
      </w:tr>
      <w:tr w:rsidR="00AC42CF" w:rsidRPr="00AC42CF" w14:paraId="03A93C48" w14:textId="77777777" w:rsidTr="00AC42CF">
        <w:tc>
          <w:tcPr>
            <w:tcW w:w="0" w:type="auto"/>
            <w:tcBorders>
              <w:top w:val="nil"/>
              <w:left w:val="nil"/>
            </w:tcBorders>
            <w:vAlign w:val="bottom"/>
            <w:hideMark/>
          </w:tcPr>
          <w:p w14:paraId="3CA2B7C4"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Cost of Goods Sold (COGS)</w:t>
            </w:r>
          </w:p>
        </w:tc>
        <w:tc>
          <w:tcPr>
            <w:tcW w:w="0" w:type="auto"/>
            <w:tcBorders>
              <w:top w:val="nil"/>
              <w:left w:val="nil"/>
            </w:tcBorders>
            <w:vAlign w:val="bottom"/>
            <w:hideMark/>
          </w:tcPr>
          <w:p w14:paraId="4970B5B1"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Variable</w:t>
            </w:r>
          </w:p>
        </w:tc>
        <w:tc>
          <w:tcPr>
            <w:tcW w:w="0" w:type="auto"/>
            <w:tcBorders>
              <w:top w:val="nil"/>
              <w:left w:val="nil"/>
            </w:tcBorders>
            <w:vAlign w:val="bottom"/>
            <w:hideMark/>
          </w:tcPr>
          <w:p w14:paraId="03F718D4"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High</w:t>
            </w:r>
          </w:p>
        </w:tc>
        <w:tc>
          <w:tcPr>
            <w:tcW w:w="0" w:type="auto"/>
            <w:tcBorders>
              <w:top w:val="nil"/>
              <w:right w:val="nil"/>
            </w:tcBorders>
            <w:vAlign w:val="bottom"/>
            <w:hideMark/>
          </w:tcPr>
          <w:p w14:paraId="3980221B"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2023: $1,165M (8.47%)</w:t>
            </w:r>
          </w:p>
        </w:tc>
      </w:tr>
      <w:tr w:rsidR="00AC42CF" w:rsidRPr="00AC42CF" w14:paraId="3AA41DE6" w14:textId="77777777" w:rsidTr="00AC42CF">
        <w:tc>
          <w:tcPr>
            <w:tcW w:w="0" w:type="auto"/>
            <w:tcBorders>
              <w:top w:val="single" w:sz="24" w:space="0" w:color="DDDAD5"/>
              <w:bottom w:val="single" w:sz="24" w:space="0" w:color="DDDAD5"/>
              <w:right w:val="single" w:sz="24" w:space="0" w:color="DDDAD5"/>
            </w:tcBorders>
            <w:vAlign w:val="bottom"/>
            <w:hideMark/>
          </w:tcPr>
          <w:p w14:paraId="0E7A3ACD"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Incentive Management Fees</w:t>
            </w:r>
          </w:p>
        </w:tc>
        <w:tc>
          <w:tcPr>
            <w:tcW w:w="0" w:type="auto"/>
            <w:tcBorders>
              <w:top w:val="single" w:sz="24" w:space="0" w:color="DDDAD5"/>
              <w:bottom w:val="single" w:sz="24" w:space="0" w:color="DDDAD5"/>
              <w:right w:val="single" w:sz="24" w:space="0" w:color="DDDAD5"/>
            </w:tcBorders>
            <w:vAlign w:val="bottom"/>
            <w:hideMark/>
          </w:tcPr>
          <w:p w14:paraId="022E7722"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Variable</w:t>
            </w:r>
          </w:p>
        </w:tc>
        <w:tc>
          <w:tcPr>
            <w:tcW w:w="0" w:type="auto"/>
            <w:tcBorders>
              <w:top w:val="single" w:sz="24" w:space="0" w:color="DDDAD5"/>
              <w:bottom w:val="single" w:sz="24" w:space="0" w:color="DDDAD5"/>
              <w:right w:val="single" w:sz="24" w:space="0" w:color="DDDAD5"/>
            </w:tcBorders>
            <w:vAlign w:val="bottom"/>
            <w:hideMark/>
          </w:tcPr>
          <w:p w14:paraId="4B9D10B8"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High</w:t>
            </w:r>
          </w:p>
        </w:tc>
        <w:tc>
          <w:tcPr>
            <w:tcW w:w="0" w:type="auto"/>
            <w:tcBorders>
              <w:right w:val="nil"/>
            </w:tcBorders>
            <w:vAlign w:val="bottom"/>
            <w:hideMark/>
          </w:tcPr>
          <w:p w14:paraId="6397339E"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Not specified</w:t>
            </w:r>
          </w:p>
        </w:tc>
      </w:tr>
      <w:tr w:rsidR="00AC42CF" w:rsidRPr="00AC42CF" w14:paraId="67A48EEC" w14:textId="77777777" w:rsidTr="00AC42CF">
        <w:tc>
          <w:tcPr>
            <w:tcW w:w="0" w:type="auto"/>
            <w:tcBorders>
              <w:top w:val="single" w:sz="24" w:space="0" w:color="DDDAD5"/>
              <w:bottom w:val="single" w:sz="24" w:space="0" w:color="DDDAD5"/>
              <w:right w:val="single" w:sz="24" w:space="0" w:color="DDDAD5"/>
            </w:tcBorders>
            <w:vAlign w:val="bottom"/>
            <w:hideMark/>
          </w:tcPr>
          <w:p w14:paraId="451BD0CE"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Marketing and Sales Expenses</w:t>
            </w:r>
          </w:p>
        </w:tc>
        <w:tc>
          <w:tcPr>
            <w:tcW w:w="0" w:type="auto"/>
            <w:tcBorders>
              <w:top w:val="single" w:sz="24" w:space="0" w:color="DDDAD5"/>
              <w:bottom w:val="single" w:sz="24" w:space="0" w:color="DDDAD5"/>
              <w:right w:val="single" w:sz="24" w:space="0" w:color="DDDAD5"/>
            </w:tcBorders>
            <w:vAlign w:val="bottom"/>
            <w:hideMark/>
          </w:tcPr>
          <w:p w14:paraId="572636EA"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Variable</w:t>
            </w:r>
          </w:p>
        </w:tc>
        <w:tc>
          <w:tcPr>
            <w:tcW w:w="0" w:type="auto"/>
            <w:tcBorders>
              <w:top w:val="single" w:sz="24" w:space="0" w:color="DDDAD5"/>
              <w:bottom w:val="single" w:sz="24" w:space="0" w:color="DDDAD5"/>
              <w:right w:val="single" w:sz="24" w:space="0" w:color="DDDAD5"/>
            </w:tcBorders>
            <w:vAlign w:val="bottom"/>
            <w:hideMark/>
          </w:tcPr>
          <w:p w14:paraId="7015A52B"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High</w:t>
            </w:r>
          </w:p>
        </w:tc>
        <w:tc>
          <w:tcPr>
            <w:tcW w:w="0" w:type="auto"/>
            <w:tcBorders>
              <w:right w:val="nil"/>
            </w:tcBorders>
            <w:vAlign w:val="bottom"/>
            <w:hideMark/>
          </w:tcPr>
          <w:p w14:paraId="096E4D9F"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Not specified</w:t>
            </w:r>
          </w:p>
        </w:tc>
      </w:tr>
      <w:tr w:rsidR="00AC42CF" w:rsidRPr="00AC42CF" w14:paraId="3394B337" w14:textId="77777777" w:rsidTr="00AC42CF">
        <w:tc>
          <w:tcPr>
            <w:tcW w:w="0" w:type="auto"/>
            <w:tcBorders>
              <w:top w:val="single" w:sz="24" w:space="0" w:color="DDDAD5"/>
              <w:bottom w:val="single" w:sz="24" w:space="0" w:color="DDDAD5"/>
              <w:right w:val="single" w:sz="24" w:space="0" w:color="DDDAD5"/>
            </w:tcBorders>
            <w:vAlign w:val="bottom"/>
            <w:hideMark/>
          </w:tcPr>
          <w:p w14:paraId="2F0BDC7C"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Property and Equipment Costs</w:t>
            </w:r>
          </w:p>
        </w:tc>
        <w:tc>
          <w:tcPr>
            <w:tcW w:w="0" w:type="auto"/>
            <w:tcBorders>
              <w:top w:val="single" w:sz="24" w:space="0" w:color="DDDAD5"/>
              <w:bottom w:val="single" w:sz="24" w:space="0" w:color="DDDAD5"/>
              <w:right w:val="single" w:sz="24" w:space="0" w:color="DDDAD5"/>
            </w:tcBorders>
            <w:vAlign w:val="bottom"/>
            <w:hideMark/>
          </w:tcPr>
          <w:p w14:paraId="75165856"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Fixed</w:t>
            </w:r>
          </w:p>
        </w:tc>
        <w:tc>
          <w:tcPr>
            <w:tcW w:w="0" w:type="auto"/>
            <w:tcBorders>
              <w:top w:val="single" w:sz="24" w:space="0" w:color="DDDAD5"/>
              <w:bottom w:val="single" w:sz="24" w:space="0" w:color="DDDAD5"/>
              <w:right w:val="single" w:sz="24" w:space="0" w:color="DDDAD5"/>
            </w:tcBorders>
            <w:vAlign w:val="bottom"/>
            <w:hideMark/>
          </w:tcPr>
          <w:p w14:paraId="7547CC88"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Low</w:t>
            </w:r>
          </w:p>
        </w:tc>
        <w:tc>
          <w:tcPr>
            <w:tcW w:w="0" w:type="auto"/>
            <w:tcBorders>
              <w:right w:val="nil"/>
            </w:tcBorders>
            <w:vAlign w:val="bottom"/>
            <w:hideMark/>
          </w:tcPr>
          <w:p w14:paraId="5E7E6FD2"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Not specified</w:t>
            </w:r>
          </w:p>
        </w:tc>
      </w:tr>
      <w:tr w:rsidR="00AC42CF" w:rsidRPr="00AC42CF" w14:paraId="0FC432F8" w14:textId="77777777" w:rsidTr="00AC42CF">
        <w:tc>
          <w:tcPr>
            <w:tcW w:w="0" w:type="auto"/>
            <w:tcBorders>
              <w:top w:val="single" w:sz="24" w:space="0" w:color="DDDAD5"/>
              <w:bottom w:val="single" w:sz="24" w:space="0" w:color="DDDAD5"/>
              <w:right w:val="single" w:sz="24" w:space="0" w:color="DDDAD5"/>
            </w:tcBorders>
            <w:vAlign w:val="bottom"/>
            <w:hideMark/>
          </w:tcPr>
          <w:p w14:paraId="6AAC1C58"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Administrative Expenses</w:t>
            </w:r>
          </w:p>
        </w:tc>
        <w:tc>
          <w:tcPr>
            <w:tcW w:w="0" w:type="auto"/>
            <w:tcBorders>
              <w:top w:val="single" w:sz="24" w:space="0" w:color="DDDAD5"/>
              <w:bottom w:val="single" w:sz="24" w:space="0" w:color="DDDAD5"/>
              <w:right w:val="single" w:sz="24" w:space="0" w:color="DDDAD5"/>
            </w:tcBorders>
            <w:vAlign w:val="bottom"/>
            <w:hideMark/>
          </w:tcPr>
          <w:p w14:paraId="67C8543A"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Fixed</w:t>
            </w:r>
          </w:p>
        </w:tc>
        <w:tc>
          <w:tcPr>
            <w:tcW w:w="0" w:type="auto"/>
            <w:tcBorders>
              <w:top w:val="single" w:sz="24" w:space="0" w:color="DDDAD5"/>
              <w:bottom w:val="single" w:sz="24" w:space="0" w:color="DDDAD5"/>
              <w:right w:val="single" w:sz="24" w:space="0" w:color="DDDAD5"/>
            </w:tcBorders>
            <w:vAlign w:val="bottom"/>
            <w:hideMark/>
          </w:tcPr>
          <w:p w14:paraId="0B54235E"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Low</w:t>
            </w:r>
          </w:p>
        </w:tc>
        <w:tc>
          <w:tcPr>
            <w:tcW w:w="0" w:type="auto"/>
            <w:tcBorders>
              <w:right w:val="nil"/>
            </w:tcBorders>
            <w:vAlign w:val="bottom"/>
            <w:hideMark/>
          </w:tcPr>
          <w:p w14:paraId="35DD8F03"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Not specified</w:t>
            </w:r>
          </w:p>
        </w:tc>
      </w:tr>
      <w:tr w:rsidR="00AC42CF" w:rsidRPr="00AC42CF" w14:paraId="09A99567" w14:textId="77777777" w:rsidTr="00AC42CF">
        <w:tc>
          <w:tcPr>
            <w:tcW w:w="0" w:type="auto"/>
            <w:tcBorders>
              <w:top w:val="single" w:sz="24" w:space="0" w:color="DDDAD5"/>
              <w:bottom w:val="single" w:sz="24" w:space="0" w:color="DDDAD5"/>
              <w:right w:val="single" w:sz="24" w:space="0" w:color="DDDAD5"/>
            </w:tcBorders>
            <w:vAlign w:val="bottom"/>
            <w:hideMark/>
          </w:tcPr>
          <w:p w14:paraId="74E41581"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Franchise Fees</w:t>
            </w:r>
          </w:p>
        </w:tc>
        <w:tc>
          <w:tcPr>
            <w:tcW w:w="0" w:type="auto"/>
            <w:tcBorders>
              <w:top w:val="single" w:sz="24" w:space="0" w:color="DDDAD5"/>
              <w:bottom w:val="single" w:sz="24" w:space="0" w:color="DDDAD5"/>
              <w:right w:val="single" w:sz="24" w:space="0" w:color="DDDAD5"/>
            </w:tcBorders>
            <w:vAlign w:val="bottom"/>
            <w:hideMark/>
          </w:tcPr>
          <w:p w14:paraId="6D19E5A7"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Semi-Variable</w:t>
            </w:r>
          </w:p>
        </w:tc>
        <w:tc>
          <w:tcPr>
            <w:tcW w:w="0" w:type="auto"/>
            <w:tcBorders>
              <w:top w:val="single" w:sz="24" w:space="0" w:color="DDDAD5"/>
              <w:bottom w:val="single" w:sz="24" w:space="0" w:color="DDDAD5"/>
              <w:right w:val="single" w:sz="24" w:space="0" w:color="DDDAD5"/>
            </w:tcBorders>
            <w:vAlign w:val="bottom"/>
            <w:hideMark/>
          </w:tcPr>
          <w:p w14:paraId="158C382C"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Mixed</w:t>
            </w:r>
          </w:p>
        </w:tc>
        <w:tc>
          <w:tcPr>
            <w:tcW w:w="0" w:type="auto"/>
            <w:tcBorders>
              <w:right w:val="nil"/>
            </w:tcBorders>
            <w:vAlign w:val="bottom"/>
            <w:hideMark/>
          </w:tcPr>
          <w:p w14:paraId="3F53B73E"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Not specified</w:t>
            </w:r>
          </w:p>
        </w:tc>
      </w:tr>
      <w:tr w:rsidR="00AC42CF" w:rsidRPr="00AC42CF" w14:paraId="3182078C" w14:textId="77777777" w:rsidTr="00AC42CF">
        <w:tc>
          <w:tcPr>
            <w:tcW w:w="0" w:type="auto"/>
            <w:tcBorders>
              <w:left w:val="nil"/>
              <w:bottom w:val="nil"/>
            </w:tcBorders>
            <w:vAlign w:val="bottom"/>
            <w:hideMark/>
          </w:tcPr>
          <w:p w14:paraId="49D535A8"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Maintenance Costs</w:t>
            </w:r>
          </w:p>
        </w:tc>
        <w:tc>
          <w:tcPr>
            <w:tcW w:w="0" w:type="auto"/>
            <w:tcBorders>
              <w:left w:val="nil"/>
              <w:bottom w:val="nil"/>
            </w:tcBorders>
            <w:vAlign w:val="bottom"/>
            <w:hideMark/>
          </w:tcPr>
          <w:p w14:paraId="13785270"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Semi-Variable</w:t>
            </w:r>
          </w:p>
        </w:tc>
        <w:tc>
          <w:tcPr>
            <w:tcW w:w="0" w:type="auto"/>
            <w:tcBorders>
              <w:left w:val="nil"/>
              <w:bottom w:val="nil"/>
            </w:tcBorders>
            <w:vAlign w:val="bottom"/>
            <w:hideMark/>
          </w:tcPr>
          <w:p w14:paraId="09FF5574"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Mixed</w:t>
            </w:r>
          </w:p>
        </w:tc>
        <w:tc>
          <w:tcPr>
            <w:tcW w:w="0" w:type="auto"/>
            <w:tcBorders>
              <w:bottom w:val="nil"/>
              <w:right w:val="nil"/>
            </w:tcBorders>
            <w:vAlign w:val="bottom"/>
            <w:hideMark/>
          </w:tcPr>
          <w:p w14:paraId="237DF08D"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Not specified</w:t>
            </w:r>
          </w:p>
        </w:tc>
      </w:tr>
    </w:tbl>
    <w:p w14:paraId="11631C44" w14:textId="77777777" w:rsidR="00AC42CF" w:rsidRPr="00AC42CF" w:rsidRDefault="00AC42CF" w:rsidP="00AC42CF">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r w:rsidRPr="00AC42CF">
        <w:rPr>
          <w:rFonts w:ascii="Times New Roman" w:eastAsia="Times New Roman" w:hAnsi="Times New Roman" w:cs="Times New Roman"/>
          <w:color w:val="111111"/>
          <w:kern w:val="0"/>
          <w:sz w:val="24"/>
          <w:szCs w:val="24"/>
          <w:lang w:eastAsia="en-IN"/>
          <w14:ligatures w14:val="none"/>
        </w:rPr>
        <w:t>Marriott International, Inc.'s cost structure includes a mix of fixed, variable, and semi-variable costs. Variable costs, such as COGS, incentive management fees, and marketing expenses, have a high correlation with revenue as they increase with higher occupancy rates and room sales. Fixed costs, such as property and equipment costs and administrative expenses, have a low correlation with revenue as they remain constant regardless of revenue levels. Semi-variable costs, such as franchise fees and maintenance costs, have a mixed correlation</w:t>
      </w:r>
    </w:p>
    <w:p w14:paraId="71BB200C" w14:textId="77777777" w:rsidR="00A22130" w:rsidRPr="008B6A5C" w:rsidRDefault="00A22130" w:rsidP="00614400">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p>
    <w:p w14:paraId="1F159915" w14:textId="29328086" w:rsidR="00484C36" w:rsidRPr="009273F8" w:rsidRDefault="00484C36" w:rsidP="00484C36">
      <w:pPr>
        <w:rPr>
          <w:rFonts w:ascii="Times New Roman" w:hAnsi="Times New Roman" w:cs="Times New Roman"/>
          <w:b/>
          <w:bCs/>
          <w:sz w:val="28"/>
          <w:szCs w:val="28"/>
        </w:rPr>
      </w:pPr>
      <w:r w:rsidRPr="009273F8">
        <w:rPr>
          <w:rFonts w:ascii="Times New Roman" w:hAnsi="Times New Roman" w:cs="Times New Roman"/>
          <w:b/>
          <w:bCs/>
          <w:sz w:val="28"/>
          <w:szCs w:val="28"/>
        </w:rPr>
        <w:t xml:space="preserve">Pricing </w:t>
      </w:r>
      <w:r w:rsidR="009273F8" w:rsidRPr="009273F8">
        <w:rPr>
          <w:rFonts w:ascii="Times New Roman" w:hAnsi="Times New Roman" w:cs="Times New Roman"/>
          <w:b/>
          <w:bCs/>
          <w:sz w:val="28"/>
          <w:szCs w:val="28"/>
        </w:rPr>
        <w:t>strategy</w:t>
      </w:r>
    </w:p>
    <w:p w14:paraId="1A9E7E24" w14:textId="0DD2C1FA" w:rsidR="00484C36" w:rsidRPr="008B6A5C" w:rsidRDefault="00484C36" w:rsidP="00484C36">
      <w:pPr>
        <w:rPr>
          <w:rFonts w:ascii="Times New Roman" w:hAnsi="Times New Roman" w:cs="Times New Roman"/>
          <w:sz w:val="24"/>
          <w:szCs w:val="24"/>
        </w:rPr>
      </w:pPr>
      <w:r w:rsidRPr="000C397F">
        <w:rPr>
          <w:rFonts w:ascii="Times New Roman" w:hAnsi="Times New Roman" w:cs="Times New Roman"/>
          <w:sz w:val="24"/>
          <w:szCs w:val="24"/>
        </w:rPr>
        <w:t xml:space="preserve">Marriott International employs a comprehensive pricing strategy that includes dynamic pricing to adjust rates based on real-time demand, segmented pricing tailored to different customer groups like business </w:t>
      </w:r>
      <w:r w:rsidR="009273F8" w:rsidRPr="000C397F">
        <w:rPr>
          <w:rFonts w:ascii="Times New Roman" w:hAnsi="Times New Roman" w:cs="Times New Roman"/>
          <w:sz w:val="24"/>
          <w:szCs w:val="24"/>
        </w:rPr>
        <w:t>travellers</w:t>
      </w:r>
      <w:r w:rsidRPr="000C397F">
        <w:rPr>
          <w:rFonts w:ascii="Times New Roman" w:hAnsi="Times New Roman" w:cs="Times New Roman"/>
          <w:sz w:val="24"/>
          <w:szCs w:val="24"/>
        </w:rPr>
        <w:t xml:space="preserve"> and loyalty members, and seasonal/event-based pricing to capitalize on high-demand periods. The company also uses competitive pricing to remain attractive in the market, value-added pricing to justify higher rates with additional services, promotional pricing to boost occupancy during low-demand times, and loyalty program pricing to offer exclusive rates and benefits to Marriott Bonvoy members. These multifaceted approaches enable Marriott to optimize revenue, attract diverse customers, and maintain a competitive edge in the hospitality industry.</w:t>
      </w:r>
    </w:p>
    <w:p w14:paraId="5F660F86" w14:textId="77777777" w:rsidR="009273F8" w:rsidRDefault="009273F8" w:rsidP="00614400">
      <w:pPr>
        <w:shd w:val="clear" w:color="auto" w:fill="FFFFFF"/>
        <w:spacing w:before="180" w:after="0" w:line="240" w:lineRule="auto"/>
        <w:outlineLvl w:val="1"/>
        <w:rPr>
          <w:rFonts w:ascii="Times New Roman" w:eastAsia="Times New Roman" w:hAnsi="Times New Roman" w:cs="Times New Roman"/>
          <w:color w:val="111111"/>
          <w:kern w:val="0"/>
          <w:sz w:val="24"/>
          <w:szCs w:val="24"/>
          <w:lang w:eastAsia="en-IN"/>
          <w14:ligatures w14:val="none"/>
        </w:rPr>
      </w:pPr>
    </w:p>
    <w:p w14:paraId="6F6D305D" w14:textId="696E724D" w:rsidR="00614400" w:rsidRPr="009273F8" w:rsidRDefault="009273F8" w:rsidP="00614400">
      <w:pPr>
        <w:shd w:val="clear" w:color="auto" w:fill="FFFFFF"/>
        <w:spacing w:before="180" w:after="0" w:line="240" w:lineRule="auto"/>
        <w:outlineLvl w:val="1"/>
        <w:rPr>
          <w:rFonts w:ascii="Times New Roman" w:eastAsia="Times New Roman" w:hAnsi="Times New Roman" w:cs="Times New Roman"/>
          <w:b/>
          <w:bCs/>
          <w:color w:val="111111"/>
          <w:kern w:val="0"/>
          <w:sz w:val="28"/>
          <w:szCs w:val="28"/>
          <w:lang w:eastAsia="en-IN"/>
          <w14:ligatures w14:val="none"/>
        </w:rPr>
      </w:pPr>
      <w:r w:rsidRPr="009273F8">
        <w:rPr>
          <w:rFonts w:ascii="Times New Roman" w:eastAsia="Times New Roman" w:hAnsi="Times New Roman" w:cs="Times New Roman"/>
          <w:b/>
          <w:bCs/>
          <w:color w:val="111111"/>
          <w:kern w:val="0"/>
          <w:sz w:val="28"/>
          <w:szCs w:val="28"/>
          <w:lang w:eastAsia="en-IN"/>
          <w14:ligatures w14:val="none"/>
        </w:rPr>
        <w:t>P</w:t>
      </w:r>
      <w:r w:rsidR="00614400" w:rsidRPr="009273F8">
        <w:rPr>
          <w:rFonts w:ascii="Times New Roman" w:eastAsia="Times New Roman" w:hAnsi="Times New Roman" w:cs="Times New Roman"/>
          <w:b/>
          <w:bCs/>
          <w:color w:val="111111"/>
          <w:kern w:val="0"/>
          <w:sz w:val="28"/>
          <w:szCs w:val="28"/>
          <w:lang w:eastAsia="en-IN"/>
          <w14:ligatures w14:val="none"/>
        </w:rPr>
        <w:t>eer Comparison:</w:t>
      </w:r>
    </w:p>
    <w:p w14:paraId="7E0C561B" w14:textId="2CACEBC8" w:rsidR="006F7EC5" w:rsidRDefault="006F7EC5">
      <w:pPr>
        <w:rPr>
          <w:rFonts w:ascii="Times New Roman" w:hAnsi="Times New Roman" w:cs="Times New Roman"/>
          <w:b/>
          <w:bCs/>
          <w:sz w:val="24"/>
          <w:szCs w:val="24"/>
        </w:rPr>
      </w:pPr>
      <w:r>
        <w:t>Marriott International (MAR) leads its key peers—Hilton Worldwide (HLT), Hyatt Hotels (H), InterContinental Hotels Group (IHG), and Accor SA (AC)—in several financial metrics. With a market capitalization of $68.2B, Marriott is the largest among its peers, followed by Hilton at $54.47B. Although Hilton tops in total revenues with $9,450M, Marriott excels in profit margins: gross profit (81.65%), EBITDA (65.95%), operating (60.48%), and net profit (45.33%), indicating superior cost management and operational efficiency. Marriott also shows strong growth, with the highest 3-year revenue CAGR (53.27%) and competitive 5-year revenue CAGR (4.01%). Additionally, Marriott's diluted EPS growth rates over 3 and 5 years are the highest among its peers, showcasing robust financial performance and investor confidence.</w:t>
      </w:r>
    </w:p>
    <w:p w14:paraId="3608DD44" w14:textId="77777777" w:rsidR="006F7EC5" w:rsidRDefault="006F7EC5">
      <w:pPr>
        <w:rPr>
          <w:rFonts w:ascii="Times New Roman" w:hAnsi="Times New Roman" w:cs="Times New Roman"/>
          <w:b/>
          <w:bCs/>
          <w:sz w:val="24"/>
          <w:szCs w:val="24"/>
        </w:rPr>
      </w:pPr>
    </w:p>
    <w:p w14:paraId="3A5F9E8E" w14:textId="77777777" w:rsidR="006F7EC5" w:rsidRDefault="006F7EC5">
      <w:pPr>
        <w:rPr>
          <w:rFonts w:ascii="Times New Roman" w:hAnsi="Times New Roman" w:cs="Times New Roman"/>
          <w:b/>
          <w:bCs/>
          <w:sz w:val="24"/>
          <w:szCs w:val="24"/>
        </w:rPr>
      </w:pPr>
    </w:p>
    <w:p w14:paraId="28323030" w14:textId="77777777" w:rsidR="0020751D" w:rsidRPr="008B6A5C" w:rsidRDefault="0020751D">
      <w:pPr>
        <w:rPr>
          <w:rFonts w:ascii="Times New Roman" w:hAnsi="Times New Roman" w:cs="Times New Roman"/>
          <w:sz w:val="24"/>
          <w:szCs w:val="24"/>
        </w:rPr>
      </w:pPr>
    </w:p>
    <w:p w14:paraId="286F6733" w14:textId="77777777" w:rsidR="0020751D" w:rsidRPr="008B6A5C" w:rsidRDefault="0020751D">
      <w:pPr>
        <w:rPr>
          <w:rFonts w:ascii="Times New Roman" w:hAnsi="Times New Roman" w:cs="Times New Roman"/>
          <w:sz w:val="24"/>
          <w:szCs w:val="24"/>
        </w:rPr>
      </w:pPr>
    </w:p>
    <w:p w14:paraId="431F5625" w14:textId="77777777" w:rsidR="00C24DA0" w:rsidRDefault="009273F8">
      <w:pPr>
        <w:rPr>
          <w:rFonts w:ascii="Times New Roman" w:hAnsi="Times New Roman" w:cs="Times New Roman"/>
          <w:b/>
          <w:bCs/>
          <w:sz w:val="32"/>
          <w:szCs w:val="32"/>
        </w:rPr>
      </w:pPr>
      <w:r w:rsidRPr="00C24DA0">
        <w:rPr>
          <w:rFonts w:ascii="Times New Roman" w:hAnsi="Times New Roman" w:cs="Times New Roman"/>
          <w:b/>
          <w:bCs/>
          <w:sz w:val="32"/>
          <w:szCs w:val="32"/>
        </w:rPr>
        <w:t>Johnson &amp; Johnson (J&amp;J)</w:t>
      </w:r>
    </w:p>
    <w:p w14:paraId="1A7E607A" w14:textId="29253220" w:rsidR="00C24DA0" w:rsidRPr="00C24DA0" w:rsidRDefault="00C24DA0">
      <w:pPr>
        <w:rPr>
          <w:rFonts w:ascii="Times New Roman" w:hAnsi="Times New Roman" w:cs="Times New Roman"/>
          <w:b/>
          <w:bCs/>
          <w:sz w:val="28"/>
          <w:szCs w:val="28"/>
        </w:rPr>
      </w:pPr>
      <w:r w:rsidRPr="00C24DA0">
        <w:rPr>
          <w:rFonts w:ascii="Times New Roman" w:hAnsi="Times New Roman" w:cs="Times New Roman"/>
          <w:b/>
          <w:bCs/>
          <w:sz w:val="28"/>
          <w:szCs w:val="28"/>
        </w:rPr>
        <w:t>R</w:t>
      </w:r>
      <w:r w:rsidRPr="00C24DA0">
        <w:rPr>
          <w:rFonts w:ascii="Times New Roman" w:hAnsi="Times New Roman" w:cs="Times New Roman"/>
          <w:b/>
          <w:bCs/>
          <w:sz w:val="28"/>
          <w:szCs w:val="28"/>
        </w:rPr>
        <w:t>evenue drivers for Johnson &amp; Johnson (J&amp;J)</w:t>
      </w:r>
    </w:p>
    <w:p w14:paraId="2F01921D" w14:textId="0DC31275" w:rsidR="00BC4BD4" w:rsidRPr="008B6A5C" w:rsidRDefault="00E26A99" w:rsidP="00F167FC">
      <w:pPr>
        <w:rPr>
          <w:rFonts w:ascii="Times New Roman" w:hAnsi="Times New Roman" w:cs="Times New Roman"/>
          <w:sz w:val="24"/>
          <w:szCs w:val="24"/>
        </w:rPr>
      </w:pPr>
      <w:r w:rsidRPr="008B6A5C">
        <w:rPr>
          <w:rFonts w:ascii="Times New Roman" w:hAnsi="Times New Roman" w:cs="Times New Roman"/>
          <w:sz w:val="24"/>
          <w:szCs w:val="24"/>
        </w:rPr>
        <w:t>The main revenue drivers for Johnson &amp; Johnson (J&amp;J) can be categorized into three primary segments: Pharmaceuticals (Innovative Medicine), Medical Devices (MedTech), and Consumer Health. Each of these segments has specific product categories and key brands that significantly contribute to the company's overall revenue. Here’s a detailed breakdown:</w:t>
      </w:r>
    </w:p>
    <w:p w14:paraId="6A4F25E5" w14:textId="77777777" w:rsidR="00BC4BD4" w:rsidRPr="008B6A5C" w:rsidRDefault="00BC4BD4" w:rsidP="00F167FC">
      <w:pPr>
        <w:rPr>
          <w:rFonts w:ascii="Times New Roman" w:hAnsi="Times New Roman" w:cs="Times New Roman"/>
          <w:sz w:val="24"/>
          <w:szCs w:val="24"/>
        </w:rPr>
      </w:pPr>
    </w:p>
    <w:p w14:paraId="7EB9BD0C" w14:textId="591A1BC8" w:rsidR="00BC4BD4" w:rsidRPr="008B6A5C" w:rsidRDefault="00BC4BD4" w:rsidP="00F167FC">
      <w:pPr>
        <w:numPr>
          <w:ilvl w:val="0"/>
          <w:numId w:val="12"/>
        </w:numPr>
        <w:rPr>
          <w:rFonts w:ascii="Times New Roman" w:hAnsi="Times New Roman" w:cs="Times New Roman"/>
          <w:sz w:val="24"/>
          <w:szCs w:val="24"/>
        </w:rPr>
      </w:pPr>
      <w:r w:rsidRPr="00C24DA0">
        <w:rPr>
          <w:rFonts w:ascii="Times New Roman" w:hAnsi="Times New Roman" w:cs="Times New Roman"/>
          <w:b/>
          <w:bCs/>
          <w:sz w:val="24"/>
          <w:szCs w:val="24"/>
        </w:rPr>
        <w:t>Pharmaceuticals:</w:t>
      </w:r>
      <w:r w:rsidRPr="008B6A5C">
        <w:rPr>
          <w:rFonts w:ascii="Times New Roman" w:hAnsi="Times New Roman" w:cs="Times New Roman"/>
          <w:sz w:val="24"/>
          <w:szCs w:val="24"/>
        </w:rPr>
        <w:t xml:space="preserve"> This segment generates the majority of Johnson &amp; Johnson’s sales. </w:t>
      </w:r>
      <w:r w:rsidRPr="008B6A5C">
        <w:rPr>
          <w:rFonts w:ascii="Times New Roman" w:hAnsi="Times New Roman" w:cs="Times New Roman"/>
          <w:color w:val="111111"/>
          <w:spacing w:val="1"/>
          <w:sz w:val="24"/>
          <w:szCs w:val="24"/>
          <w:shd w:val="clear" w:color="auto" w:fill="FFFFFF"/>
        </w:rPr>
        <w:t xml:space="preserve"> </w:t>
      </w:r>
      <w:r w:rsidRPr="008B6A5C">
        <w:rPr>
          <w:rFonts w:ascii="Times New Roman" w:hAnsi="Times New Roman" w:cs="Times New Roman"/>
          <w:sz w:val="24"/>
          <w:szCs w:val="24"/>
        </w:rPr>
        <w:t xml:space="preserve">This division accounted for more than half of JNJ's revenue for the full year. At over 55% of overall </w:t>
      </w:r>
      <w:r w:rsidR="00BB1BD3" w:rsidRPr="008B6A5C">
        <w:rPr>
          <w:rFonts w:ascii="Times New Roman" w:hAnsi="Times New Roman" w:cs="Times New Roman"/>
          <w:sz w:val="24"/>
          <w:szCs w:val="24"/>
        </w:rPr>
        <w:t>revenue driven by key brands such as DARZALEX, CARVYKTI, TECVAYLI, ERLEADA, TREMFYA, and SPRAVATO. The segment accounted for $55.67 billion in revenue for the latest trailing twelve months (LTM).</w:t>
      </w:r>
    </w:p>
    <w:p w14:paraId="2B3340DB" w14:textId="77777777" w:rsidR="00F167FC" w:rsidRDefault="00BC4BD4" w:rsidP="00F167FC">
      <w:pPr>
        <w:pStyle w:val="NoSpacing"/>
        <w:numPr>
          <w:ilvl w:val="0"/>
          <w:numId w:val="12"/>
        </w:numPr>
        <w:rPr>
          <w:rFonts w:ascii="Times New Roman" w:hAnsi="Times New Roman" w:cs="Times New Roman"/>
          <w:sz w:val="24"/>
          <w:szCs w:val="24"/>
        </w:rPr>
      </w:pPr>
      <w:r w:rsidRPr="00C24DA0">
        <w:rPr>
          <w:rFonts w:ascii="Times New Roman" w:hAnsi="Times New Roman" w:cs="Times New Roman"/>
          <w:b/>
          <w:bCs/>
          <w:sz w:val="24"/>
          <w:szCs w:val="24"/>
        </w:rPr>
        <w:t>Medical Devices</w:t>
      </w:r>
      <w:r w:rsidRPr="008B6A5C">
        <w:rPr>
          <w:rFonts w:ascii="Times New Roman" w:hAnsi="Times New Roman" w:cs="Times New Roman"/>
          <w:sz w:val="24"/>
          <w:szCs w:val="24"/>
        </w:rPr>
        <w:t>: Johnson &amp; Johnson’s medical device business is another key revenue driver</w:t>
      </w:r>
      <w:r w:rsidR="00212B91" w:rsidRPr="008B6A5C">
        <w:rPr>
          <w:rFonts w:ascii="Times New Roman" w:hAnsi="Times New Roman" w:cs="Times New Roman"/>
          <w:sz w:val="24"/>
          <w:szCs w:val="24"/>
        </w:rPr>
        <w:t xml:space="preserve">: Growth in this segment is driven by commercial execution, new product introductions, and strong procedure volumes. The segment contributed $30.91 billion in revenue for the latest </w:t>
      </w:r>
      <w:proofErr w:type="gramStart"/>
      <w:r w:rsidR="00212B91" w:rsidRPr="008B6A5C">
        <w:rPr>
          <w:rFonts w:ascii="Times New Roman" w:hAnsi="Times New Roman" w:cs="Times New Roman"/>
          <w:sz w:val="24"/>
          <w:szCs w:val="24"/>
        </w:rPr>
        <w:t>LTM </w:t>
      </w:r>
      <w:r w:rsidRPr="008B6A5C">
        <w:rPr>
          <w:rFonts w:ascii="Times New Roman" w:hAnsi="Times New Roman" w:cs="Times New Roman"/>
          <w:sz w:val="24"/>
          <w:szCs w:val="24"/>
        </w:rPr>
        <w:t>.</w:t>
      </w:r>
      <w:proofErr w:type="gramEnd"/>
      <w:r w:rsidRPr="008B6A5C">
        <w:rPr>
          <w:rFonts w:ascii="Times New Roman" w:hAnsi="Times New Roman" w:cs="Times New Roman"/>
          <w:sz w:val="24"/>
          <w:szCs w:val="24"/>
        </w:rPr>
        <w:t xml:space="preserve">         </w:t>
      </w:r>
    </w:p>
    <w:p w14:paraId="06FF0F3B" w14:textId="35B9926D" w:rsidR="00C24DA0" w:rsidRDefault="00BC4BD4" w:rsidP="00270787">
      <w:pPr>
        <w:pStyle w:val="NoSpacing"/>
        <w:ind w:left="720"/>
        <w:rPr>
          <w:rFonts w:ascii="Times New Roman" w:hAnsi="Times New Roman" w:cs="Times New Roman"/>
          <w:sz w:val="24"/>
          <w:szCs w:val="24"/>
        </w:rPr>
      </w:pPr>
      <w:r w:rsidRPr="008B6A5C">
        <w:rPr>
          <w:rFonts w:ascii="Times New Roman" w:hAnsi="Times New Roman" w:cs="Times New Roman"/>
          <w:sz w:val="24"/>
          <w:szCs w:val="24"/>
        </w:rPr>
        <w:t>This division is divided into four different areas, including:</w:t>
      </w:r>
    </w:p>
    <w:p w14:paraId="5F431343" w14:textId="77777777" w:rsidR="00C24DA0" w:rsidRDefault="00BC4BD4" w:rsidP="00F167FC">
      <w:pPr>
        <w:pStyle w:val="NoSpacing"/>
        <w:numPr>
          <w:ilvl w:val="0"/>
          <w:numId w:val="37"/>
        </w:numPr>
        <w:rPr>
          <w:rFonts w:ascii="Times New Roman" w:hAnsi="Times New Roman" w:cs="Times New Roman"/>
          <w:sz w:val="24"/>
          <w:szCs w:val="24"/>
        </w:rPr>
      </w:pPr>
      <w:proofErr w:type="spellStart"/>
      <w:r w:rsidRPr="00C24DA0">
        <w:rPr>
          <w:rFonts w:ascii="Times New Roman" w:hAnsi="Times New Roman" w:cs="Times New Roman"/>
          <w:sz w:val="24"/>
          <w:szCs w:val="24"/>
        </w:rPr>
        <w:t>Orthopedics</w:t>
      </w:r>
      <w:proofErr w:type="spellEnd"/>
      <w:r w:rsidRPr="00C24DA0">
        <w:rPr>
          <w:rFonts w:ascii="Times New Roman" w:hAnsi="Times New Roman" w:cs="Times New Roman"/>
          <w:sz w:val="24"/>
          <w:szCs w:val="24"/>
        </w:rPr>
        <w:t>: joint reconstruction, trauma, spine, sports medicine, and power tools</w:t>
      </w:r>
    </w:p>
    <w:p w14:paraId="0C6C27E6" w14:textId="77777777" w:rsidR="00C24DA0" w:rsidRDefault="00BC4BD4" w:rsidP="00F167FC">
      <w:pPr>
        <w:pStyle w:val="NoSpacing"/>
        <w:numPr>
          <w:ilvl w:val="0"/>
          <w:numId w:val="37"/>
        </w:numPr>
        <w:rPr>
          <w:rFonts w:ascii="Times New Roman" w:hAnsi="Times New Roman" w:cs="Times New Roman"/>
          <w:sz w:val="24"/>
          <w:szCs w:val="24"/>
        </w:rPr>
      </w:pPr>
      <w:r w:rsidRPr="008B6A5C">
        <w:rPr>
          <w:rFonts w:ascii="Times New Roman" w:hAnsi="Times New Roman" w:cs="Times New Roman"/>
          <w:sz w:val="24"/>
          <w:szCs w:val="24"/>
        </w:rPr>
        <w:t>Surgery: surgical systems and instruments</w:t>
      </w:r>
    </w:p>
    <w:p w14:paraId="01BF7962" w14:textId="40515D11" w:rsidR="00BC4BD4" w:rsidRPr="008B6A5C" w:rsidRDefault="00BC4BD4" w:rsidP="00F167FC">
      <w:pPr>
        <w:pStyle w:val="NoSpacing"/>
        <w:numPr>
          <w:ilvl w:val="0"/>
          <w:numId w:val="37"/>
        </w:numPr>
        <w:rPr>
          <w:rFonts w:ascii="Times New Roman" w:hAnsi="Times New Roman" w:cs="Times New Roman"/>
          <w:sz w:val="24"/>
          <w:szCs w:val="24"/>
        </w:rPr>
      </w:pPr>
      <w:r w:rsidRPr="008B6A5C">
        <w:rPr>
          <w:rFonts w:ascii="Times New Roman" w:hAnsi="Times New Roman" w:cs="Times New Roman"/>
          <w:sz w:val="24"/>
          <w:szCs w:val="24"/>
        </w:rPr>
        <w:t>Interventional solutions: heart rhythm disorders and neurovascular care support for health care professionals</w:t>
      </w:r>
    </w:p>
    <w:p w14:paraId="0EF5B4E3" w14:textId="77777777" w:rsidR="00BC4BD4" w:rsidRPr="008B6A5C" w:rsidRDefault="00BC4BD4" w:rsidP="00F167FC">
      <w:pPr>
        <w:rPr>
          <w:rFonts w:ascii="Times New Roman" w:hAnsi="Times New Roman" w:cs="Times New Roman"/>
          <w:sz w:val="24"/>
          <w:szCs w:val="24"/>
        </w:rPr>
      </w:pPr>
    </w:p>
    <w:p w14:paraId="032915F3" w14:textId="128FE7BA" w:rsidR="00BC4BD4" w:rsidRPr="008B6A5C" w:rsidRDefault="00B53976" w:rsidP="00F167FC">
      <w:pPr>
        <w:pStyle w:val="NoSpacing"/>
        <w:rPr>
          <w:rFonts w:ascii="Times New Roman" w:hAnsi="Times New Roman" w:cs="Times New Roman"/>
          <w:sz w:val="24"/>
          <w:szCs w:val="24"/>
        </w:rPr>
      </w:pPr>
      <w:r w:rsidRPr="008B6A5C">
        <w:rPr>
          <w:rFonts w:ascii="Times New Roman" w:hAnsi="Times New Roman" w:cs="Times New Roman"/>
          <w:sz w:val="24"/>
          <w:szCs w:val="24"/>
        </w:rPr>
        <w:t>3</w:t>
      </w:r>
      <w:r w:rsidRPr="00C24DA0">
        <w:rPr>
          <w:rFonts w:ascii="Times New Roman" w:hAnsi="Times New Roman" w:cs="Times New Roman"/>
          <w:b/>
          <w:bCs/>
          <w:sz w:val="24"/>
          <w:szCs w:val="24"/>
        </w:rPr>
        <w:t>.</w:t>
      </w:r>
      <w:r w:rsidR="00BC4BD4" w:rsidRPr="00C24DA0">
        <w:rPr>
          <w:rFonts w:ascii="Times New Roman" w:hAnsi="Times New Roman" w:cs="Times New Roman"/>
          <w:b/>
          <w:bCs/>
          <w:sz w:val="24"/>
          <w:szCs w:val="24"/>
        </w:rPr>
        <w:t>Consumer Health Products</w:t>
      </w:r>
      <w:r w:rsidR="00BC4BD4" w:rsidRPr="008B6A5C">
        <w:rPr>
          <w:rFonts w:ascii="Times New Roman" w:hAnsi="Times New Roman" w:cs="Times New Roman"/>
          <w:sz w:val="24"/>
          <w:szCs w:val="24"/>
        </w:rPr>
        <w:t xml:space="preserve">: This division covers consumer goods like over-the-counter medications, skincare, and hygiene products. Although it’s not as large as pharmaceuticals or </w:t>
      </w:r>
      <w:r w:rsidR="00BC4BD4" w:rsidRPr="008B6A5C">
        <w:rPr>
          <w:rFonts w:ascii="Times New Roman" w:hAnsi="Times New Roman" w:cs="Times New Roman"/>
          <w:sz w:val="24"/>
          <w:szCs w:val="24"/>
        </w:rPr>
        <w:lastRenderedPageBreak/>
        <w:t>medical devices, it still contributes significantly</w:t>
      </w:r>
      <w:r w:rsidR="00E860E6" w:rsidRPr="008B6A5C">
        <w:rPr>
          <w:rFonts w:ascii="Times New Roman" w:hAnsi="Times New Roman" w:cs="Times New Roman"/>
          <w:sz w:val="24"/>
          <w:szCs w:val="24"/>
        </w:rPr>
        <w:t>.</w:t>
      </w:r>
      <w:r w:rsidR="002D0FA1" w:rsidRPr="008B6A5C">
        <w:rPr>
          <w:rFonts w:ascii="Times New Roman" w:hAnsi="Times New Roman" w:cs="Times New Roman"/>
          <w:sz w:val="24"/>
          <w:szCs w:val="24"/>
        </w:rPr>
        <w:t xml:space="preserve"> This segment was responsible for 17% of total sales, representing $</w:t>
      </w:r>
      <w:r w:rsidR="00901CBE" w:rsidRPr="008B6A5C">
        <w:rPr>
          <w:rFonts w:ascii="Times New Roman" w:hAnsi="Times New Roman" w:cs="Times New Roman"/>
          <w:sz w:val="24"/>
          <w:szCs w:val="24"/>
        </w:rPr>
        <w:t>10</w:t>
      </w:r>
      <w:r w:rsidR="002D0FA1" w:rsidRPr="008B6A5C">
        <w:rPr>
          <w:rFonts w:ascii="Times New Roman" w:hAnsi="Times New Roman" w:cs="Times New Roman"/>
          <w:sz w:val="24"/>
          <w:szCs w:val="24"/>
        </w:rPr>
        <w:t xml:space="preserve">.05 billion of revenue for the full year. </w:t>
      </w:r>
      <w:r w:rsidR="00E860E6" w:rsidRPr="008B6A5C">
        <w:rPr>
          <w:rFonts w:ascii="Times New Roman" w:hAnsi="Times New Roman" w:cs="Times New Roman"/>
          <w:sz w:val="24"/>
          <w:szCs w:val="24"/>
        </w:rPr>
        <w:t xml:space="preserve"> </w:t>
      </w:r>
      <w:r w:rsidR="00BC4BD4" w:rsidRPr="008B6A5C">
        <w:rPr>
          <w:rFonts w:ascii="Times New Roman" w:hAnsi="Times New Roman" w:cs="Times New Roman"/>
          <w:sz w:val="24"/>
          <w:szCs w:val="24"/>
        </w:rPr>
        <w:t>segment offers a broad range of products used in three distinct categories:</w:t>
      </w:r>
    </w:p>
    <w:p w14:paraId="16E5CF80" w14:textId="77777777" w:rsidR="00327910" w:rsidRPr="008B6A5C" w:rsidRDefault="00327910" w:rsidP="00270787">
      <w:pPr>
        <w:pStyle w:val="NoSpacing"/>
        <w:numPr>
          <w:ilvl w:val="0"/>
          <w:numId w:val="39"/>
        </w:numPr>
        <w:rPr>
          <w:rFonts w:ascii="Times New Roman" w:hAnsi="Times New Roman" w:cs="Times New Roman"/>
          <w:sz w:val="24"/>
          <w:szCs w:val="24"/>
        </w:rPr>
      </w:pPr>
      <w:r w:rsidRPr="008B6A5C">
        <w:rPr>
          <w:rFonts w:ascii="Times New Roman" w:hAnsi="Times New Roman" w:cs="Times New Roman"/>
          <w:sz w:val="24"/>
          <w:szCs w:val="24"/>
        </w:rPr>
        <w:t>Baby Care: JOHNSON'S, AVEENO Baby</w:t>
      </w:r>
    </w:p>
    <w:p w14:paraId="09560E29" w14:textId="77777777" w:rsidR="00327910" w:rsidRPr="008B6A5C" w:rsidRDefault="00327910" w:rsidP="00325394">
      <w:pPr>
        <w:pStyle w:val="NoSpacing"/>
        <w:numPr>
          <w:ilvl w:val="0"/>
          <w:numId w:val="39"/>
        </w:numPr>
        <w:rPr>
          <w:rFonts w:ascii="Times New Roman" w:hAnsi="Times New Roman" w:cs="Times New Roman"/>
          <w:sz w:val="24"/>
          <w:szCs w:val="24"/>
        </w:rPr>
      </w:pPr>
      <w:r w:rsidRPr="008B6A5C">
        <w:rPr>
          <w:rFonts w:ascii="Times New Roman" w:hAnsi="Times New Roman" w:cs="Times New Roman"/>
          <w:sz w:val="24"/>
          <w:szCs w:val="24"/>
        </w:rPr>
        <w:t>Oral Care: LISTERINE</w:t>
      </w:r>
    </w:p>
    <w:p w14:paraId="4569F843" w14:textId="77777777" w:rsidR="00327910" w:rsidRPr="008B6A5C" w:rsidRDefault="00327910" w:rsidP="00325394">
      <w:pPr>
        <w:pStyle w:val="NoSpacing"/>
        <w:numPr>
          <w:ilvl w:val="0"/>
          <w:numId w:val="39"/>
        </w:numPr>
        <w:rPr>
          <w:rFonts w:ascii="Times New Roman" w:hAnsi="Times New Roman" w:cs="Times New Roman"/>
          <w:sz w:val="24"/>
          <w:szCs w:val="24"/>
        </w:rPr>
      </w:pPr>
      <w:r w:rsidRPr="008B6A5C">
        <w:rPr>
          <w:rFonts w:ascii="Times New Roman" w:hAnsi="Times New Roman" w:cs="Times New Roman"/>
          <w:sz w:val="24"/>
          <w:szCs w:val="24"/>
        </w:rPr>
        <w:t xml:space="preserve">Skin Health/Beauty: AVEENO, CLEAN &amp; CLEAR, DR. </w:t>
      </w:r>
      <w:proofErr w:type="gramStart"/>
      <w:r w:rsidRPr="008B6A5C">
        <w:rPr>
          <w:rFonts w:ascii="Times New Roman" w:hAnsi="Times New Roman" w:cs="Times New Roman"/>
          <w:sz w:val="24"/>
          <w:szCs w:val="24"/>
        </w:rPr>
        <w:t>CI:LABO</w:t>
      </w:r>
      <w:proofErr w:type="gramEnd"/>
      <w:r w:rsidRPr="008B6A5C">
        <w:rPr>
          <w:rFonts w:ascii="Times New Roman" w:hAnsi="Times New Roman" w:cs="Times New Roman"/>
          <w:sz w:val="24"/>
          <w:szCs w:val="24"/>
        </w:rPr>
        <w:t>, NEUTROGENA, OGX</w:t>
      </w:r>
    </w:p>
    <w:p w14:paraId="0D65F31E" w14:textId="77777777" w:rsidR="00327910" w:rsidRPr="008B6A5C" w:rsidRDefault="00327910" w:rsidP="00325394">
      <w:pPr>
        <w:pStyle w:val="NoSpacing"/>
        <w:numPr>
          <w:ilvl w:val="0"/>
          <w:numId w:val="39"/>
        </w:numPr>
        <w:rPr>
          <w:rFonts w:ascii="Times New Roman" w:hAnsi="Times New Roman" w:cs="Times New Roman"/>
          <w:sz w:val="24"/>
          <w:szCs w:val="24"/>
        </w:rPr>
      </w:pPr>
      <w:r w:rsidRPr="008B6A5C">
        <w:rPr>
          <w:rFonts w:ascii="Times New Roman" w:hAnsi="Times New Roman" w:cs="Times New Roman"/>
          <w:sz w:val="24"/>
          <w:szCs w:val="24"/>
        </w:rPr>
        <w:t>Over-the-Counter (OTC) Products: TYLENOL, SUDAFED, BENADRYL, ZYRTEC, MOTRIN IB, NICORETTE, PEPCID</w:t>
      </w:r>
    </w:p>
    <w:p w14:paraId="1B2C7209" w14:textId="77777777" w:rsidR="00327910" w:rsidRPr="008B6A5C" w:rsidRDefault="00327910" w:rsidP="00325394">
      <w:pPr>
        <w:pStyle w:val="NoSpacing"/>
        <w:numPr>
          <w:ilvl w:val="0"/>
          <w:numId w:val="39"/>
        </w:numPr>
        <w:rPr>
          <w:rFonts w:ascii="Times New Roman" w:hAnsi="Times New Roman" w:cs="Times New Roman"/>
          <w:sz w:val="24"/>
          <w:szCs w:val="24"/>
        </w:rPr>
      </w:pPr>
      <w:r w:rsidRPr="008B6A5C">
        <w:rPr>
          <w:rFonts w:ascii="Times New Roman" w:hAnsi="Times New Roman" w:cs="Times New Roman"/>
          <w:sz w:val="24"/>
          <w:szCs w:val="24"/>
        </w:rPr>
        <w:t xml:space="preserve">Women's Health: STAYFREE, CAREFREE, </w:t>
      </w:r>
      <w:proofErr w:type="spellStart"/>
      <w:r w:rsidRPr="008B6A5C">
        <w:rPr>
          <w:rFonts w:ascii="Times New Roman" w:hAnsi="Times New Roman" w:cs="Times New Roman"/>
          <w:sz w:val="24"/>
          <w:szCs w:val="24"/>
        </w:rPr>
        <w:t>o.b.</w:t>
      </w:r>
      <w:proofErr w:type="spellEnd"/>
    </w:p>
    <w:p w14:paraId="131F7639" w14:textId="77777777" w:rsidR="00327910" w:rsidRPr="008B6A5C" w:rsidRDefault="00327910" w:rsidP="00325394">
      <w:pPr>
        <w:pStyle w:val="NoSpacing"/>
        <w:numPr>
          <w:ilvl w:val="0"/>
          <w:numId w:val="39"/>
        </w:numPr>
        <w:rPr>
          <w:rFonts w:ascii="Times New Roman" w:hAnsi="Times New Roman" w:cs="Times New Roman"/>
          <w:sz w:val="24"/>
          <w:szCs w:val="24"/>
        </w:rPr>
      </w:pPr>
      <w:r w:rsidRPr="008B6A5C">
        <w:rPr>
          <w:rFonts w:ascii="Times New Roman" w:hAnsi="Times New Roman" w:cs="Times New Roman"/>
          <w:sz w:val="24"/>
          <w:szCs w:val="24"/>
        </w:rPr>
        <w:t>Wound Care: BAND-AID, NEOSPORIN</w:t>
      </w:r>
    </w:p>
    <w:p w14:paraId="10C73296" w14:textId="77777777" w:rsidR="004D36C5" w:rsidRDefault="00BC4BD4" w:rsidP="00F167FC">
      <w:pPr>
        <w:pStyle w:val="NoSpacing"/>
        <w:rPr>
          <w:rFonts w:ascii="Times New Roman" w:hAnsi="Times New Roman" w:cs="Times New Roman"/>
          <w:sz w:val="24"/>
          <w:szCs w:val="24"/>
        </w:rPr>
      </w:pPr>
      <w:r w:rsidRPr="008B6A5C">
        <w:rPr>
          <w:rFonts w:ascii="Times New Roman" w:hAnsi="Times New Roman" w:cs="Times New Roman"/>
          <w:sz w:val="24"/>
          <w:szCs w:val="24"/>
        </w:rPr>
        <w:t>According to the </w:t>
      </w:r>
      <w:hyperlink r:id="rId9" w:history="1">
        <w:r w:rsidRPr="008B6A5C">
          <w:rPr>
            <w:rStyle w:val="Hyperlink"/>
            <w:rFonts w:ascii="Times New Roman" w:hAnsi="Times New Roman" w:cs="Times New Roman"/>
            <w:sz w:val="24"/>
            <w:szCs w:val="24"/>
          </w:rPr>
          <w:t>earnings report</w:t>
        </w:r>
      </w:hyperlink>
      <w:r w:rsidRPr="008B6A5C">
        <w:rPr>
          <w:rFonts w:ascii="Times New Roman" w:hAnsi="Times New Roman" w:cs="Times New Roman"/>
          <w:sz w:val="24"/>
          <w:szCs w:val="24"/>
        </w:rPr>
        <w:t xml:space="preserve">, the division's sales grew by 3% from the previous year, </w:t>
      </w:r>
      <w:proofErr w:type="spellStart"/>
      <w:r w:rsidRPr="008B6A5C">
        <w:rPr>
          <w:rFonts w:ascii="Times New Roman" w:hAnsi="Times New Roman" w:cs="Times New Roman"/>
          <w:sz w:val="24"/>
          <w:szCs w:val="24"/>
        </w:rPr>
        <w:t>fueled</w:t>
      </w:r>
      <w:proofErr w:type="spellEnd"/>
      <w:r w:rsidRPr="008B6A5C">
        <w:rPr>
          <w:rFonts w:ascii="Times New Roman" w:hAnsi="Times New Roman" w:cs="Times New Roman"/>
          <w:sz w:val="24"/>
          <w:szCs w:val="24"/>
        </w:rPr>
        <w:t xml:space="preserve"> by demand for some of its key brand names, including Tylenol and Listerine.</w:t>
      </w:r>
    </w:p>
    <w:p w14:paraId="3D22324C" w14:textId="77777777" w:rsidR="004D36C5" w:rsidRDefault="004D36C5" w:rsidP="00F167FC">
      <w:pPr>
        <w:pStyle w:val="NoSpacing"/>
        <w:rPr>
          <w:rFonts w:ascii="Times New Roman" w:hAnsi="Times New Roman" w:cs="Times New Roman"/>
          <w:sz w:val="24"/>
          <w:szCs w:val="24"/>
        </w:rPr>
      </w:pPr>
    </w:p>
    <w:p w14:paraId="5A3B218F" w14:textId="16FD0CA0" w:rsidR="00696FBD" w:rsidRPr="008B6A5C" w:rsidRDefault="004D36C5" w:rsidP="00F167FC">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DA263A" wp14:editId="29F36ECD">
            <wp:extent cx="5274310" cy="2647332"/>
            <wp:effectExtent l="0" t="0" r="2540" b="635"/>
            <wp:docPr id="870087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87823" name="Picture 87008782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92938" cy="2656682"/>
                    </a:xfrm>
                    <a:prstGeom prst="rect">
                      <a:avLst/>
                    </a:prstGeom>
                  </pic:spPr>
                </pic:pic>
              </a:graphicData>
            </a:graphic>
          </wp:inline>
        </w:drawing>
      </w:r>
      <w:r w:rsidR="00BC4BD4" w:rsidRPr="008B6A5C">
        <w:rPr>
          <w:rFonts w:ascii="Times New Roman" w:hAnsi="Times New Roman" w:cs="Times New Roman"/>
          <w:sz w:val="24"/>
          <w:szCs w:val="24"/>
        </w:rPr>
        <w:br/>
      </w:r>
    </w:p>
    <w:p w14:paraId="743E37BC" w14:textId="477E7AD5" w:rsidR="00696FBD" w:rsidRPr="008B6A5C" w:rsidRDefault="00696FBD" w:rsidP="00F167FC">
      <w:pPr>
        <w:pStyle w:val="NoSpacing"/>
        <w:rPr>
          <w:rFonts w:ascii="Times New Roman" w:hAnsi="Times New Roman" w:cs="Times New Roman"/>
          <w:sz w:val="24"/>
          <w:szCs w:val="24"/>
        </w:rPr>
      </w:pPr>
      <w:r w:rsidRPr="008B6A5C">
        <w:rPr>
          <w:rFonts w:ascii="Times New Roman" w:hAnsi="Times New Roman" w:cs="Times New Roman"/>
          <w:sz w:val="24"/>
          <w:szCs w:val="24"/>
        </w:rPr>
        <w:t>Annual Revenue Segments Breakdown (2023 Q4):</w:t>
      </w:r>
    </w:p>
    <w:p w14:paraId="11ED197E" w14:textId="77777777" w:rsidR="00696FBD" w:rsidRPr="008B6A5C" w:rsidRDefault="00696FBD" w:rsidP="00F167FC">
      <w:pPr>
        <w:pStyle w:val="NoSpacing"/>
        <w:numPr>
          <w:ilvl w:val="0"/>
          <w:numId w:val="20"/>
        </w:numPr>
        <w:rPr>
          <w:rFonts w:ascii="Times New Roman" w:hAnsi="Times New Roman" w:cs="Times New Roman"/>
          <w:sz w:val="24"/>
          <w:szCs w:val="24"/>
        </w:rPr>
      </w:pPr>
      <w:r w:rsidRPr="008B6A5C">
        <w:rPr>
          <w:rFonts w:ascii="Times New Roman" w:hAnsi="Times New Roman" w:cs="Times New Roman"/>
          <w:sz w:val="24"/>
          <w:szCs w:val="24"/>
        </w:rPr>
        <w:t>Innovative Medicine Revenue: $54.76B (57.52%)</w:t>
      </w:r>
    </w:p>
    <w:p w14:paraId="4FF7A35B" w14:textId="77777777" w:rsidR="00696FBD" w:rsidRPr="008B6A5C" w:rsidRDefault="00696FBD" w:rsidP="00F167FC">
      <w:pPr>
        <w:pStyle w:val="NoSpacing"/>
        <w:numPr>
          <w:ilvl w:val="0"/>
          <w:numId w:val="20"/>
        </w:numPr>
        <w:rPr>
          <w:rFonts w:ascii="Times New Roman" w:hAnsi="Times New Roman" w:cs="Times New Roman"/>
          <w:sz w:val="24"/>
          <w:szCs w:val="24"/>
        </w:rPr>
      </w:pPr>
      <w:r w:rsidRPr="008B6A5C">
        <w:rPr>
          <w:rFonts w:ascii="Times New Roman" w:hAnsi="Times New Roman" w:cs="Times New Roman"/>
          <w:sz w:val="24"/>
          <w:szCs w:val="24"/>
        </w:rPr>
        <w:t>MedTech Revenue: $30.4B (31.93%)</w:t>
      </w:r>
    </w:p>
    <w:p w14:paraId="6A42B6D1" w14:textId="77777777" w:rsidR="00696FBD" w:rsidRPr="008B6A5C" w:rsidRDefault="00696FBD" w:rsidP="00F167FC">
      <w:pPr>
        <w:pStyle w:val="NoSpacing"/>
        <w:numPr>
          <w:ilvl w:val="0"/>
          <w:numId w:val="20"/>
        </w:numPr>
        <w:rPr>
          <w:rFonts w:ascii="Times New Roman" w:hAnsi="Times New Roman" w:cs="Times New Roman"/>
          <w:sz w:val="24"/>
          <w:szCs w:val="24"/>
        </w:rPr>
      </w:pPr>
      <w:r w:rsidRPr="008B6A5C">
        <w:rPr>
          <w:rFonts w:ascii="Times New Roman" w:hAnsi="Times New Roman" w:cs="Times New Roman"/>
          <w:sz w:val="24"/>
          <w:szCs w:val="24"/>
        </w:rPr>
        <w:t>Consumer Health Revenue: $10.04B (10.54%)</w:t>
      </w:r>
    </w:p>
    <w:p w14:paraId="4D733AD6" w14:textId="77777777" w:rsidR="0070442D" w:rsidRDefault="00696FBD" w:rsidP="009C335F">
      <w:pPr>
        <w:pStyle w:val="NoSpacing"/>
        <w:numPr>
          <w:ilvl w:val="0"/>
          <w:numId w:val="20"/>
        </w:numPr>
        <w:rPr>
          <w:rFonts w:ascii="Times New Roman" w:hAnsi="Times New Roman" w:cs="Times New Roman"/>
          <w:sz w:val="24"/>
          <w:szCs w:val="24"/>
        </w:rPr>
      </w:pPr>
      <w:r w:rsidRPr="008B6A5C">
        <w:rPr>
          <w:rFonts w:ascii="Times New Roman" w:hAnsi="Times New Roman" w:cs="Times New Roman"/>
          <w:sz w:val="24"/>
          <w:szCs w:val="24"/>
        </w:rPr>
        <w:t>Total Revenue: $95.2B</w:t>
      </w:r>
    </w:p>
    <w:p w14:paraId="5C44D6B1" w14:textId="77777777" w:rsidR="004D65DE" w:rsidRDefault="004D65DE" w:rsidP="0070442D">
      <w:pPr>
        <w:ind w:left="360"/>
        <w:rPr>
          <w:rFonts w:ascii="Times New Roman" w:hAnsi="Times New Roman" w:cs="Times New Roman"/>
          <w:b/>
          <w:bCs/>
          <w:sz w:val="28"/>
          <w:szCs w:val="28"/>
        </w:rPr>
      </w:pPr>
    </w:p>
    <w:p w14:paraId="575E4F5F" w14:textId="5DF8FBF2" w:rsidR="0070442D" w:rsidRPr="0070442D" w:rsidRDefault="0070442D" w:rsidP="004D65DE">
      <w:pPr>
        <w:ind w:left="360"/>
        <w:jc w:val="both"/>
        <w:rPr>
          <w:rFonts w:ascii="Times New Roman" w:hAnsi="Times New Roman" w:cs="Times New Roman"/>
          <w:b/>
          <w:bCs/>
          <w:sz w:val="28"/>
          <w:szCs w:val="28"/>
        </w:rPr>
      </w:pPr>
      <w:r>
        <w:rPr>
          <w:rFonts w:ascii="Times New Roman" w:hAnsi="Times New Roman" w:cs="Times New Roman"/>
          <w:b/>
          <w:bCs/>
          <w:sz w:val="28"/>
          <w:szCs w:val="28"/>
        </w:rPr>
        <w:t>Cost</w:t>
      </w:r>
      <w:r w:rsidRPr="0070442D">
        <w:rPr>
          <w:rFonts w:ascii="Times New Roman" w:hAnsi="Times New Roman" w:cs="Times New Roman"/>
          <w:b/>
          <w:bCs/>
          <w:sz w:val="28"/>
          <w:szCs w:val="28"/>
        </w:rPr>
        <w:t xml:space="preserve"> drivers for Johnson &amp; Johnson (J&amp;J)</w:t>
      </w:r>
    </w:p>
    <w:p w14:paraId="058C162D" w14:textId="77777777" w:rsidR="00EA15BC" w:rsidRPr="008B6A5C" w:rsidRDefault="00EA15BC" w:rsidP="00EA15BC">
      <w:pPr>
        <w:rPr>
          <w:rFonts w:ascii="Times New Roman" w:hAnsi="Times New Roman" w:cs="Times New Roman"/>
          <w:sz w:val="24"/>
          <w:szCs w:val="24"/>
        </w:rPr>
      </w:pPr>
      <w:r w:rsidRPr="008B6A5C">
        <w:rPr>
          <w:rFonts w:ascii="Times New Roman" w:hAnsi="Times New Roman" w:cs="Times New Roman"/>
          <w:sz w:val="24"/>
          <w:szCs w:val="24"/>
        </w:rPr>
        <w:t> Key Cost Drivers</w:t>
      </w:r>
    </w:p>
    <w:p w14:paraId="6A3B6927" w14:textId="77777777" w:rsidR="00EA15BC" w:rsidRPr="008B6A5C" w:rsidRDefault="00EA15BC" w:rsidP="00EA15BC">
      <w:pPr>
        <w:numPr>
          <w:ilvl w:val="0"/>
          <w:numId w:val="21"/>
        </w:numPr>
        <w:rPr>
          <w:rFonts w:ascii="Times New Roman" w:hAnsi="Times New Roman" w:cs="Times New Roman"/>
          <w:sz w:val="24"/>
          <w:szCs w:val="24"/>
        </w:rPr>
      </w:pPr>
      <w:r w:rsidRPr="008B6A5C">
        <w:rPr>
          <w:rFonts w:ascii="Times New Roman" w:hAnsi="Times New Roman" w:cs="Times New Roman"/>
          <w:sz w:val="24"/>
          <w:szCs w:val="24"/>
        </w:rPr>
        <w:t>Total Revenue (2023): $86.58 billion</w:t>
      </w:r>
    </w:p>
    <w:p w14:paraId="043DEED7" w14:textId="77777777" w:rsidR="00EA15BC" w:rsidRPr="008B6A5C" w:rsidRDefault="00EA15BC" w:rsidP="00EA15BC">
      <w:pPr>
        <w:rPr>
          <w:rFonts w:ascii="Times New Roman" w:hAnsi="Times New Roman" w:cs="Times New Roman"/>
          <w:sz w:val="24"/>
          <w:szCs w:val="24"/>
        </w:rPr>
      </w:pPr>
      <w:r w:rsidRPr="008B6A5C">
        <w:rPr>
          <w:rFonts w:ascii="Times New Roman" w:hAnsi="Times New Roman" w:cs="Times New Roman"/>
          <w:sz w:val="24"/>
          <w:szCs w:val="24"/>
        </w:rPr>
        <w:t>Breakdown of Major Costs:</w:t>
      </w:r>
    </w:p>
    <w:p w14:paraId="57005046" w14:textId="77777777" w:rsidR="00EA15BC" w:rsidRPr="008B6A5C" w:rsidRDefault="00EA15BC" w:rsidP="009F2054">
      <w:pPr>
        <w:numPr>
          <w:ilvl w:val="0"/>
          <w:numId w:val="40"/>
        </w:numPr>
        <w:rPr>
          <w:rFonts w:ascii="Times New Roman" w:hAnsi="Times New Roman" w:cs="Times New Roman"/>
          <w:sz w:val="24"/>
          <w:szCs w:val="24"/>
        </w:rPr>
      </w:pPr>
      <w:r w:rsidRPr="008B6A5C">
        <w:rPr>
          <w:rFonts w:ascii="Times New Roman" w:hAnsi="Times New Roman" w:cs="Times New Roman"/>
          <w:sz w:val="24"/>
          <w:szCs w:val="24"/>
        </w:rPr>
        <w:t>COGS: $30.5 billion (35% of revenue)</w:t>
      </w:r>
    </w:p>
    <w:p w14:paraId="421460AD" w14:textId="77777777" w:rsidR="00EA15BC" w:rsidRPr="008B6A5C" w:rsidRDefault="00EA15BC" w:rsidP="009F2054">
      <w:pPr>
        <w:numPr>
          <w:ilvl w:val="0"/>
          <w:numId w:val="40"/>
        </w:numPr>
        <w:rPr>
          <w:rFonts w:ascii="Times New Roman" w:hAnsi="Times New Roman" w:cs="Times New Roman"/>
          <w:sz w:val="24"/>
          <w:szCs w:val="24"/>
        </w:rPr>
      </w:pPr>
      <w:r w:rsidRPr="008B6A5C">
        <w:rPr>
          <w:rFonts w:ascii="Times New Roman" w:hAnsi="Times New Roman" w:cs="Times New Roman"/>
          <w:sz w:val="24"/>
          <w:szCs w:val="24"/>
        </w:rPr>
        <w:t>R&amp;D Expenses: $14.6 billion (16% of revenue)</w:t>
      </w:r>
    </w:p>
    <w:p w14:paraId="22CD9F1F" w14:textId="77777777" w:rsidR="00EA15BC" w:rsidRPr="008B6A5C" w:rsidRDefault="00EA15BC" w:rsidP="009F2054">
      <w:pPr>
        <w:numPr>
          <w:ilvl w:val="0"/>
          <w:numId w:val="40"/>
        </w:numPr>
        <w:rPr>
          <w:rFonts w:ascii="Times New Roman" w:hAnsi="Times New Roman" w:cs="Times New Roman"/>
          <w:sz w:val="24"/>
          <w:szCs w:val="24"/>
        </w:rPr>
      </w:pPr>
      <w:r w:rsidRPr="008B6A5C">
        <w:rPr>
          <w:rFonts w:ascii="Times New Roman" w:hAnsi="Times New Roman" w:cs="Times New Roman"/>
          <w:sz w:val="24"/>
          <w:szCs w:val="24"/>
        </w:rPr>
        <w:t>SG&amp;A Expenses: $22.3 billion (25% of revenue)</w:t>
      </w:r>
    </w:p>
    <w:p w14:paraId="541641ED" w14:textId="6C007B79" w:rsidR="001E3EAC" w:rsidRPr="008B6A5C" w:rsidRDefault="00EA15BC" w:rsidP="009F2054">
      <w:pPr>
        <w:numPr>
          <w:ilvl w:val="0"/>
          <w:numId w:val="40"/>
        </w:numPr>
        <w:rPr>
          <w:rFonts w:ascii="Times New Roman" w:hAnsi="Times New Roman" w:cs="Times New Roman"/>
          <w:sz w:val="24"/>
          <w:szCs w:val="24"/>
        </w:rPr>
      </w:pPr>
      <w:r w:rsidRPr="008B6A5C">
        <w:rPr>
          <w:rFonts w:ascii="Times New Roman" w:hAnsi="Times New Roman" w:cs="Times New Roman"/>
          <w:sz w:val="24"/>
          <w:szCs w:val="24"/>
        </w:rPr>
        <w:lastRenderedPageBreak/>
        <w:t xml:space="preserve">Interest and Financing Costs: $1.2 </w:t>
      </w:r>
      <w:proofErr w:type="spellStart"/>
      <w:r w:rsidRPr="008B6A5C">
        <w:rPr>
          <w:rFonts w:ascii="Times New Roman" w:hAnsi="Times New Roman" w:cs="Times New Roman"/>
          <w:sz w:val="24"/>
          <w:szCs w:val="24"/>
        </w:rPr>
        <w:t>billio</w:t>
      </w:r>
      <w:proofErr w:type="spellEnd"/>
      <w:r w:rsidR="001E3EAC" w:rsidRPr="008B6A5C">
        <w:rPr>
          <w:rFonts w:ascii="Times New Roman" w:eastAsia="Times New Roman" w:hAnsi="Times New Roman" w:cs="Times New Roman"/>
          <w:kern w:val="0"/>
          <w:sz w:val="24"/>
          <w:szCs w:val="24"/>
          <w:lang w:eastAsia="en-IN"/>
          <w14:ligatures w14:val="none"/>
        </w:rPr>
        <w:t xml:space="preserve"> </w:t>
      </w:r>
      <w:r w:rsidR="001E3EAC" w:rsidRPr="008B6A5C">
        <w:rPr>
          <w:rFonts w:ascii="Times New Roman" w:hAnsi="Times New Roman" w:cs="Times New Roman"/>
          <w:sz w:val="24"/>
          <w:szCs w:val="24"/>
        </w:rPr>
        <w:t>Cost of Goods Sold (COGS): Primarily variable, at $30.5 billion, accounting for 35% of revenue. It directly correlates with production and sales volume—higher sales lead to higher COGS.</w:t>
      </w:r>
    </w:p>
    <w:p w14:paraId="74EC01C1" w14:textId="77777777" w:rsidR="001E3EAC" w:rsidRPr="008B6A5C" w:rsidRDefault="001E3EAC" w:rsidP="009F2054">
      <w:pPr>
        <w:numPr>
          <w:ilvl w:val="0"/>
          <w:numId w:val="40"/>
        </w:numPr>
        <w:rPr>
          <w:rFonts w:ascii="Times New Roman" w:hAnsi="Times New Roman" w:cs="Times New Roman"/>
          <w:sz w:val="24"/>
          <w:szCs w:val="24"/>
        </w:rPr>
      </w:pPr>
      <w:r w:rsidRPr="008B6A5C">
        <w:rPr>
          <w:rFonts w:ascii="Times New Roman" w:hAnsi="Times New Roman" w:cs="Times New Roman"/>
          <w:sz w:val="24"/>
          <w:szCs w:val="24"/>
        </w:rPr>
        <w:t xml:space="preserve">Research &amp; Development (R&amp;D): Both fixed and variable, </w:t>
      </w:r>
      <w:proofErr w:type="spellStart"/>
      <w:r w:rsidRPr="008B6A5C">
        <w:rPr>
          <w:rFonts w:ascii="Times New Roman" w:hAnsi="Times New Roman" w:cs="Times New Roman"/>
          <w:sz w:val="24"/>
          <w:szCs w:val="24"/>
        </w:rPr>
        <w:t>totaling</w:t>
      </w:r>
      <w:proofErr w:type="spellEnd"/>
      <w:r w:rsidRPr="008B6A5C">
        <w:rPr>
          <w:rFonts w:ascii="Times New Roman" w:hAnsi="Times New Roman" w:cs="Times New Roman"/>
          <w:sz w:val="24"/>
          <w:szCs w:val="24"/>
        </w:rPr>
        <w:t xml:space="preserve"> $14.6 billion or 16% of revenue. Fixed costs include staff salaries and infrastructure, while variable costs depend on the number and scale of projects, showing some correlation with revenue.</w:t>
      </w:r>
    </w:p>
    <w:p w14:paraId="1D0C2F18" w14:textId="77777777" w:rsidR="001E3EAC" w:rsidRPr="008B6A5C" w:rsidRDefault="001E3EAC" w:rsidP="009F2054">
      <w:pPr>
        <w:numPr>
          <w:ilvl w:val="0"/>
          <w:numId w:val="40"/>
        </w:numPr>
        <w:rPr>
          <w:rFonts w:ascii="Times New Roman" w:hAnsi="Times New Roman" w:cs="Times New Roman"/>
          <w:sz w:val="24"/>
          <w:szCs w:val="24"/>
        </w:rPr>
      </w:pPr>
      <w:r w:rsidRPr="008B6A5C">
        <w:rPr>
          <w:rFonts w:ascii="Times New Roman" w:hAnsi="Times New Roman" w:cs="Times New Roman"/>
          <w:sz w:val="24"/>
          <w:szCs w:val="24"/>
        </w:rPr>
        <w:t>Selling, General, and Administrative (SG&amp;A) Expenses: Both fixed and variable, at $22.3 billion, representing 25% of revenue. Fixed costs include salaries and rent, while variable costs like sales commissions and marketing vary with sales volume.</w:t>
      </w:r>
    </w:p>
    <w:p w14:paraId="7777676F" w14:textId="77777777" w:rsidR="001E3EAC" w:rsidRPr="008B6A5C" w:rsidRDefault="001E3EAC" w:rsidP="009F2054">
      <w:pPr>
        <w:numPr>
          <w:ilvl w:val="0"/>
          <w:numId w:val="40"/>
        </w:numPr>
        <w:rPr>
          <w:rFonts w:ascii="Times New Roman" w:hAnsi="Times New Roman" w:cs="Times New Roman"/>
          <w:sz w:val="24"/>
          <w:szCs w:val="24"/>
        </w:rPr>
      </w:pPr>
      <w:r w:rsidRPr="008B6A5C">
        <w:rPr>
          <w:rFonts w:ascii="Times New Roman" w:hAnsi="Times New Roman" w:cs="Times New Roman"/>
          <w:sz w:val="24"/>
          <w:szCs w:val="24"/>
        </w:rPr>
        <w:t xml:space="preserve">Manufacturing Overhead: Included in COGS, with both fixed (depreciation) and variable (utilities, indirect </w:t>
      </w:r>
      <w:proofErr w:type="spellStart"/>
      <w:r w:rsidRPr="008B6A5C">
        <w:rPr>
          <w:rFonts w:ascii="Times New Roman" w:hAnsi="Times New Roman" w:cs="Times New Roman"/>
          <w:sz w:val="24"/>
          <w:szCs w:val="24"/>
        </w:rPr>
        <w:t>labor</w:t>
      </w:r>
      <w:proofErr w:type="spellEnd"/>
      <w:r w:rsidRPr="008B6A5C">
        <w:rPr>
          <w:rFonts w:ascii="Times New Roman" w:hAnsi="Times New Roman" w:cs="Times New Roman"/>
          <w:sz w:val="24"/>
          <w:szCs w:val="24"/>
        </w:rPr>
        <w:t>) components, showing some correlation with production levels and revenue.</w:t>
      </w:r>
    </w:p>
    <w:p w14:paraId="3AC8049C" w14:textId="77777777" w:rsidR="001E3EAC" w:rsidRPr="008B6A5C" w:rsidRDefault="001E3EAC" w:rsidP="009F2054">
      <w:pPr>
        <w:numPr>
          <w:ilvl w:val="0"/>
          <w:numId w:val="40"/>
        </w:numPr>
        <w:rPr>
          <w:rFonts w:ascii="Times New Roman" w:hAnsi="Times New Roman" w:cs="Times New Roman"/>
          <w:sz w:val="24"/>
          <w:szCs w:val="24"/>
        </w:rPr>
      </w:pPr>
      <w:r w:rsidRPr="008B6A5C">
        <w:rPr>
          <w:rFonts w:ascii="Times New Roman" w:hAnsi="Times New Roman" w:cs="Times New Roman"/>
          <w:sz w:val="24"/>
          <w:szCs w:val="24"/>
        </w:rPr>
        <w:t>Distribution and Logistics: Part of SG&amp;A, primarily variable, highly correlated with sales volume—higher sales lead to higher distribution costs.</w:t>
      </w:r>
    </w:p>
    <w:p w14:paraId="2665B51B" w14:textId="77777777" w:rsidR="001E3EAC" w:rsidRPr="008B6A5C" w:rsidRDefault="001E3EAC" w:rsidP="009F2054">
      <w:pPr>
        <w:numPr>
          <w:ilvl w:val="0"/>
          <w:numId w:val="40"/>
        </w:numPr>
        <w:rPr>
          <w:rFonts w:ascii="Times New Roman" w:hAnsi="Times New Roman" w:cs="Times New Roman"/>
          <w:sz w:val="24"/>
          <w:szCs w:val="24"/>
        </w:rPr>
      </w:pPr>
      <w:r w:rsidRPr="008B6A5C">
        <w:rPr>
          <w:rFonts w:ascii="Times New Roman" w:hAnsi="Times New Roman" w:cs="Times New Roman"/>
          <w:sz w:val="24"/>
          <w:szCs w:val="24"/>
        </w:rPr>
        <w:t>Regulatory and Compliance Costs: Included in SG&amp;A and R&amp;D, with both fixed (compliance staff salaries) and variable (regulatory filings) components. Variable costs correlate with the number of new products and regulatory requirements.</w:t>
      </w:r>
    </w:p>
    <w:p w14:paraId="26E19DE2" w14:textId="77777777" w:rsidR="001E3EAC" w:rsidRPr="008B6A5C" w:rsidRDefault="001E3EAC" w:rsidP="009F2054">
      <w:pPr>
        <w:numPr>
          <w:ilvl w:val="0"/>
          <w:numId w:val="40"/>
        </w:numPr>
        <w:rPr>
          <w:rFonts w:ascii="Times New Roman" w:hAnsi="Times New Roman" w:cs="Times New Roman"/>
          <w:sz w:val="24"/>
          <w:szCs w:val="24"/>
        </w:rPr>
      </w:pPr>
      <w:r w:rsidRPr="008B6A5C">
        <w:rPr>
          <w:rFonts w:ascii="Times New Roman" w:hAnsi="Times New Roman" w:cs="Times New Roman"/>
          <w:sz w:val="24"/>
          <w:szCs w:val="24"/>
        </w:rPr>
        <w:t>Intellectual Property and Licensing Costs: Part of SG&amp;A and R&amp;D, with both fixed (patent fees) and variable (royalties) components. Variable costs depend on sales—higher sales lead to higher royalties.</w:t>
      </w:r>
    </w:p>
    <w:p w14:paraId="3872AF1C" w14:textId="77777777" w:rsidR="001E3EAC" w:rsidRPr="008B6A5C" w:rsidRDefault="001E3EAC" w:rsidP="009F2054">
      <w:pPr>
        <w:numPr>
          <w:ilvl w:val="0"/>
          <w:numId w:val="40"/>
        </w:numPr>
        <w:rPr>
          <w:rFonts w:ascii="Times New Roman" w:hAnsi="Times New Roman" w:cs="Times New Roman"/>
          <w:sz w:val="24"/>
          <w:szCs w:val="24"/>
        </w:rPr>
      </w:pPr>
      <w:r w:rsidRPr="008B6A5C">
        <w:rPr>
          <w:rFonts w:ascii="Times New Roman" w:hAnsi="Times New Roman" w:cs="Times New Roman"/>
          <w:sz w:val="24"/>
          <w:szCs w:val="24"/>
        </w:rPr>
        <w:t>Interest and Financing Costs: Generally fixed at $1.2 billion or 1.4% of revenue, influenced by debt levels and interest rates, and not directly correlated with revenue.</w:t>
      </w:r>
    </w:p>
    <w:p w14:paraId="22B48E01" w14:textId="77777777" w:rsidR="001E3EAC" w:rsidRDefault="001E3EAC" w:rsidP="009F2054">
      <w:pPr>
        <w:ind w:left="360"/>
        <w:rPr>
          <w:rFonts w:ascii="Times New Roman" w:hAnsi="Times New Roman" w:cs="Times New Roman"/>
          <w:sz w:val="24"/>
          <w:szCs w:val="24"/>
        </w:rPr>
      </w:pPr>
      <w:r w:rsidRPr="008B6A5C">
        <w:rPr>
          <w:rFonts w:ascii="Times New Roman" w:hAnsi="Times New Roman" w:cs="Times New Roman"/>
          <w:sz w:val="24"/>
          <w:szCs w:val="24"/>
        </w:rPr>
        <w:t>In summary, J&amp;J’s cost structure is a mix of variable costs (e.g., COGS, distribution, variable R&amp;D, SG&amp;A) and fixed costs (e.g., fixed R&amp;D, SG&amp;A, manufacturing overhead, compliance, financing), with variable costs closely tied to production and sales volumes, while fixed costs remain relatively stable regardless of revenue.</w:t>
      </w:r>
    </w:p>
    <w:p w14:paraId="50D110A0" w14:textId="2BCE8CEC" w:rsidR="000856A3" w:rsidRPr="008B6A5C" w:rsidRDefault="000856A3" w:rsidP="009F2054">
      <w:pPr>
        <w:ind w:left="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00FD65" wp14:editId="5744E995">
            <wp:extent cx="3763068" cy="2667000"/>
            <wp:effectExtent l="0" t="0" r="8890" b="0"/>
            <wp:docPr id="13718163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16391" name="Picture 137181639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7806" cy="2684533"/>
                    </a:xfrm>
                    <a:prstGeom prst="rect">
                      <a:avLst/>
                    </a:prstGeom>
                  </pic:spPr>
                </pic:pic>
              </a:graphicData>
            </a:graphic>
          </wp:inline>
        </w:drawing>
      </w:r>
    </w:p>
    <w:p w14:paraId="170DB923" w14:textId="77777777" w:rsidR="00EA15BC" w:rsidRPr="008B6A5C" w:rsidRDefault="00EA15BC" w:rsidP="009C335F">
      <w:pPr>
        <w:rPr>
          <w:rFonts w:ascii="Times New Roman" w:hAnsi="Times New Roman" w:cs="Times New Roman"/>
          <w:sz w:val="24"/>
          <w:szCs w:val="24"/>
        </w:rPr>
      </w:pPr>
    </w:p>
    <w:p w14:paraId="20462308" w14:textId="77777777" w:rsidR="009F2054" w:rsidRDefault="009F2054" w:rsidP="00506D3F">
      <w:pPr>
        <w:pStyle w:val="NoSpacing"/>
        <w:rPr>
          <w:rFonts w:ascii="Times New Roman" w:hAnsi="Times New Roman" w:cs="Times New Roman"/>
          <w:sz w:val="24"/>
          <w:szCs w:val="24"/>
        </w:rPr>
      </w:pPr>
    </w:p>
    <w:p w14:paraId="10E822F2" w14:textId="431F3BCE" w:rsidR="00506D3F" w:rsidRPr="009F2054" w:rsidRDefault="00506D3F" w:rsidP="00506D3F">
      <w:pPr>
        <w:pStyle w:val="NoSpacing"/>
        <w:rPr>
          <w:rFonts w:ascii="Times New Roman" w:hAnsi="Times New Roman" w:cs="Times New Roman"/>
          <w:b/>
          <w:bCs/>
          <w:sz w:val="24"/>
          <w:szCs w:val="24"/>
        </w:rPr>
      </w:pPr>
      <w:r w:rsidRPr="009F2054">
        <w:rPr>
          <w:rFonts w:ascii="Times New Roman" w:hAnsi="Times New Roman" w:cs="Times New Roman"/>
          <w:b/>
          <w:bCs/>
          <w:sz w:val="24"/>
          <w:szCs w:val="24"/>
        </w:rPr>
        <w:t>Pricing strategy</w:t>
      </w:r>
    </w:p>
    <w:p w14:paraId="44768BD0" w14:textId="77777777" w:rsidR="00506D3F" w:rsidRPr="008B6A5C" w:rsidRDefault="00506D3F" w:rsidP="00506D3F">
      <w:pPr>
        <w:pStyle w:val="NoSpacing"/>
        <w:rPr>
          <w:rFonts w:ascii="Times New Roman" w:hAnsi="Times New Roman" w:cs="Times New Roman"/>
          <w:sz w:val="24"/>
          <w:szCs w:val="24"/>
        </w:rPr>
      </w:pPr>
      <w:r w:rsidRPr="008B6A5C">
        <w:rPr>
          <w:rFonts w:ascii="Times New Roman" w:hAnsi="Times New Roman" w:cs="Times New Roman"/>
          <w:sz w:val="24"/>
          <w:szCs w:val="24"/>
        </w:rPr>
        <w:t>Johnson &amp; Johnson (J&amp;J) employs a multifaceted pricing strategy across its diverse product portfolio, balancing profitability, competitiveness, regulatory compliance, and value delivery. For pharmaceuticals, J&amp;J uses value-based pricing, setting prices based on clinical efficacy and patient value, often working with healthcare payers to demonstrate cost-effectiveness. Tiered pricing addresses varying global economic conditions, while patent protection allows higher prices during exclusivity, with reductions upon generic competition. In medical devices, J&amp;J applies cost-plus pricing, adding a markup to production costs to ensure profitability, and competitive pricing to match or undercut rivals in markets like orthopaedics. Bundling and value-added services justify premium prices, while innovation premiums are set for cutting-edge technologies. Consumer health products leverage strong brand equity for premium pricing, with promotional strategies like discounts to drive market share. Segmented pricing targets different consumer groups, offering premium and economy options. Regulatory compliance is crucial, with J&amp;J adhering to pricing regulations globally. Market demand and competition influence pricing adjustments, while cost structure considerations ensure coverage of research, development, and manufacturing expenses. By integrating various pricing approaches, J&amp;J balances profitability with accessibility, achieving sustainable growth and maintaining its leadership in the healthcare industry.</w:t>
      </w:r>
    </w:p>
    <w:p w14:paraId="2D1CE253" w14:textId="77777777" w:rsidR="00EA15BC" w:rsidRPr="008B6A5C" w:rsidRDefault="00EA15BC" w:rsidP="009C335F">
      <w:pPr>
        <w:rPr>
          <w:rFonts w:ascii="Times New Roman" w:hAnsi="Times New Roman" w:cs="Times New Roman"/>
          <w:sz w:val="24"/>
          <w:szCs w:val="24"/>
        </w:rPr>
      </w:pPr>
    </w:p>
    <w:p w14:paraId="4DC99D64" w14:textId="77777777" w:rsidR="00C63EE5" w:rsidRPr="009F2054" w:rsidRDefault="00C63EE5" w:rsidP="00C63EE5">
      <w:pPr>
        <w:shd w:val="clear" w:color="auto" w:fill="FFFFFF"/>
        <w:spacing w:before="180" w:after="0" w:line="240" w:lineRule="auto"/>
        <w:outlineLvl w:val="1"/>
        <w:rPr>
          <w:rFonts w:ascii="Times New Roman" w:eastAsia="Times New Roman" w:hAnsi="Times New Roman" w:cs="Times New Roman"/>
          <w:b/>
          <w:bCs/>
          <w:color w:val="111111"/>
          <w:kern w:val="0"/>
          <w:sz w:val="24"/>
          <w:szCs w:val="24"/>
          <w:lang w:eastAsia="en-IN"/>
          <w14:ligatures w14:val="none"/>
        </w:rPr>
      </w:pPr>
      <w:r w:rsidRPr="009F2054">
        <w:rPr>
          <w:rFonts w:ascii="Times New Roman" w:eastAsia="Times New Roman" w:hAnsi="Times New Roman" w:cs="Times New Roman"/>
          <w:b/>
          <w:bCs/>
          <w:color w:val="111111"/>
          <w:kern w:val="0"/>
          <w:sz w:val="24"/>
          <w:szCs w:val="24"/>
          <w:lang w:eastAsia="en-IN"/>
          <w14:ligatures w14:val="none"/>
        </w:rPr>
        <w:t>Peer Comparison:</w:t>
      </w:r>
    </w:p>
    <w:p w14:paraId="5A7216CA" w14:textId="77777777" w:rsidR="00C63EE5" w:rsidRPr="00C63EE5" w:rsidRDefault="00C63EE5" w:rsidP="00C63EE5">
      <w:pPr>
        <w:rPr>
          <w:rFonts w:ascii="Times New Roman" w:hAnsi="Times New Roman" w:cs="Times New Roman"/>
          <w:sz w:val="24"/>
          <w:szCs w:val="24"/>
        </w:rPr>
      </w:pPr>
      <w:r w:rsidRPr="00C63EE5">
        <w:rPr>
          <w:rFonts w:ascii="Times New Roman" w:hAnsi="Times New Roman" w:cs="Times New Roman"/>
          <w:sz w:val="24"/>
          <w:szCs w:val="24"/>
        </w:rPr>
        <w:t>Johnson &amp; Johnson (J&amp;J) is a leading player in its industry, with key peers including Pfizer, Merck, AbbVie, Medtronic, and Procter &amp; Gamble. J&amp;J's 2023 revenue of $86.58 billion is the highest among its peers, followed by Pfizer ($81.29 billion) and Procter &amp; Gamble ($80.19 billion). Pfizer leads in net income with $22.02 billion, while J&amp;J is second at $17.94 billion. J&amp;J also boasts the highest market capitalization at approximately $450 billion, reflecting strong investor confidence. In terms of valuation, Pfizer's P/E ratio is the lowest at 10.5, suggesting it might be undervalued, whereas J&amp;J's P/E ratio is 25.1. For dividend yield, AbbVie leads at 4.1%, with J&amp;J offering a competitive 2.6%. Overall, J&amp;J excels in revenue and market cap, maintaining a robust financial performance amidst strong competition.</w:t>
      </w:r>
    </w:p>
    <w:p w14:paraId="65393BD1" w14:textId="77777777" w:rsidR="00EA15BC" w:rsidRPr="008B6A5C" w:rsidRDefault="00EA15BC" w:rsidP="009C335F">
      <w:pPr>
        <w:rPr>
          <w:rFonts w:ascii="Times New Roman" w:hAnsi="Times New Roman" w:cs="Times New Roman"/>
          <w:sz w:val="24"/>
          <w:szCs w:val="24"/>
        </w:rPr>
      </w:pPr>
    </w:p>
    <w:p w14:paraId="4B381ECB" w14:textId="77777777" w:rsidR="00EA15BC" w:rsidRPr="008B6A5C" w:rsidRDefault="00EA15BC" w:rsidP="009C335F">
      <w:pPr>
        <w:rPr>
          <w:rFonts w:ascii="Times New Roman" w:hAnsi="Times New Roman" w:cs="Times New Roman"/>
          <w:sz w:val="24"/>
          <w:szCs w:val="24"/>
        </w:rPr>
      </w:pPr>
    </w:p>
    <w:p w14:paraId="4568CA00" w14:textId="77777777" w:rsidR="00EA15BC" w:rsidRPr="008B6A5C" w:rsidRDefault="00EA15BC" w:rsidP="009C335F">
      <w:pPr>
        <w:rPr>
          <w:rFonts w:ascii="Times New Roman" w:hAnsi="Times New Roman" w:cs="Times New Roman"/>
          <w:sz w:val="24"/>
          <w:szCs w:val="24"/>
        </w:rPr>
      </w:pPr>
    </w:p>
    <w:p w14:paraId="6996175A" w14:textId="77777777" w:rsidR="00EA15BC" w:rsidRPr="008B6A5C" w:rsidRDefault="00EA15BC" w:rsidP="009C335F">
      <w:pPr>
        <w:rPr>
          <w:rFonts w:ascii="Times New Roman" w:hAnsi="Times New Roman" w:cs="Times New Roman"/>
          <w:sz w:val="24"/>
          <w:szCs w:val="24"/>
        </w:rPr>
      </w:pPr>
    </w:p>
    <w:p w14:paraId="3FECD108" w14:textId="77777777" w:rsidR="00EA15BC" w:rsidRPr="008B6A5C" w:rsidRDefault="00EA15BC" w:rsidP="009C335F">
      <w:pPr>
        <w:rPr>
          <w:rFonts w:ascii="Times New Roman" w:hAnsi="Times New Roman" w:cs="Times New Roman"/>
          <w:sz w:val="24"/>
          <w:szCs w:val="24"/>
        </w:rPr>
      </w:pPr>
    </w:p>
    <w:p w14:paraId="791E1F04" w14:textId="77777777" w:rsidR="00EA15BC" w:rsidRPr="008B6A5C" w:rsidRDefault="00EA15BC" w:rsidP="009C335F">
      <w:pPr>
        <w:rPr>
          <w:rFonts w:ascii="Times New Roman" w:hAnsi="Times New Roman" w:cs="Times New Roman"/>
          <w:sz w:val="24"/>
          <w:szCs w:val="24"/>
        </w:rPr>
      </w:pPr>
    </w:p>
    <w:p w14:paraId="68BDBD24" w14:textId="77777777" w:rsidR="00EA15BC" w:rsidRPr="008B6A5C" w:rsidRDefault="00EA15BC" w:rsidP="009C335F">
      <w:pPr>
        <w:rPr>
          <w:rFonts w:ascii="Times New Roman" w:hAnsi="Times New Roman" w:cs="Times New Roman"/>
          <w:sz w:val="24"/>
          <w:szCs w:val="24"/>
        </w:rPr>
      </w:pPr>
    </w:p>
    <w:p w14:paraId="7CF6B7FA" w14:textId="77777777" w:rsidR="00EA15BC" w:rsidRPr="008B6A5C" w:rsidRDefault="00EA15BC" w:rsidP="009C335F">
      <w:pPr>
        <w:rPr>
          <w:rFonts w:ascii="Times New Roman" w:hAnsi="Times New Roman" w:cs="Times New Roman"/>
          <w:sz w:val="24"/>
          <w:szCs w:val="24"/>
        </w:rPr>
      </w:pPr>
    </w:p>
    <w:p w14:paraId="44035757" w14:textId="77777777" w:rsidR="00EA15BC" w:rsidRPr="008B6A5C" w:rsidRDefault="00EA15BC" w:rsidP="009C335F">
      <w:pPr>
        <w:rPr>
          <w:rFonts w:ascii="Times New Roman" w:hAnsi="Times New Roman" w:cs="Times New Roman"/>
          <w:sz w:val="24"/>
          <w:szCs w:val="24"/>
        </w:rPr>
      </w:pPr>
    </w:p>
    <w:p w14:paraId="6FC7B4AC" w14:textId="77777777" w:rsidR="00BC4BD4" w:rsidRPr="008B6A5C" w:rsidRDefault="00BC4BD4">
      <w:pPr>
        <w:rPr>
          <w:rFonts w:ascii="Times New Roman" w:hAnsi="Times New Roman" w:cs="Times New Roman"/>
          <w:sz w:val="24"/>
          <w:szCs w:val="24"/>
        </w:rPr>
      </w:pPr>
    </w:p>
    <w:sectPr w:rsidR="00BC4BD4" w:rsidRPr="008B6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454B"/>
    <w:multiLevelType w:val="multilevel"/>
    <w:tmpl w:val="15942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91EE4"/>
    <w:multiLevelType w:val="multilevel"/>
    <w:tmpl w:val="9D7AD034"/>
    <w:lvl w:ilvl="0">
      <w:numFmt w:val="bullet"/>
      <w:lvlText w:val="•"/>
      <w:lvlJc w:val="left"/>
      <w:pPr>
        <w:tabs>
          <w:tab w:val="num" w:pos="720"/>
        </w:tabs>
        <w:ind w:left="720" w:hanging="360"/>
      </w:pPr>
      <w:rPr>
        <w:rFonts w:ascii="Calibri" w:eastAsia="Calibri" w:hAnsi="Calibri" w:cs="Calibri" w:hint="default"/>
        <w:w w:val="100"/>
        <w:sz w:val="21"/>
        <w:szCs w:val="21"/>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067CD"/>
    <w:multiLevelType w:val="multilevel"/>
    <w:tmpl w:val="DCC4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6AC"/>
    <w:multiLevelType w:val="multilevel"/>
    <w:tmpl w:val="C20A9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2C43E7"/>
    <w:multiLevelType w:val="multilevel"/>
    <w:tmpl w:val="62328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818B0"/>
    <w:multiLevelType w:val="multilevel"/>
    <w:tmpl w:val="9FEA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B4BEF"/>
    <w:multiLevelType w:val="multilevel"/>
    <w:tmpl w:val="AFC6E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6DE7"/>
    <w:multiLevelType w:val="multilevel"/>
    <w:tmpl w:val="0A82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A5430"/>
    <w:multiLevelType w:val="multilevel"/>
    <w:tmpl w:val="0A6C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13918"/>
    <w:multiLevelType w:val="multilevel"/>
    <w:tmpl w:val="F964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75AF8"/>
    <w:multiLevelType w:val="multilevel"/>
    <w:tmpl w:val="3DE8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00067"/>
    <w:multiLevelType w:val="multilevel"/>
    <w:tmpl w:val="4094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356E25"/>
    <w:multiLevelType w:val="multilevel"/>
    <w:tmpl w:val="B3CA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1B56AE"/>
    <w:multiLevelType w:val="multilevel"/>
    <w:tmpl w:val="54D0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914346"/>
    <w:multiLevelType w:val="multilevel"/>
    <w:tmpl w:val="5EBEF4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DD1CC9"/>
    <w:multiLevelType w:val="hybridMultilevel"/>
    <w:tmpl w:val="C9A66F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3CEF4EB8"/>
    <w:multiLevelType w:val="multilevel"/>
    <w:tmpl w:val="5A7CD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47925"/>
    <w:multiLevelType w:val="hybridMultilevel"/>
    <w:tmpl w:val="70FE24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437B1610"/>
    <w:multiLevelType w:val="multilevel"/>
    <w:tmpl w:val="2DB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FA7B2D"/>
    <w:multiLevelType w:val="multilevel"/>
    <w:tmpl w:val="8F4C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1871F1"/>
    <w:multiLevelType w:val="multilevel"/>
    <w:tmpl w:val="F8FE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FE627D"/>
    <w:multiLevelType w:val="hybridMultilevel"/>
    <w:tmpl w:val="57CA3A2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48605796"/>
    <w:multiLevelType w:val="multilevel"/>
    <w:tmpl w:val="9D8A5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CB0311"/>
    <w:multiLevelType w:val="multilevel"/>
    <w:tmpl w:val="8400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621FFC"/>
    <w:multiLevelType w:val="multilevel"/>
    <w:tmpl w:val="99F2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E95DCC"/>
    <w:multiLevelType w:val="multilevel"/>
    <w:tmpl w:val="2B76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1F23D1"/>
    <w:multiLevelType w:val="multilevel"/>
    <w:tmpl w:val="6BEC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D442F0"/>
    <w:multiLevelType w:val="multilevel"/>
    <w:tmpl w:val="82624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7A04D4"/>
    <w:multiLevelType w:val="multilevel"/>
    <w:tmpl w:val="C040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D0289D"/>
    <w:multiLevelType w:val="multilevel"/>
    <w:tmpl w:val="AD06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01196A"/>
    <w:multiLevelType w:val="multilevel"/>
    <w:tmpl w:val="D63C52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024"/>
      <w:numFmt w:val="decimal"/>
      <w:lvlText w:val="%3"/>
      <w:lvlJc w:val="left"/>
      <w:pPr>
        <w:ind w:left="2232" w:hanging="432"/>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F263D2"/>
    <w:multiLevelType w:val="multilevel"/>
    <w:tmpl w:val="7A1606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B94494"/>
    <w:multiLevelType w:val="multilevel"/>
    <w:tmpl w:val="40A6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0E11CF"/>
    <w:multiLevelType w:val="multilevel"/>
    <w:tmpl w:val="EC041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AF376B"/>
    <w:multiLevelType w:val="multilevel"/>
    <w:tmpl w:val="87647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344D49"/>
    <w:multiLevelType w:val="multilevel"/>
    <w:tmpl w:val="7964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240FB4"/>
    <w:multiLevelType w:val="multilevel"/>
    <w:tmpl w:val="4580A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7C1B84"/>
    <w:multiLevelType w:val="multilevel"/>
    <w:tmpl w:val="A2E6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52042C"/>
    <w:multiLevelType w:val="multilevel"/>
    <w:tmpl w:val="6B0A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7718A"/>
    <w:multiLevelType w:val="multilevel"/>
    <w:tmpl w:val="FA88F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772BF0"/>
    <w:multiLevelType w:val="multilevel"/>
    <w:tmpl w:val="9F80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6B2265"/>
    <w:multiLevelType w:val="multilevel"/>
    <w:tmpl w:val="5F4A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203C53"/>
    <w:multiLevelType w:val="multilevel"/>
    <w:tmpl w:val="F25E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B40134"/>
    <w:multiLevelType w:val="multilevel"/>
    <w:tmpl w:val="CE9A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155914"/>
    <w:multiLevelType w:val="multilevel"/>
    <w:tmpl w:val="3566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C35A16"/>
    <w:multiLevelType w:val="multilevel"/>
    <w:tmpl w:val="8A30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856431">
    <w:abstractNumId w:val="11"/>
  </w:num>
  <w:num w:numId="2" w16cid:durableId="1759132259">
    <w:abstractNumId w:val="36"/>
  </w:num>
  <w:num w:numId="3" w16cid:durableId="10572077">
    <w:abstractNumId w:val="10"/>
  </w:num>
  <w:num w:numId="4" w16cid:durableId="1190098097">
    <w:abstractNumId w:val="37"/>
  </w:num>
  <w:num w:numId="5" w16cid:durableId="1158184504">
    <w:abstractNumId w:val="0"/>
  </w:num>
  <w:num w:numId="6" w16cid:durableId="1990670355">
    <w:abstractNumId w:val="3"/>
  </w:num>
  <w:num w:numId="7" w16cid:durableId="2134664996">
    <w:abstractNumId w:val="39"/>
  </w:num>
  <w:num w:numId="8" w16cid:durableId="2053844384">
    <w:abstractNumId w:val="7"/>
  </w:num>
  <w:num w:numId="9" w16cid:durableId="243614527">
    <w:abstractNumId w:val="45"/>
  </w:num>
  <w:num w:numId="10" w16cid:durableId="176697463">
    <w:abstractNumId w:val="42"/>
  </w:num>
  <w:num w:numId="11" w16cid:durableId="1769353699">
    <w:abstractNumId w:val="32"/>
  </w:num>
  <w:num w:numId="12" w16cid:durableId="1333800299">
    <w:abstractNumId w:val="22"/>
  </w:num>
  <w:num w:numId="13" w16cid:durableId="1792625981">
    <w:abstractNumId w:val="25"/>
  </w:num>
  <w:num w:numId="14" w16cid:durableId="802381281">
    <w:abstractNumId w:val="40"/>
  </w:num>
  <w:num w:numId="15" w16cid:durableId="1761178513">
    <w:abstractNumId w:val="34"/>
  </w:num>
  <w:num w:numId="16" w16cid:durableId="1573154570">
    <w:abstractNumId w:val="33"/>
  </w:num>
  <w:num w:numId="17" w16cid:durableId="1968470549">
    <w:abstractNumId w:val="4"/>
  </w:num>
  <w:num w:numId="18" w16cid:durableId="1504053096">
    <w:abstractNumId w:val="24"/>
  </w:num>
  <w:num w:numId="19" w16cid:durableId="1351684387">
    <w:abstractNumId w:val="1"/>
  </w:num>
  <w:num w:numId="20" w16cid:durableId="1401977028">
    <w:abstractNumId w:val="9"/>
  </w:num>
  <w:num w:numId="21" w16cid:durableId="2135713073">
    <w:abstractNumId w:val="44"/>
  </w:num>
  <w:num w:numId="22" w16cid:durableId="1756976260">
    <w:abstractNumId w:val="29"/>
  </w:num>
  <w:num w:numId="23" w16cid:durableId="1033313359">
    <w:abstractNumId w:val="23"/>
  </w:num>
  <w:num w:numId="24" w16cid:durableId="1525168409">
    <w:abstractNumId w:val="30"/>
  </w:num>
  <w:num w:numId="25" w16cid:durableId="989137233">
    <w:abstractNumId w:val="20"/>
  </w:num>
  <w:num w:numId="26" w16cid:durableId="1736009591">
    <w:abstractNumId w:val="6"/>
  </w:num>
  <w:num w:numId="27" w16cid:durableId="1459421873">
    <w:abstractNumId w:val="43"/>
  </w:num>
  <w:num w:numId="28" w16cid:durableId="1471440856">
    <w:abstractNumId w:val="16"/>
  </w:num>
  <w:num w:numId="29" w16cid:durableId="1418751676">
    <w:abstractNumId w:val="2"/>
  </w:num>
  <w:num w:numId="30" w16cid:durableId="1827234746">
    <w:abstractNumId w:val="35"/>
  </w:num>
  <w:num w:numId="31" w16cid:durableId="439421633">
    <w:abstractNumId w:val="8"/>
  </w:num>
  <w:num w:numId="32" w16cid:durableId="1522352549">
    <w:abstractNumId w:val="12"/>
  </w:num>
  <w:num w:numId="33" w16cid:durableId="588124686">
    <w:abstractNumId w:val="5"/>
  </w:num>
  <w:num w:numId="34" w16cid:durableId="1512993082">
    <w:abstractNumId w:val="26"/>
  </w:num>
  <w:num w:numId="35" w16cid:durableId="661392524">
    <w:abstractNumId w:val="31"/>
  </w:num>
  <w:num w:numId="36" w16cid:durableId="701782461">
    <w:abstractNumId w:val="27"/>
  </w:num>
  <w:num w:numId="37" w16cid:durableId="1476214205">
    <w:abstractNumId w:val="17"/>
  </w:num>
  <w:num w:numId="38" w16cid:durableId="1256549281">
    <w:abstractNumId w:val="21"/>
  </w:num>
  <w:num w:numId="39" w16cid:durableId="1526362421">
    <w:abstractNumId w:val="15"/>
  </w:num>
  <w:num w:numId="40" w16cid:durableId="223376589">
    <w:abstractNumId w:val="14"/>
  </w:num>
  <w:num w:numId="41" w16cid:durableId="969897918">
    <w:abstractNumId w:val="28"/>
  </w:num>
  <w:num w:numId="42" w16cid:durableId="635257316">
    <w:abstractNumId w:val="41"/>
  </w:num>
  <w:num w:numId="43" w16cid:durableId="476260410">
    <w:abstractNumId w:val="13"/>
  </w:num>
  <w:num w:numId="44" w16cid:durableId="1435127571">
    <w:abstractNumId w:val="38"/>
  </w:num>
  <w:num w:numId="45" w16cid:durableId="1019816079">
    <w:abstractNumId w:val="18"/>
  </w:num>
  <w:num w:numId="46" w16cid:durableId="152045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00"/>
    <w:rsid w:val="00035F6C"/>
    <w:rsid w:val="0004609F"/>
    <w:rsid w:val="000856A3"/>
    <w:rsid w:val="000A457C"/>
    <w:rsid w:val="000C397F"/>
    <w:rsid w:val="000E2AEE"/>
    <w:rsid w:val="00114A88"/>
    <w:rsid w:val="001227B9"/>
    <w:rsid w:val="001237A1"/>
    <w:rsid w:val="001E3EAC"/>
    <w:rsid w:val="0020751D"/>
    <w:rsid w:val="00212B91"/>
    <w:rsid w:val="002148D8"/>
    <w:rsid w:val="00225CF6"/>
    <w:rsid w:val="00231232"/>
    <w:rsid w:val="00270787"/>
    <w:rsid w:val="00281ED9"/>
    <w:rsid w:val="002D0FA1"/>
    <w:rsid w:val="00325394"/>
    <w:rsid w:val="00327910"/>
    <w:rsid w:val="00333474"/>
    <w:rsid w:val="00353668"/>
    <w:rsid w:val="00371024"/>
    <w:rsid w:val="003714F2"/>
    <w:rsid w:val="00377C9B"/>
    <w:rsid w:val="00397CEA"/>
    <w:rsid w:val="003F06F0"/>
    <w:rsid w:val="00455F45"/>
    <w:rsid w:val="0048139A"/>
    <w:rsid w:val="00484C36"/>
    <w:rsid w:val="0049106F"/>
    <w:rsid w:val="004C0421"/>
    <w:rsid w:val="004D36C5"/>
    <w:rsid w:val="004D65DE"/>
    <w:rsid w:val="00506D3F"/>
    <w:rsid w:val="00577B47"/>
    <w:rsid w:val="005B5A2E"/>
    <w:rsid w:val="00614400"/>
    <w:rsid w:val="00696FBD"/>
    <w:rsid w:val="00697E06"/>
    <w:rsid w:val="006E625C"/>
    <w:rsid w:val="006F7EC5"/>
    <w:rsid w:val="00700EC2"/>
    <w:rsid w:val="0070442D"/>
    <w:rsid w:val="007578F6"/>
    <w:rsid w:val="007E423E"/>
    <w:rsid w:val="00822FC9"/>
    <w:rsid w:val="00837DCF"/>
    <w:rsid w:val="00866875"/>
    <w:rsid w:val="008A7C5F"/>
    <w:rsid w:val="008B6A5C"/>
    <w:rsid w:val="008D7982"/>
    <w:rsid w:val="00901CBE"/>
    <w:rsid w:val="00902A2A"/>
    <w:rsid w:val="009273F8"/>
    <w:rsid w:val="009568BB"/>
    <w:rsid w:val="00962187"/>
    <w:rsid w:val="0099044B"/>
    <w:rsid w:val="009C335F"/>
    <w:rsid w:val="009E2DF0"/>
    <w:rsid w:val="009F2054"/>
    <w:rsid w:val="00A22130"/>
    <w:rsid w:val="00AB5FFA"/>
    <w:rsid w:val="00AC42CF"/>
    <w:rsid w:val="00B0025A"/>
    <w:rsid w:val="00B53976"/>
    <w:rsid w:val="00B76371"/>
    <w:rsid w:val="00BB1BD3"/>
    <w:rsid w:val="00BC4BD4"/>
    <w:rsid w:val="00BE0E53"/>
    <w:rsid w:val="00BF578C"/>
    <w:rsid w:val="00C2371B"/>
    <w:rsid w:val="00C24DA0"/>
    <w:rsid w:val="00C63EE5"/>
    <w:rsid w:val="00C93C04"/>
    <w:rsid w:val="00CB7DEF"/>
    <w:rsid w:val="00CD527E"/>
    <w:rsid w:val="00CE3097"/>
    <w:rsid w:val="00D0470E"/>
    <w:rsid w:val="00D1162D"/>
    <w:rsid w:val="00DB3D5D"/>
    <w:rsid w:val="00DC7F66"/>
    <w:rsid w:val="00E2525E"/>
    <w:rsid w:val="00E26A99"/>
    <w:rsid w:val="00E8218E"/>
    <w:rsid w:val="00E860E6"/>
    <w:rsid w:val="00EA15BC"/>
    <w:rsid w:val="00EE7FAF"/>
    <w:rsid w:val="00F13E8A"/>
    <w:rsid w:val="00F140C5"/>
    <w:rsid w:val="00F167FC"/>
    <w:rsid w:val="00F81E27"/>
    <w:rsid w:val="00FB6B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1BA7"/>
  <w15:chartTrackingRefBased/>
  <w15:docId w15:val="{7A3EF950-9780-498F-85EC-7C46F8DD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1440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rPr>
  </w:style>
  <w:style w:type="paragraph" w:styleId="Heading3">
    <w:name w:val="heading 3"/>
    <w:basedOn w:val="Normal"/>
    <w:link w:val="Heading3Char"/>
    <w:uiPriority w:val="9"/>
    <w:qFormat/>
    <w:rsid w:val="0061440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paragraph" w:styleId="Heading4">
    <w:name w:val="heading 4"/>
    <w:basedOn w:val="Normal"/>
    <w:next w:val="Normal"/>
    <w:link w:val="Heading4Char"/>
    <w:uiPriority w:val="9"/>
    <w:semiHidden/>
    <w:unhideWhenUsed/>
    <w:qFormat/>
    <w:rsid w:val="009C33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4400"/>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614400"/>
    <w:rPr>
      <w:b/>
      <w:bCs/>
    </w:rPr>
  </w:style>
  <w:style w:type="character" w:styleId="Hyperlink">
    <w:name w:val="Hyperlink"/>
    <w:basedOn w:val="DefaultParagraphFont"/>
    <w:uiPriority w:val="99"/>
    <w:unhideWhenUsed/>
    <w:rsid w:val="00614400"/>
    <w:rPr>
      <w:color w:val="0000FF"/>
      <w:u w:val="single"/>
    </w:rPr>
  </w:style>
  <w:style w:type="character" w:customStyle="1" w:styleId="Heading2Char">
    <w:name w:val="Heading 2 Char"/>
    <w:basedOn w:val="DefaultParagraphFont"/>
    <w:link w:val="Heading2"/>
    <w:uiPriority w:val="9"/>
    <w:rsid w:val="00614400"/>
    <w:rPr>
      <w:rFonts w:ascii="Times New Roman" w:eastAsia="Times New Roman" w:hAnsi="Times New Roman" w:cs="Times New Roman"/>
      <w:b/>
      <w:bCs/>
      <w:kern w:val="0"/>
      <w:sz w:val="36"/>
      <w:szCs w:val="36"/>
      <w:lang w:eastAsia="en-IN"/>
    </w:rPr>
  </w:style>
  <w:style w:type="character" w:customStyle="1" w:styleId="Heading3Char">
    <w:name w:val="Heading 3 Char"/>
    <w:basedOn w:val="DefaultParagraphFont"/>
    <w:link w:val="Heading3"/>
    <w:uiPriority w:val="9"/>
    <w:rsid w:val="00614400"/>
    <w:rPr>
      <w:rFonts w:ascii="Times New Roman" w:eastAsia="Times New Roman" w:hAnsi="Times New Roman" w:cs="Times New Roman"/>
      <w:b/>
      <w:bCs/>
      <w:kern w:val="0"/>
      <w:sz w:val="27"/>
      <w:szCs w:val="27"/>
      <w:lang w:eastAsia="en-IN"/>
    </w:rPr>
  </w:style>
  <w:style w:type="character" w:styleId="UnresolvedMention">
    <w:name w:val="Unresolved Mention"/>
    <w:basedOn w:val="DefaultParagraphFont"/>
    <w:uiPriority w:val="99"/>
    <w:semiHidden/>
    <w:unhideWhenUsed/>
    <w:rsid w:val="000A457C"/>
    <w:rPr>
      <w:color w:val="605E5C"/>
      <w:shd w:val="clear" w:color="auto" w:fill="E1DFDD"/>
    </w:rPr>
  </w:style>
  <w:style w:type="character" w:styleId="FollowedHyperlink">
    <w:name w:val="FollowedHyperlink"/>
    <w:basedOn w:val="DefaultParagraphFont"/>
    <w:uiPriority w:val="99"/>
    <w:semiHidden/>
    <w:unhideWhenUsed/>
    <w:rsid w:val="00BC4BD4"/>
    <w:rPr>
      <w:color w:val="954F72" w:themeColor="followedHyperlink"/>
      <w:u w:val="single"/>
    </w:rPr>
  </w:style>
  <w:style w:type="paragraph" w:styleId="NoSpacing">
    <w:name w:val="No Spacing"/>
    <w:uiPriority w:val="1"/>
    <w:qFormat/>
    <w:rsid w:val="00BC4BD4"/>
    <w:pPr>
      <w:spacing w:after="0" w:line="240" w:lineRule="auto"/>
    </w:pPr>
  </w:style>
  <w:style w:type="character" w:customStyle="1" w:styleId="Heading4Char">
    <w:name w:val="Heading 4 Char"/>
    <w:basedOn w:val="DefaultParagraphFont"/>
    <w:link w:val="Heading4"/>
    <w:uiPriority w:val="9"/>
    <w:semiHidden/>
    <w:rsid w:val="009C335F"/>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04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1218">
      <w:bodyDiv w:val="1"/>
      <w:marLeft w:val="0"/>
      <w:marRight w:val="0"/>
      <w:marTop w:val="0"/>
      <w:marBottom w:val="0"/>
      <w:divBdr>
        <w:top w:val="none" w:sz="0" w:space="0" w:color="auto"/>
        <w:left w:val="none" w:sz="0" w:space="0" w:color="auto"/>
        <w:bottom w:val="none" w:sz="0" w:space="0" w:color="auto"/>
        <w:right w:val="none" w:sz="0" w:space="0" w:color="auto"/>
      </w:divBdr>
    </w:div>
    <w:div w:id="53939614">
      <w:bodyDiv w:val="1"/>
      <w:marLeft w:val="0"/>
      <w:marRight w:val="0"/>
      <w:marTop w:val="0"/>
      <w:marBottom w:val="0"/>
      <w:divBdr>
        <w:top w:val="none" w:sz="0" w:space="0" w:color="auto"/>
        <w:left w:val="none" w:sz="0" w:space="0" w:color="auto"/>
        <w:bottom w:val="none" w:sz="0" w:space="0" w:color="auto"/>
        <w:right w:val="none" w:sz="0" w:space="0" w:color="auto"/>
      </w:divBdr>
    </w:div>
    <w:div w:id="67651804">
      <w:bodyDiv w:val="1"/>
      <w:marLeft w:val="0"/>
      <w:marRight w:val="0"/>
      <w:marTop w:val="0"/>
      <w:marBottom w:val="0"/>
      <w:divBdr>
        <w:top w:val="none" w:sz="0" w:space="0" w:color="auto"/>
        <w:left w:val="none" w:sz="0" w:space="0" w:color="auto"/>
        <w:bottom w:val="none" w:sz="0" w:space="0" w:color="auto"/>
        <w:right w:val="none" w:sz="0" w:space="0" w:color="auto"/>
      </w:divBdr>
      <w:divsChild>
        <w:div w:id="1863351037">
          <w:marLeft w:val="0"/>
          <w:marRight w:val="0"/>
          <w:marTop w:val="0"/>
          <w:marBottom w:val="0"/>
          <w:divBdr>
            <w:top w:val="single" w:sz="2" w:space="0" w:color="auto"/>
            <w:left w:val="single" w:sz="2" w:space="0" w:color="auto"/>
            <w:bottom w:val="single" w:sz="2" w:space="0" w:color="auto"/>
            <w:right w:val="single" w:sz="2" w:space="0" w:color="auto"/>
          </w:divBdr>
          <w:divsChild>
            <w:div w:id="48310091">
              <w:marLeft w:val="0"/>
              <w:marRight w:val="0"/>
              <w:marTop w:val="0"/>
              <w:marBottom w:val="0"/>
              <w:divBdr>
                <w:top w:val="single" w:sz="2" w:space="0" w:color="auto"/>
                <w:left w:val="single" w:sz="2" w:space="0" w:color="auto"/>
                <w:bottom w:val="single" w:sz="2" w:space="0" w:color="auto"/>
                <w:right w:val="single" w:sz="2" w:space="0" w:color="auto"/>
              </w:divBdr>
              <w:divsChild>
                <w:div w:id="916868989">
                  <w:marLeft w:val="0"/>
                  <w:marRight w:val="0"/>
                  <w:marTop w:val="0"/>
                  <w:marBottom w:val="0"/>
                  <w:divBdr>
                    <w:top w:val="single" w:sz="2" w:space="0" w:color="auto"/>
                    <w:left w:val="single" w:sz="2" w:space="0" w:color="auto"/>
                    <w:bottom w:val="single" w:sz="2" w:space="0" w:color="auto"/>
                    <w:right w:val="single" w:sz="2" w:space="0" w:color="auto"/>
                  </w:divBdr>
                  <w:divsChild>
                    <w:div w:id="2142652596">
                      <w:marLeft w:val="0"/>
                      <w:marRight w:val="0"/>
                      <w:marTop w:val="0"/>
                      <w:marBottom w:val="0"/>
                      <w:divBdr>
                        <w:top w:val="single" w:sz="2" w:space="0" w:color="auto"/>
                        <w:left w:val="single" w:sz="2" w:space="0" w:color="auto"/>
                        <w:bottom w:val="single" w:sz="2" w:space="0" w:color="auto"/>
                        <w:right w:val="single" w:sz="2" w:space="0" w:color="auto"/>
                      </w:divBdr>
                      <w:divsChild>
                        <w:div w:id="190268614">
                          <w:marLeft w:val="0"/>
                          <w:marRight w:val="0"/>
                          <w:marTop w:val="0"/>
                          <w:marBottom w:val="0"/>
                          <w:divBdr>
                            <w:top w:val="single" w:sz="2" w:space="0" w:color="auto"/>
                            <w:left w:val="single" w:sz="2" w:space="0" w:color="auto"/>
                            <w:bottom w:val="single" w:sz="2" w:space="0" w:color="auto"/>
                            <w:right w:val="single" w:sz="2" w:space="0" w:color="auto"/>
                          </w:divBdr>
                          <w:divsChild>
                            <w:div w:id="129784925">
                              <w:marLeft w:val="0"/>
                              <w:marRight w:val="0"/>
                              <w:marTop w:val="0"/>
                              <w:marBottom w:val="0"/>
                              <w:divBdr>
                                <w:top w:val="single" w:sz="2" w:space="0" w:color="auto"/>
                                <w:left w:val="single" w:sz="2" w:space="0" w:color="auto"/>
                                <w:bottom w:val="single" w:sz="2" w:space="0" w:color="auto"/>
                                <w:right w:val="single" w:sz="2" w:space="0" w:color="auto"/>
                              </w:divBdr>
                              <w:divsChild>
                                <w:div w:id="2089692540">
                                  <w:marLeft w:val="0"/>
                                  <w:marRight w:val="0"/>
                                  <w:marTop w:val="0"/>
                                  <w:marBottom w:val="0"/>
                                  <w:divBdr>
                                    <w:top w:val="single" w:sz="2" w:space="0" w:color="auto"/>
                                    <w:left w:val="single" w:sz="2" w:space="0" w:color="auto"/>
                                    <w:bottom w:val="single" w:sz="2" w:space="0" w:color="auto"/>
                                    <w:right w:val="single" w:sz="2" w:space="0" w:color="auto"/>
                                  </w:divBdr>
                                  <w:divsChild>
                                    <w:div w:id="626934602">
                                      <w:marLeft w:val="0"/>
                                      <w:marRight w:val="0"/>
                                      <w:marTop w:val="0"/>
                                      <w:marBottom w:val="0"/>
                                      <w:divBdr>
                                        <w:top w:val="single" w:sz="2" w:space="0" w:color="auto"/>
                                        <w:left w:val="single" w:sz="2" w:space="0" w:color="auto"/>
                                        <w:bottom w:val="single" w:sz="2" w:space="0" w:color="auto"/>
                                        <w:right w:val="single" w:sz="2" w:space="0" w:color="auto"/>
                                      </w:divBdr>
                                      <w:divsChild>
                                        <w:div w:id="604071977">
                                          <w:marLeft w:val="0"/>
                                          <w:marRight w:val="0"/>
                                          <w:marTop w:val="0"/>
                                          <w:marBottom w:val="750"/>
                                          <w:divBdr>
                                            <w:top w:val="single" w:sz="2" w:space="0" w:color="auto"/>
                                            <w:left w:val="single" w:sz="2" w:space="0" w:color="auto"/>
                                            <w:bottom w:val="single" w:sz="2" w:space="0" w:color="auto"/>
                                            <w:right w:val="single" w:sz="2" w:space="0" w:color="auto"/>
                                          </w:divBdr>
                                          <w:divsChild>
                                            <w:div w:id="2042630419">
                                              <w:marLeft w:val="0"/>
                                              <w:marRight w:val="0"/>
                                              <w:marTop w:val="0"/>
                                              <w:marBottom w:val="0"/>
                                              <w:divBdr>
                                                <w:top w:val="single" w:sz="2" w:space="0" w:color="auto"/>
                                                <w:left w:val="single" w:sz="2" w:space="0" w:color="auto"/>
                                                <w:bottom w:val="single" w:sz="2" w:space="0" w:color="auto"/>
                                                <w:right w:val="single" w:sz="2" w:space="0" w:color="auto"/>
                                              </w:divBdr>
                                              <w:divsChild>
                                                <w:div w:id="4523875">
                                                  <w:marLeft w:val="0"/>
                                                  <w:marRight w:val="0"/>
                                                  <w:marTop w:val="0"/>
                                                  <w:marBottom w:val="0"/>
                                                  <w:divBdr>
                                                    <w:top w:val="single" w:sz="2" w:space="0" w:color="auto"/>
                                                    <w:left w:val="single" w:sz="2" w:space="0" w:color="auto"/>
                                                    <w:bottom w:val="single" w:sz="2" w:space="0" w:color="auto"/>
                                                    <w:right w:val="single" w:sz="2" w:space="0" w:color="auto"/>
                                                  </w:divBdr>
                                                  <w:divsChild>
                                                    <w:div w:id="570698928">
                                                      <w:marLeft w:val="0"/>
                                                      <w:marRight w:val="0"/>
                                                      <w:marTop w:val="0"/>
                                                      <w:marBottom w:val="0"/>
                                                      <w:divBdr>
                                                        <w:top w:val="single" w:sz="2" w:space="0" w:color="auto"/>
                                                        <w:left w:val="single" w:sz="2" w:space="0" w:color="auto"/>
                                                        <w:bottom w:val="single" w:sz="2" w:space="0" w:color="auto"/>
                                                        <w:right w:val="single" w:sz="2" w:space="0" w:color="auto"/>
                                                      </w:divBdr>
                                                      <w:divsChild>
                                                        <w:div w:id="429544605">
                                                          <w:marLeft w:val="0"/>
                                                          <w:marRight w:val="0"/>
                                                          <w:marTop w:val="0"/>
                                                          <w:marBottom w:val="0"/>
                                                          <w:divBdr>
                                                            <w:top w:val="single" w:sz="2" w:space="0" w:color="auto"/>
                                                            <w:left w:val="single" w:sz="2" w:space="31" w:color="auto"/>
                                                            <w:bottom w:val="single" w:sz="2" w:space="0" w:color="auto"/>
                                                            <w:right w:val="single" w:sz="2" w:space="31" w:color="auto"/>
                                                          </w:divBdr>
                                                          <w:divsChild>
                                                            <w:div w:id="275254984">
                                                              <w:marLeft w:val="0"/>
                                                              <w:marRight w:val="0"/>
                                                              <w:marTop w:val="0"/>
                                                              <w:marBottom w:val="0"/>
                                                              <w:divBdr>
                                                                <w:top w:val="single" w:sz="2" w:space="0" w:color="auto"/>
                                                                <w:left w:val="single" w:sz="2" w:space="0" w:color="auto"/>
                                                                <w:bottom w:val="single" w:sz="2" w:space="0" w:color="auto"/>
                                                                <w:right w:val="single" w:sz="2" w:space="0" w:color="auto"/>
                                                              </w:divBdr>
                                                              <w:divsChild>
                                                                <w:div w:id="184028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 w:id="1161584283">
          <w:marLeft w:val="0"/>
          <w:marRight w:val="0"/>
          <w:marTop w:val="0"/>
          <w:marBottom w:val="0"/>
          <w:divBdr>
            <w:top w:val="single" w:sz="2" w:space="0" w:color="auto"/>
            <w:left w:val="single" w:sz="2" w:space="0" w:color="auto"/>
            <w:bottom w:val="single" w:sz="2" w:space="0" w:color="auto"/>
            <w:right w:val="single" w:sz="2" w:space="0" w:color="auto"/>
          </w:divBdr>
          <w:divsChild>
            <w:div w:id="712852380">
              <w:marLeft w:val="900"/>
              <w:marRight w:val="900"/>
              <w:marTop w:val="0"/>
              <w:marBottom w:val="0"/>
              <w:divBdr>
                <w:top w:val="single" w:sz="2" w:space="0" w:color="auto"/>
                <w:left w:val="single" w:sz="2" w:space="0" w:color="auto"/>
                <w:bottom w:val="single" w:sz="2" w:space="0" w:color="auto"/>
                <w:right w:val="single" w:sz="2" w:space="0" w:color="auto"/>
              </w:divBdr>
              <w:divsChild>
                <w:div w:id="549461055">
                  <w:marLeft w:val="0"/>
                  <w:marRight w:val="0"/>
                  <w:marTop w:val="150"/>
                  <w:marBottom w:val="480"/>
                  <w:divBdr>
                    <w:top w:val="single" w:sz="2" w:space="0" w:color="auto"/>
                    <w:left w:val="single" w:sz="2" w:space="0" w:color="auto"/>
                    <w:bottom w:val="single" w:sz="2" w:space="0" w:color="auto"/>
                    <w:right w:val="single" w:sz="2" w:space="0" w:color="auto"/>
                  </w:divBdr>
                  <w:divsChild>
                    <w:div w:id="3671446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sChild>
        </w:div>
      </w:divsChild>
    </w:div>
    <w:div w:id="78792124">
      <w:bodyDiv w:val="1"/>
      <w:marLeft w:val="0"/>
      <w:marRight w:val="0"/>
      <w:marTop w:val="0"/>
      <w:marBottom w:val="0"/>
      <w:divBdr>
        <w:top w:val="none" w:sz="0" w:space="0" w:color="auto"/>
        <w:left w:val="none" w:sz="0" w:space="0" w:color="auto"/>
        <w:bottom w:val="none" w:sz="0" w:space="0" w:color="auto"/>
        <w:right w:val="none" w:sz="0" w:space="0" w:color="auto"/>
      </w:divBdr>
    </w:div>
    <w:div w:id="143204329">
      <w:bodyDiv w:val="1"/>
      <w:marLeft w:val="0"/>
      <w:marRight w:val="0"/>
      <w:marTop w:val="0"/>
      <w:marBottom w:val="0"/>
      <w:divBdr>
        <w:top w:val="none" w:sz="0" w:space="0" w:color="auto"/>
        <w:left w:val="none" w:sz="0" w:space="0" w:color="auto"/>
        <w:bottom w:val="none" w:sz="0" w:space="0" w:color="auto"/>
        <w:right w:val="none" w:sz="0" w:space="0" w:color="auto"/>
      </w:divBdr>
    </w:div>
    <w:div w:id="197402462">
      <w:bodyDiv w:val="1"/>
      <w:marLeft w:val="0"/>
      <w:marRight w:val="0"/>
      <w:marTop w:val="0"/>
      <w:marBottom w:val="0"/>
      <w:divBdr>
        <w:top w:val="none" w:sz="0" w:space="0" w:color="auto"/>
        <w:left w:val="none" w:sz="0" w:space="0" w:color="auto"/>
        <w:bottom w:val="none" w:sz="0" w:space="0" w:color="auto"/>
        <w:right w:val="none" w:sz="0" w:space="0" w:color="auto"/>
      </w:divBdr>
    </w:div>
    <w:div w:id="311100996">
      <w:bodyDiv w:val="1"/>
      <w:marLeft w:val="0"/>
      <w:marRight w:val="0"/>
      <w:marTop w:val="0"/>
      <w:marBottom w:val="0"/>
      <w:divBdr>
        <w:top w:val="none" w:sz="0" w:space="0" w:color="auto"/>
        <w:left w:val="none" w:sz="0" w:space="0" w:color="auto"/>
        <w:bottom w:val="none" w:sz="0" w:space="0" w:color="auto"/>
        <w:right w:val="none" w:sz="0" w:space="0" w:color="auto"/>
      </w:divBdr>
    </w:div>
    <w:div w:id="333459466">
      <w:bodyDiv w:val="1"/>
      <w:marLeft w:val="0"/>
      <w:marRight w:val="0"/>
      <w:marTop w:val="0"/>
      <w:marBottom w:val="0"/>
      <w:divBdr>
        <w:top w:val="none" w:sz="0" w:space="0" w:color="auto"/>
        <w:left w:val="none" w:sz="0" w:space="0" w:color="auto"/>
        <w:bottom w:val="none" w:sz="0" w:space="0" w:color="auto"/>
        <w:right w:val="none" w:sz="0" w:space="0" w:color="auto"/>
      </w:divBdr>
    </w:div>
    <w:div w:id="390925484">
      <w:bodyDiv w:val="1"/>
      <w:marLeft w:val="0"/>
      <w:marRight w:val="0"/>
      <w:marTop w:val="0"/>
      <w:marBottom w:val="0"/>
      <w:divBdr>
        <w:top w:val="none" w:sz="0" w:space="0" w:color="auto"/>
        <w:left w:val="none" w:sz="0" w:space="0" w:color="auto"/>
        <w:bottom w:val="none" w:sz="0" w:space="0" w:color="auto"/>
        <w:right w:val="none" w:sz="0" w:space="0" w:color="auto"/>
      </w:divBdr>
    </w:div>
    <w:div w:id="403374726">
      <w:bodyDiv w:val="1"/>
      <w:marLeft w:val="0"/>
      <w:marRight w:val="0"/>
      <w:marTop w:val="0"/>
      <w:marBottom w:val="0"/>
      <w:divBdr>
        <w:top w:val="none" w:sz="0" w:space="0" w:color="auto"/>
        <w:left w:val="none" w:sz="0" w:space="0" w:color="auto"/>
        <w:bottom w:val="none" w:sz="0" w:space="0" w:color="auto"/>
        <w:right w:val="none" w:sz="0" w:space="0" w:color="auto"/>
      </w:divBdr>
    </w:div>
    <w:div w:id="472479882">
      <w:bodyDiv w:val="1"/>
      <w:marLeft w:val="0"/>
      <w:marRight w:val="0"/>
      <w:marTop w:val="0"/>
      <w:marBottom w:val="0"/>
      <w:divBdr>
        <w:top w:val="none" w:sz="0" w:space="0" w:color="auto"/>
        <w:left w:val="none" w:sz="0" w:space="0" w:color="auto"/>
        <w:bottom w:val="none" w:sz="0" w:space="0" w:color="auto"/>
        <w:right w:val="none" w:sz="0" w:space="0" w:color="auto"/>
      </w:divBdr>
      <w:divsChild>
        <w:div w:id="1005084935">
          <w:marLeft w:val="0"/>
          <w:marRight w:val="0"/>
          <w:marTop w:val="0"/>
          <w:marBottom w:val="0"/>
          <w:divBdr>
            <w:top w:val="single" w:sz="2" w:space="0" w:color="auto"/>
            <w:left w:val="single" w:sz="2" w:space="0" w:color="auto"/>
            <w:bottom w:val="single" w:sz="2" w:space="0" w:color="auto"/>
            <w:right w:val="single" w:sz="2" w:space="0" w:color="auto"/>
          </w:divBdr>
          <w:divsChild>
            <w:div w:id="1086809200">
              <w:marLeft w:val="0"/>
              <w:marRight w:val="0"/>
              <w:marTop w:val="0"/>
              <w:marBottom w:val="0"/>
              <w:divBdr>
                <w:top w:val="single" w:sz="2" w:space="0" w:color="auto"/>
                <w:left w:val="single" w:sz="2" w:space="0" w:color="auto"/>
                <w:bottom w:val="single" w:sz="2" w:space="0" w:color="auto"/>
                <w:right w:val="single" w:sz="2" w:space="0" w:color="auto"/>
              </w:divBdr>
              <w:divsChild>
                <w:div w:id="338195309">
                  <w:marLeft w:val="0"/>
                  <w:marRight w:val="0"/>
                  <w:marTop w:val="0"/>
                  <w:marBottom w:val="0"/>
                  <w:divBdr>
                    <w:top w:val="single" w:sz="2" w:space="0" w:color="auto"/>
                    <w:left w:val="single" w:sz="2" w:space="0" w:color="auto"/>
                    <w:bottom w:val="single" w:sz="2" w:space="0" w:color="auto"/>
                    <w:right w:val="single" w:sz="2" w:space="0" w:color="auto"/>
                  </w:divBdr>
                  <w:divsChild>
                    <w:div w:id="1415282520">
                      <w:marLeft w:val="0"/>
                      <w:marRight w:val="0"/>
                      <w:marTop w:val="0"/>
                      <w:marBottom w:val="0"/>
                      <w:divBdr>
                        <w:top w:val="single" w:sz="2" w:space="0" w:color="auto"/>
                        <w:left w:val="single" w:sz="2" w:space="0" w:color="auto"/>
                        <w:bottom w:val="single" w:sz="2" w:space="0" w:color="auto"/>
                        <w:right w:val="single" w:sz="2" w:space="0" w:color="auto"/>
                      </w:divBdr>
                      <w:divsChild>
                        <w:div w:id="1370760413">
                          <w:marLeft w:val="0"/>
                          <w:marRight w:val="0"/>
                          <w:marTop w:val="0"/>
                          <w:marBottom w:val="0"/>
                          <w:divBdr>
                            <w:top w:val="single" w:sz="2" w:space="0" w:color="auto"/>
                            <w:left w:val="single" w:sz="2" w:space="0" w:color="auto"/>
                            <w:bottom w:val="single" w:sz="2" w:space="0" w:color="auto"/>
                            <w:right w:val="single" w:sz="2" w:space="0" w:color="auto"/>
                          </w:divBdr>
                          <w:divsChild>
                            <w:div w:id="1999725714">
                              <w:marLeft w:val="0"/>
                              <w:marRight w:val="0"/>
                              <w:marTop w:val="0"/>
                              <w:marBottom w:val="0"/>
                              <w:divBdr>
                                <w:top w:val="single" w:sz="2" w:space="0" w:color="auto"/>
                                <w:left w:val="single" w:sz="2" w:space="0" w:color="auto"/>
                                <w:bottom w:val="single" w:sz="2" w:space="0" w:color="auto"/>
                                <w:right w:val="single" w:sz="2" w:space="0" w:color="auto"/>
                              </w:divBdr>
                              <w:divsChild>
                                <w:div w:id="1733774054">
                                  <w:marLeft w:val="0"/>
                                  <w:marRight w:val="0"/>
                                  <w:marTop w:val="0"/>
                                  <w:marBottom w:val="0"/>
                                  <w:divBdr>
                                    <w:top w:val="single" w:sz="2" w:space="0" w:color="auto"/>
                                    <w:left w:val="single" w:sz="2" w:space="0" w:color="auto"/>
                                    <w:bottom w:val="single" w:sz="2" w:space="0" w:color="auto"/>
                                    <w:right w:val="single" w:sz="2" w:space="0" w:color="auto"/>
                                  </w:divBdr>
                                  <w:divsChild>
                                    <w:div w:id="1882395802">
                                      <w:marLeft w:val="0"/>
                                      <w:marRight w:val="0"/>
                                      <w:marTop w:val="0"/>
                                      <w:marBottom w:val="0"/>
                                      <w:divBdr>
                                        <w:top w:val="single" w:sz="2" w:space="0" w:color="auto"/>
                                        <w:left w:val="single" w:sz="2" w:space="0" w:color="auto"/>
                                        <w:bottom w:val="single" w:sz="2" w:space="0" w:color="auto"/>
                                        <w:right w:val="single" w:sz="2" w:space="0" w:color="auto"/>
                                      </w:divBdr>
                                      <w:divsChild>
                                        <w:div w:id="51972623">
                                          <w:marLeft w:val="0"/>
                                          <w:marRight w:val="0"/>
                                          <w:marTop w:val="0"/>
                                          <w:marBottom w:val="750"/>
                                          <w:divBdr>
                                            <w:top w:val="single" w:sz="2" w:space="0" w:color="auto"/>
                                            <w:left w:val="single" w:sz="2" w:space="0" w:color="auto"/>
                                            <w:bottom w:val="single" w:sz="2" w:space="0" w:color="auto"/>
                                            <w:right w:val="single" w:sz="2" w:space="0" w:color="auto"/>
                                          </w:divBdr>
                                          <w:divsChild>
                                            <w:div w:id="1107576223">
                                              <w:marLeft w:val="0"/>
                                              <w:marRight w:val="0"/>
                                              <w:marTop w:val="0"/>
                                              <w:marBottom w:val="0"/>
                                              <w:divBdr>
                                                <w:top w:val="single" w:sz="2" w:space="0" w:color="auto"/>
                                                <w:left w:val="single" w:sz="2" w:space="0" w:color="auto"/>
                                                <w:bottom w:val="single" w:sz="2" w:space="0" w:color="auto"/>
                                                <w:right w:val="single" w:sz="2" w:space="0" w:color="auto"/>
                                              </w:divBdr>
                                              <w:divsChild>
                                                <w:div w:id="1948658796">
                                                  <w:marLeft w:val="0"/>
                                                  <w:marRight w:val="0"/>
                                                  <w:marTop w:val="0"/>
                                                  <w:marBottom w:val="0"/>
                                                  <w:divBdr>
                                                    <w:top w:val="single" w:sz="2" w:space="0" w:color="auto"/>
                                                    <w:left w:val="single" w:sz="2" w:space="0" w:color="auto"/>
                                                    <w:bottom w:val="single" w:sz="2" w:space="0" w:color="auto"/>
                                                    <w:right w:val="single" w:sz="2" w:space="0" w:color="auto"/>
                                                  </w:divBdr>
                                                  <w:divsChild>
                                                    <w:div w:id="1198851566">
                                                      <w:marLeft w:val="0"/>
                                                      <w:marRight w:val="0"/>
                                                      <w:marTop w:val="0"/>
                                                      <w:marBottom w:val="0"/>
                                                      <w:divBdr>
                                                        <w:top w:val="single" w:sz="2" w:space="0" w:color="auto"/>
                                                        <w:left w:val="single" w:sz="2" w:space="0" w:color="auto"/>
                                                        <w:bottom w:val="single" w:sz="2" w:space="0" w:color="auto"/>
                                                        <w:right w:val="single" w:sz="2" w:space="0" w:color="auto"/>
                                                      </w:divBdr>
                                                      <w:divsChild>
                                                        <w:div w:id="806893013">
                                                          <w:marLeft w:val="0"/>
                                                          <w:marRight w:val="0"/>
                                                          <w:marTop w:val="0"/>
                                                          <w:marBottom w:val="0"/>
                                                          <w:divBdr>
                                                            <w:top w:val="single" w:sz="2" w:space="0" w:color="auto"/>
                                                            <w:left w:val="single" w:sz="2" w:space="31" w:color="auto"/>
                                                            <w:bottom w:val="single" w:sz="2" w:space="0" w:color="auto"/>
                                                            <w:right w:val="single" w:sz="2" w:space="31" w:color="auto"/>
                                                          </w:divBdr>
                                                          <w:divsChild>
                                                            <w:div w:id="1006791639">
                                                              <w:marLeft w:val="0"/>
                                                              <w:marRight w:val="0"/>
                                                              <w:marTop w:val="0"/>
                                                              <w:marBottom w:val="0"/>
                                                              <w:divBdr>
                                                                <w:top w:val="single" w:sz="2" w:space="0" w:color="auto"/>
                                                                <w:left w:val="single" w:sz="2" w:space="0" w:color="auto"/>
                                                                <w:bottom w:val="single" w:sz="2" w:space="0" w:color="auto"/>
                                                                <w:right w:val="single" w:sz="2" w:space="0" w:color="auto"/>
                                                              </w:divBdr>
                                                              <w:divsChild>
                                                                <w:div w:id="5088372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 w:id="350104223">
          <w:marLeft w:val="0"/>
          <w:marRight w:val="0"/>
          <w:marTop w:val="0"/>
          <w:marBottom w:val="0"/>
          <w:divBdr>
            <w:top w:val="single" w:sz="2" w:space="0" w:color="auto"/>
            <w:left w:val="single" w:sz="2" w:space="0" w:color="auto"/>
            <w:bottom w:val="single" w:sz="2" w:space="0" w:color="auto"/>
            <w:right w:val="single" w:sz="2" w:space="0" w:color="auto"/>
          </w:divBdr>
          <w:divsChild>
            <w:div w:id="218177298">
              <w:marLeft w:val="900"/>
              <w:marRight w:val="900"/>
              <w:marTop w:val="0"/>
              <w:marBottom w:val="0"/>
              <w:divBdr>
                <w:top w:val="single" w:sz="2" w:space="0" w:color="auto"/>
                <w:left w:val="single" w:sz="2" w:space="0" w:color="auto"/>
                <w:bottom w:val="single" w:sz="2" w:space="0" w:color="auto"/>
                <w:right w:val="single" w:sz="2" w:space="0" w:color="auto"/>
              </w:divBdr>
              <w:divsChild>
                <w:div w:id="313293826">
                  <w:marLeft w:val="0"/>
                  <w:marRight w:val="0"/>
                  <w:marTop w:val="150"/>
                  <w:marBottom w:val="480"/>
                  <w:divBdr>
                    <w:top w:val="single" w:sz="2" w:space="0" w:color="auto"/>
                    <w:left w:val="single" w:sz="2" w:space="0" w:color="auto"/>
                    <w:bottom w:val="single" w:sz="2" w:space="0" w:color="auto"/>
                    <w:right w:val="single" w:sz="2" w:space="0" w:color="auto"/>
                  </w:divBdr>
                  <w:divsChild>
                    <w:div w:id="17478774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sChild>
        </w:div>
      </w:divsChild>
    </w:div>
    <w:div w:id="506285008">
      <w:bodyDiv w:val="1"/>
      <w:marLeft w:val="0"/>
      <w:marRight w:val="0"/>
      <w:marTop w:val="0"/>
      <w:marBottom w:val="0"/>
      <w:divBdr>
        <w:top w:val="none" w:sz="0" w:space="0" w:color="auto"/>
        <w:left w:val="none" w:sz="0" w:space="0" w:color="auto"/>
        <w:bottom w:val="none" w:sz="0" w:space="0" w:color="auto"/>
        <w:right w:val="none" w:sz="0" w:space="0" w:color="auto"/>
      </w:divBdr>
    </w:div>
    <w:div w:id="515267924">
      <w:bodyDiv w:val="1"/>
      <w:marLeft w:val="0"/>
      <w:marRight w:val="0"/>
      <w:marTop w:val="0"/>
      <w:marBottom w:val="0"/>
      <w:divBdr>
        <w:top w:val="none" w:sz="0" w:space="0" w:color="auto"/>
        <w:left w:val="none" w:sz="0" w:space="0" w:color="auto"/>
        <w:bottom w:val="none" w:sz="0" w:space="0" w:color="auto"/>
        <w:right w:val="none" w:sz="0" w:space="0" w:color="auto"/>
      </w:divBdr>
    </w:div>
    <w:div w:id="573198797">
      <w:bodyDiv w:val="1"/>
      <w:marLeft w:val="0"/>
      <w:marRight w:val="0"/>
      <w:marTop w:val="0"/>
      <w:marBottom w:val="0"/>
      <w:divBdr>
        <w:top w:val="none" w:sz="0" w:space="0" w:color="auto"/>
        <w:left w:val="none" w:sz="0" w:space="0" w:color="auto"/>
        <w:bottom w:val="none" w:sz="0" w:space="0" w:color="auto"/>
        <w:right w:val="none" w:sz="0" w:space="0" w:color="auto"/>
      </w:divBdr>
    </w:div>
    <w:div w:id="593712321">
      <w:bodyDiv w:val="1"/>
      <w:marLeft w:val="0"/>
      <w:marRight w:val="0"/>
      <w:marTop w:val="0"/>
      <w:marBottom w:val="0"/>
      <w:divBdr>
        <w:top w:val="none" w:sz="0" w:space="0" w:color="auto"/>
        <w:left w:val="none" w:sz="0" w:space="0" w:color="auto"/>
        <w:bottom w:val="none" w:sz="0" w:space="0" w:color="auto"/>
        <w:right w:val="none" w:sz="0" w:space="0" w:color="auto"/>
      </w:divBdr>
      <w:divsChild>
        <w:div w:id="173349406">
          <w:marLeft w:val="0"/>
          <w:marRight w:val="0"/>
          <w:marTop w:val="0"/>
          <w:marBottom w:val="0"/>
          <w:divBdr>
            <w:top w:val="none" w:sz="0" w:space="0" w:color="auto"/>
            <w:left w:val="none" w:sz="0" w:space="0" w:color="auto"/>
            <w:bottom w:val="none" w:sz="0" w:space="0" w:color="auto"/>
            <w:right w:val="none" w:sz="0" w:space="0" w:color="auto"/>
          </w:divBdr>
          <w:divsChild>
            <w:div w:id="736365262">
              <w:marLeft w:val="0"/>
              <w:marRight w:val="0"/>
              <w:marTop w:val="0"/>
              <w:marBottom w:val="0"/>
              <w:divBdr>
                <w:top w:val="none" w:sz="0" w:space="0" w:color="auto"/>
                <w:left w:val="none" w:sz="0" w:space="0" w:color="auto"/>
                <w:bottom w:val="none" w:sz="0" w:space="0" w:color="auto"/>
                <w:right w:val="none" w:sz="0" w:space="0" w:color="auto"/>
              </w:divBdr>
              <w:divsChild>
                <w:div w:id="875049471">
                  <w:marLeft w:val="0"/>
                  <w:marRight w:val="0"/>
                  <w:marTop w:val="0"/>
                  <w:marBottom w:val="0"/>
                  <w:divBdr>
                    <w:top w:val="none" w:sz="0" w:space="0" w:color="auto"/>
                    <w:left w:val="none" w:sz="0" w:space="0" w:color="auto"/>
                    <w:bottom w:val="none" w:sz="0" w:space="0" w:color="auto"/>
                    <w:right w:val="none" w:sz="0" w:space="0" w:color="auto"/>
                  </w:divBdr>
                  <w:divsChild>
                    <w:div w:id="1234975893">
                      <w:marLeft w:val="0"/>
                      <w:marRight w:val="0"/>
                      <w:marTop w:val="0"/>
                      <w:marBottom w:val="0"/>
                      <w:divBdr>
                        <w:top w:val="none" w:sz="0" w:space="0" w:color="auto"/>
                        <w:left w:val="none" w:sz="0" w:space="0" w:color="auto"/>
                        <w:bottom w:val="none" w:sz="0" w:space="0" w:color="auto"/>
                        <w:right w:val="none" w:sz="0" w:space="0" w:color="auto"/>
                      </w:divBdr>
                      <w:divsChild>
                        <w:div w:id="1422918401">
                          <w:marLeft w:val="0"/>
                          <w:marRight w:val="0"/>
                          <w:marTop w:val="0"/>
                          <w:marBottom w:val="0"/>
                          <w:divBdr>
                            <w:top w:val="none" w:sz="0" w:space="0" w:color="auto"/>
                            <w:left w:val="none" w:sz="0" w:space="0" w:color="auto"/>
                            <w:bottom w:val="none" w:sz="0" w:space="0" w:color="auto"/>
                            <w:right w:val="none" w:sz="0" w:space="0" w:color="auto"/>
                          </w:divBdr>
                          <w:divsChild>
                            <w:div w:id="1546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864157">
          <w:marLeft w:val="0"/>
          <w:marRight w:val="0"/>
          <w:marTop w:val="0"/>
          <w:marBottom w:val="0"/>
          <w:divBdr>
            <w:top w:val="none" w:sz="0" w:space="0" w:color="auto"/>
            <w:left w:val="none" w:sz="0" w:space="0" w:color="auto"/>
            <w:bottom w:val="none" w:sz="0" w:space="0" w:color="auto"/>
            <w:right w:val="none" w:sz="0" w:space="0" w:color="auto"/>
          </w:divBdr>
          <w:divsChild>
            <w:div w:id="68771952">
              <w:marLeft w:val="0"/>
              <w:marRight w:val="0"/>
              <w:marTop w:val="0"/>
              <w:marBottom w:val="0"/>
              <w:divBdr>
                <w:top w:val="none" w:sz="0" w:space="0" w:color="auto"/>
                <w:left w:val="none" w:sz="0" w:space="0" w:color="auto"/>
                <w:bottom w:val="none" w:sz="0" w:space="0" w:color="auto"/>
                <w:right w:val="none" w:sz="0" w:space="0" w:color="auto"/>
              </w:divBdr>
              <w:divsChild>
                <w:div w:id="1398238442">
                  <w:marLeft w:val="0"/>
                  <w:marRight w:val="0"/>
                  <w:marTop w:val="0"/>
                  <w:marBottom w:val="0"/>
                  <w:divBdr>
                    <w:top w:val="none" w:sz="0" w:space="0" w:color="auto"/>
                    <w:left w:val="none" w:sz="0" w:space="0" w:color="auto"/>
                    <w:bottom w:val="none" w:sz="0" w:space="0" w:color="auto"/>
                    <w:right w:val="none" w:sz="0" w:space="0" w:color="auto"/>
                  </w:divBdr>
                  <w:divsChild>
                    <w:div w:id="2247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6131">
          <w:marLeft w:val="0"/>
          <w:marRight w:val="0"/>
          <w:marTop w:val="0"/>
          <w:marBottom w:val="0"/>
          <w:divBdr>
            <w:top w:val="none" w:sz="0" w:space="0" w:color="auto"/>
            <w:left w:val="none" w:sz="0" w:space="0" w:color="auto"/>
            <w:bottom w:val="none" w:sz="0" w:space="0" w:color="auto"/>
            <w:right w:val="none" w:sz="0" w:space="0" w:color="auto"/>
          </w:divBdr>
          <w:divsChild>
            <w:div w:id="372048499">
              <w:marLeft w:val="0"/>
              <w:marRight w:val="0"/>
              <w:marTop w:val="0"/>
              <w:marBottom w:val="0"/>
              <w:divBdr>
                <w:top w:val="none" w:sz="0" w:space="0" w:color="auto"/>
                <w:left w:val="none" w:sz="0" w:space="0" w:color="auto"/>
                <w:bottom w:val="none" w:sz="0" w:space="0" w:color="auto"/>
                <w:right w:val="none" w:sz="0" w:space="0" w:color="auto"/>
              </w:divBdr>
              <w:divsChild>
                <w:div w:id="1601913918">
                  <w:marLeft w:val="0"/>
                  <w:marRight w:val="0"/>
                  <w:marTop w:val="0"/>
                  <w:marBottom w:val="0"/>
                  <w:divBdr>
                    <w:top w:val="none" w:sz="0" w:space="0" w:color="auto"/>
                    <w:left w:val="none" w:sz="0" w:space="0" w:color="auto"/>
                    <w:bottom w:val="none" w:sz="0" w:space="0" w:color="auto"/>
                    <w:right w:val="none" w:sz="0" w:space="0" w:color="auto"/>
                  </w:divBdr>
                  <w:divsChild>
                    <w:div w:id="632635702">
                      <w:marLeft w:val="0"/>
                      <w:marRight w:val="0"/>
                      <w:marTop w:val="0"/>
                      <w:marBottom w:val="0"/>
                      <w:divBdr>
                        <w:top w:val="none" w:sz="0" w:space="0" w:color="auto"/>
                        <w:left w:val="none" w:sz="0" w:space="0" w:color="auto"/>
                        <w:bottom w:val="none" w:sz="0" w:space="0" w:color="auto"/>
                        <w:right w:val="none" w:sz="0" w:space="0" w:color="auto"/>
                      </w:divBdr>
                      <w:divsChild>
                        <w:div w:id="1415664874">
                          <w:marLeft w:val="0"/>
                          <w:marRight w:val="0"/>
                          <w:marTop w:val="0"/>
                          <w:marBottom w:val="0"/>
                          <w:divBdr>
                            <w:top w:val="none" w:sz="0" w:space="0" w:color="auto"/>
                            <w:left w:val="none" w:sz="0" w:space="0" w:color="auto"/>
                            <w:bottom w:val="none" w:sz="0" w:space="0" w:color="auto"/>
                            <w:right w:val="none" w:sz="0" w:space="0" w:color="auto"/>
                          </w:divBdr>
                          <w:divsChild>
                            <w:div w:id="12634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502721">
      <w:bodyDiv w:val="1"/>
      <w:marLeft w:val="0"/>
      <w:marRight w:val="0"/>
      <w:marTop w:val="0"/>
      <w:marBottom w:val="0"/>
      <w:divBdr>
        <w:top w:val="none" w:sz="0" w:space="0" w:color="auto"/>
        <w:left w:val="none" w:sz="0" w:space="0" w:color="auto"/>
        <w:bottom w:val="none" w:sz="0" w:space="0" w:color="auto"/>
        <w:right w:val="none" w:sz="0" w:space="0" w:color="auto"/>
      </w:divBdr>
    </w:div>
    <w:div w:id="647782601">
      <w:bodyDiv w:val="1"/>
      <w:marLeft w:val="0"/>
      <w:marRight w:val="0"/>
      <w:marTop w:val="0"/>
      <w:marBottom w:val="0"/>
      <w:divBdr>
        <w:top w:val="none" w:sz="0" w:space="0" w:color="auto"/>
        <w:left w:val="none" w:sz="0" w:space="0" w:color="auto"/>
        <w:bottom w:val="none" w:sz="0" w:space="0" w:color="auto"/>
        <w:right w:val="none" w:sz="0" w:space="0" w:color="auto"/>
      </w:divBdr>
    </w:div>
    <w:div w:id="681131614">
      <w:bodyDiv w:val="1"/>
      <w:marLeft w:val="0"/>
      <w:marRight w:val="0"/>
      <w:marTop w:val="0"/>
      <w:marBottom w:val="0"/>
      <w:divBdr>
        <w:top w:val="none" w:sz="0" w:space="0" w:color="auto"/>
        <w:left w:val="none" w:sz="0" w:space="0" w:color="auto"/>
        <w:bottom w:val="none" w:sz="0" w:space="0" w:color="auto"/>
        <w:right w:val="none" w:sz="0" w:space="0" w:color="auto"/>
      </w:divBdr>
      <w:divsChild>
        <w:div w:id="1495101783">
          <w:marLeft w:val="0"/>
          <w:marRight w:val="0"/>
          <w:marTop w:val="0"/>
          <w:marBottom w:val="0"/>
          <w:divBdr>
            <w:top w:val="none" w:sz="0" w:space="0" w:color="auto"/>
            <w:left w:val="none" w:sz="0" w:space="0" w:color="auto"/>
            <w:bottom w:val="none" w:sz="0" w:space="0" w:color="auto"/>
            <w:right w:val="none" w:sz="0" w:space="0" w:color="auto"/>
          </w:divBdr>
          <w:divsChild>
            <w:div w:id="735854909">
              <w:marLeft w:val="0"/>
              <w:marRight w:val="0"/>
              <w:marTop w:val="0"/>
              <w:marBottom w:val="0"/>
              <w:divBdr>
                <w:top w:val="none" w:sz="0" w:space="0" w:color="auto"/>
                <w:left w:val="none" w:sz="0" w:space="0" w:color="auto"/>
                <w:bottom w:val="none" w:sz="0" w:space="0" w:color="auto"/>
                <w:right w:val="none" w:sz="0" w:space="0" w:color="auto"/>
              </w:divBdr>
              <w:divsChild>
                <w:div w:id="377170808">
                  <w:marLeft w:val="0"/>
                  <w:marRight w:val="0"/>
                  <w:marTop w:val="0"/>
                  <w:marBottom w:val="0"/>
                  <w:divBdr>
                    <w:top w:val="none" w:sz="0" w:space="0" w:color="auto"/>
                    <w:left w:val="none" w:sz="0" w:space="0" w:color="auto"/>
                    <w:bottom w:val="none" w:sz="0" w:space="0" w:color="auto"/>
                    <w:right w:val="none" w:sz="0" w:space="0" w:color="auto"/>
                  </w:divBdr>
                  <w:divsChild>
                    <w:div w:id="12160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01725">
          <w:marLeft w:val="0"/>
          <w:marRight w:val="0"/>
          <w:marTop w:val="0"/>
          <w:marBottom w:val="0"/>
          <w:divBdr>
            <w:top w:val="none" w:sz="0" w:space="0" w:color="auto"/>
            <w:left w:val="none" w:sz="0" w:space="0" w:color="auto"/>
            <w:bottom w:val="none" w:sz="0" w:space="0" w:color="auto"/>
            <w:right w:val="none" w:sz="0" w:space="0" w:color="auto"/>
          </w:divBdr>
          <w:divsChild>
            <w:div w:id="1312518349">
              <w:marLeft w:val="0"/>
              <w:marRight w:val="0"/>
              <w:marTop w:val="0"/>
              <w:marBottom w:val="0"/>
              <w:divBdr>
                <w:top w:val="none" w:sz="0" w:space="0" w:color="auto"/>
                <w:left w:val="none" w:sz="0" w:space="0" w:color="auto"/>
                <w:bottom w:val="none" w:sz="0" w:space="0" w:color="auto"/>
                <w:right w:val="none" w:sz="0" w:space="0" w:color="auto"/>
              </w:divBdr>
              <w:divsChild>
                <w:div w:id="1670788465">
                  <w:marLeft w:val="0"/>
                  <w:marRight w:val="0"/>
                  <w:marTop w:val="0"/>
                  <w:marBottom w:val="0"/>
                  <w:divBdr>
                    <w:top w:val="none" w:sz="0" w:space="0" w:color="auto"/>
                    <w:left w:val="none" w:sz="0" w:space="0" w:color="auto"/>
                    <w:bottom w:val="none" w:sz="0" w:space="0" w:color="auto"/>
                    <w:right w:val="none" w:sz="0" w:space="0" w:color="auto"/>
                  </w:divBdr>
                  <w:divsChild>
                    <w:div w:id="12311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82348">
      <w:bodyDiv w:val="1"/>
      <w:marLeft w:val="0"/>
      <w:marRight w:val="0"/>
      <w:marTop w:val="0"/>
      <w:marBottom w:val="0"/>
      <w:divBdr>
        <w:top w:val="none" w:sz="0" w:space="0" w:color="auto"/>
        <w:left w:val="none" w:sz="0" w:space="0" w:color="auto"/>
        <w:bottom w:val="none" w:sz="0" w:space="0" w:color="auto"/>
        <w:right w:val="none" w:sz="0" w:space="0" w:color="auto"/>
      </w:divBdr>
    </w:div>
    <w:div w:id="890000604">
      <w:bodyDiv w:val="1"/>
      <w:marLeft w:val="0"/>
      <w:marRight w:val="0"/>
      <w:marTop w:val="0"/>
      <w:marBottom w:val="0"/>
      <w:divBdr>
        <w:top w:val="none" w:sz="0" w:space="0" w:color="auto"/>
        <w:left w:val="none" w:sz="0" w:space="0" w:color="auto"/>
        <w:bottom w:val="none" w:sz="0" w:space="0" w:color="auto"/>
        <w:right w:val="none" w:sz="0" w:space="0" w:color="auto"/>
      </w:divBdr>
      <w:divsChild>
        <w:div w:id="942152630">
          <w:marLeft w:val="0"/>
          <w:marRight w:val="0"/>
          <w:marTop w:val="0"/>
          <w:marBottom w:val="0"/>
          <w:divBdr>
            <w:top w:val="none" w:sz="0" w:space="0" w:color="auto"/>
            <w:left w:val="none" w:sz="0" w:space="0" w:color="auto"/>
            <w:bottom w:val="none" w:sz="0" w:space="0" w:color="auto"/>
            <w:right w:val="none" w:sz="0" w:space="0" w:color="auto"/>
          </w:divBdr>
          <w:divsChild>
            <w:div w:id="135412221">
              <w:marLeft w:val="0"/>
              <w:marRight w:val="0"/>
              <w:marTop w:val="0"/>
              <w:marBottom w:val="0"/>
              <w:divBdr>
                <w:top w:val="none" w:sz="0" w:space="0" w:color="auto"/>
                <w:left w:val="none" w:sz="0" w:space="0" w:color="auto"/>
                <w:bottom w:val="none" w:sz="0" w:space="0" w:color="auto"/>
                <w:right w:val="none" w:sz="0" w:space="0" w:color="auto"/>
              </w:divBdr>
              <w:divsChild>
                <w:div w:id="1226647818">
                  <w:marLeft w:val="0"/>
                  <w:marRight w:val="0"/>
                  <w:marTop w:val="0"/>
                  <w:marBottom w:val="0"/>
                  <w:divBdr>
                    <w:top w:val="none" w:sz="0" w:space="0" w:color="auto"/>
                    <w:left w:val="none" w:sz="0" w:space="0" w:color="auto"/>
                    <w:bottom w:val="none" w:sz="0" w:space="0" w:color="auto"/>
                    <w:right w:val="none" w:sz="0" w:space="0" w:color="auto"/>
                  </w:divBdr>
                  <w:divsChild>
                    <w:div w:id="2003388593">
                      <w:marLeft w:val="0"/>
                      <w:marRight w:val="0"/>
                      <w:marTop w:val="0"/>
                      <w:marBottom w:val="0"/>
                      <w:divBdr>
                        <w:top w:val="none" w:sz="0" w:space="0" w:color="auto"/>
                        <w:left w:val="none" w:sz="0" w:space="0" w:color="auto"/>
                        <w:bottom w:val="none" w:sz="0" w:space="0" w:color="auto"/>
                        <w:right w:val="none" w:sz="0" w:space="0" w:color="auto"/>
                      </w:divBdr>
                      <w:divsChild>
                        <w:div w:id="626663096">
                          <w:marLeft w:val="0"/>
                          <w:marRight w:val="0"/>
                          <w:marTop w:val="0"/>
                          <w:marBottom w:val="0"/>
                          <w:divBdr>
                            <w:top w:val="none" w:sz="0" w:space="0" w:color="auto"/>
                            <w:left w:val="none" w:sz="0" w:space="0" w:color="auto"/>
                            <w:bottom w:val="none" w:sz="0" w:space="0" w:color="auto"/>
                            <w:right w:val="none" w:sz="0" w:space="0" w:color="auto"/>
                          </w:divBdr>
                          <w:divsChild>
                            <w:div w:id="16739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995988">
      <w:bodyDiv w:val="1"/>
      <w:marLeft w:val="0"/>
      <w:marRight w:val="0"/>
      <w:marTop w:val="0"/>
      <w:marBottom w:val="0"/>
      <w:divBdr>
        <w:top w:val="none" w:sz="0" w:space="0" w:color="auto"/>
        <w:left w:val="none" w:sz="0" w:space="0" w:color="auto"/>
        <w:bottom w:val="none" w:sz="0" w:space="0" w:color="auto"/>
        <w:right w:val="none" w:sz="0" w:space="0" w:color="auto"/>
      </w:divBdr>
    </w:div>
    <w:div w:id="981738679">
      <w:bodyDiv w:val="1"/>
      <w:marLeft w:val="0"/>
      <w:marRight w:val="0"/>
      <w:marTop w:val="0"/>
      <w:marBottom w:val="0"/>
      <w:divBdr>
        <w:top w:val="none" w:sz="0" w:space="0" w:color="auto"/>
        <w:left w:val="none" w:sz="0" w:space="0" w:color="auto"/>
        <w:bottom w:val="none" w:sz="0" w:space="0" w:color="auto"/>
        <w:right w:val="none" w:sz="0" w:space="0" w:color="auto"/>
      </w:divBdr>
    </w:div>
    <w:div w:id="982732145">
      <w:bodyDiv w:val="1"/>
      <w:marLeft w:val="0"/>
      <w:marRight w:val="0"/>
      <w:marTop w:val="0"/>
      <w:marBottom w:val="0"/>
      <w:divBdr>
        <w:top w:val="none" w:sz="0" w:space="0" w:color="auto"/>
        <w:left w:val="none" w:sz="0" w:space="0" w:color="auto"/>
        <w:bottom w:val="none" w:sz="0" w:space="0" w:color="auto"/>
        <w:right w:val="none" w:sz="0" w:space="0" w:color="auto"/>
      </w:divBdr>
    </w:div>
    <w:div w:id="985161781">
      <w:bodyDiv w:val="1"/>
      <w:marLeft w:val="0"/>
      <w:marRight w:val="0"/>
      <w:marTop w:val="0"/>
      <w:marBottom w:val="0"/>
      <w:divBdr>
        <w:top w:val="none" w:sz="0" w:space="0" w:color="auto"/>
        <w:left w:val="none" w:sz="0" w:space="0" w:color="auto"/>
        <w:bottom w:val="none" w:sz="0" w:space="0" w:color="auto"/>
        <w:right w:val="none" w:sz="0" w:space="0" w:color="auto"/>
      </w:divBdr>
    </w:div>
    <w:div w:id="1033574842">
      <w:bodyDiv w:val="1"/>
      <w:marLeft w:val="0"/>
      <w:marRight w:val="0"/>
      <w:marTop w:val="0"/>
      <w:marBottom w:val="0"/>
      <w:divBdr>
        <w:top w:val="none" w:sz="0" w:space="0" w:color="auto"/>
        <w:left w:val="none" w:sz="0" w:space="0" w:color="auto"/>
        <w:bottom w:val="none" w:sz="0" w:space="0" w:color="auto"/>
        <w:right w:val="none" w:sz="0" w:space="0" w:color="auto"/>
      </w:divBdr>
    </w:div>
    <w:div w:id="1072511784">
      <w:bodyDiv w:val="1"/>
      <w:marLeft w:val="0"/>
      <w:marRight w:val="0"/>
      <w:marTop w:val="0"/>
      <w:marBottom w:val="0"/>
      <w:divBdr>
        <w:top w:val="none" w:sz="0" w:space="0" w:color="auto"/>
        <w:left w:val="none" w:sz="0" w:space="0" w:color="auto"/>
        <w:bottom w:val="none" w:sz="0" w:space="0" w:color="auto"/>
        <w:right w:val="none" w:sz="0" w:space="0" w:color="auto"/>
      </w:divBdr>
    </w:div>
    <w:div w:id="1083451083">
      <w:bodyDiv w:val="1"/>
      <w:marLeft w:val="0"/>
      <w:marRight w:val="0"/>
      <w:marTop w:val="0"/>
      <w:marBottom w:val="0"/>
      <w:divBdr>
        <w:top w:val="none" w:sz="0" w:space="0" w:color="auto"/>
        <w:left w:val="none" w:sz="0" w:space="0" w:color="auto"/>
        <w:bottom w:val="none" w:sz="0" w:space="0" w:color="auto"/>
        <w:right w:val="none" w:sz="0" w:space="0" w:color="auto"/>
      </w:divBdr>
    </w:div>
    <w:div w:id="1092094454">
      <w:bodyDiv w:val="1"/>
      <w:marLeft w:val="0"/>
      <w:marRight w:val="0"/>
      <w:marTop w:val="0"/>
      <w:marBottom w:val="0"/>
      <w:divBdr>
        <w:top w:val="none" w:sz="0" w:space="0" w:color="auto"/>
        <w:left w:val="none" w:sz="0" w:space="0" w:color="auto"/>
        <w:bottom w:val="none" w:sz="0" w:space="0" w:color="auto"/>
        <w:right w:val="none" w:sz="0" w:space="0" w:color="auto"/>
      </w:divBdr>
      <w:divsChild>
        <w:div w:id="474685418">
          <w:marLeft w:val="0"/>
          <w:marRight w:val="0"/>
          <w:marTop w:val="0"/>
          <w:marBottom w:val="0"/>
          <w:divBdr>
            <w:top w:val="none" w:sz="0" w:space="0" w:color="auto"/>
            <w:left w:val="none" w:sz="0" w:space="0" w:color="auto"/>
            <w:bottom w:val="none" w:sz="0" w:space="0" w:color="auto"/>
            <w:right w:val="none" w:sz="0" w:space="0" w:color="auto"/>
          </w:divBdr>
          <w:divsChild>
            <w:div w:id="893084813">
              <w:marLeft w:val="0"/>
              <w:marRight w:val="0"/>
              <w:marTop w:val="0"/>
              <w:marBottom w:val="0"/>
              <w:divBdr>
                <w:top w:val="none" w:sz="0" w:space="0" w:color="auto"/>
                <w:left w:val="none" w:sz="0" w:space="0" w:color="auto"/>
                <w:bottom w:val="none" w:sz="0" w:space="0" w:color="auto"/>
                <w:right w:val="none" w:sz="0" w:space="0" w:color="auto"/>
              </w:divBdr>
              <w:divsChild>
                <w:div w:id="2075276103">
                  <w:marLeft w:val="0"/>
                  <w:marRight w:val="0"/>
                  <w:marTop w:val="0"/>
                  <w:marBottom w:val="240"/>
                  <w:divBdr>
                    <w:top w:val="none" w:sz="0" w:space="0" w:color="auto"/>
                    <w:left w:val="none" w:sz="0" w:space="0" w:color="auto"/>
                    <w:bottom w:val="none" w:sz="0" w:space="0" w:color="auto"/>
                    <w:right w:val="none" w:sz="0" w:space="0" w:color="auto"/>
                  </w:divBdr>
                  <w:divsChild>
                    <w:div w:id="1073355067">
                      <w:marLeft w:val="0"/>
                      <w:marRight w:val="0"/>
                      <w:marTop w:val="0"/>
                      <w:marBottom w:val="0"/>
                      <w:divBdr>
                        <w:top w:val="none" w:sz="0" w:space="0" w:color="auto"/>
                        <w:left w:val="none" w:sz="0" w:space="0" w:color="auto"/>
                        <w:bottom w:val="none" w:sz="0" w:space="0" w:color="auto"/>
                        <w:right w:val="none" w:sz="0" w:space="0" w:color="auto"/>
                      </w:divBdr>
                      <w:divsChild>
                        <w:div w:id="966620653">
                          <w:marLeft w:val="0"/>
                          <w:marRight w:val="0"/>
                          <w:marTop w:val="0"/>
                          <w:marBottom w:val="0"/>
                          <w:divBdr>
                            <w:top w:val="none" w:sz="0" w:space="0" w:color="auto"/>
                            <w:left w:val="none" w:sz="0" w:space="0" w:color="auto"/>
                            <w:bottom w:val="none" w:sz="0" w:space="0" w:color="auto"/>
                            <w:right w:val="none" w:sz="0" w:space="0" w:color="auto"/>
                          </w:divBdr>
                          <w:divsChild>
                            <w:div w:id="1279946444">
                              <w:marLeft w:val="0"/>
                              <w:marRight w:val="0"/>
                              <w:marTop w:val="0"/>
                              <w:marBottom w:val="0"/>
                              <w:divBdr>
                                <w:top w:val="none" w:sz="0" w:space="0" w:color="auto"/>
                                <w:left w:val="none" w:sz="0" w:space="0" w:color="auto"/>
                                <w:bottom w:val="none" w:sz="0" w:space="0" w:color="auto"/>
                                <w:right w:val="none" w:sz="0" w:space="0" w:color="auto"/>
                              </w:divBdr>
                              <w:divsChild>
                                <w:div w:id="13883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571881">
      <w:bodyDiv w:val="1"/>
      <w:marLeft w:val="0"/>
      <w:marRight w:val="0"/>
      <w:marTop w:val="0"/>
      <w:marBottom w:val="0"/>
      <w:divBdr>
        <w:top w:val="none" w:sz="0" w:space="0" w:color="auto"/>
        <w:left w:val="none" w:sz="0" w:space="0" w:color="auto"/>
        <w:bottom w:val="none" w:sz="0" w:space="0" w:color="auto"/>
        <w:right w:val="none" w:sz="0" w:space="0" w:color="auto"/>
      </w:divBdr>
    </w:div>
    <w:div w:id="1128009262">
      <w:bodyDiv w:val="1"/>
      <w:marLeft w:val="0"/>
      <w:marRight w:val="0"/>
      <w:marTop w:val="0"/>
      <w:marBottom w:val="0"/>
      <w:divBdr>
        <w:top w:val="none" w:sz="0" w:space="0" w:color="auto"/>
        <w:left w:val="none" w:sz="0" w:space="0" w:color="auto"/>
        <w:bottom w:val="none" w:sz="0" w:space="0" w:color="auto"/>
        <w:right w:val="none" w:sz="0" w:space="0" w:color="auto"/>
      </w:divBdr>
    </w:div>
    <w:div w:id="1189026705">
      <w:bodyDiv w:val="1"/>
      <w:marLeft w:val="0"/>
      <w:marRight w:val="0"/>
      <w:marTop w:val="0"/>
      <w:marBottom w:val="0"/>
      <w:divBdr>
        <w:top w:val="none" w:sz="0" w:space="0" w:color="auto"/>
        <w:left w:val="none" w:sz="0" w:space="0" w:color="auto"/>
        <w:bottom w:val="none" w:sz="0" w:space="0" w:color="auto"/>
        <w:right w:val="none" w:sz="0" w:space="0" w:color="auto"/>
      </w:divBdr>
    </w:div>
    <w:div w:id="1438597906">
      <w:bodyDiv w:val="1"/>
      <w:marLeft w:val="0"/>
      <w:marRight w:val="0"/>
      <w:marTop w:val="0"/>
      <w:marBottom w:val="0"/>
      <w:divBdr>
        <w:top w:val="none" w:sz="0" w:space="0" w:color="auto"/>
        <w:left w:val="none" w:sz="0" w:space="0" w:color="auto"/>
        <w:bottom w:val="none" w:sz="0" w:space="0" w:color="auto"/>
        <w:right w:val="none" w:sz="0" w:space="0" w:color="auto"/>
      </w:divBdr>
      <w:divsChild>
        <w:div w:id="1233079400">
          <w:marLeft w:val="0"/>
          <w:marRight w:val="0"/>
          <w:marTop w:val="0"/>
          <w:marBottom w:val="0"/>
          <w:divBdr>
            <w:top w:val="none" w:sz="0" w:space="0" w:color="auto"/>
            <w:left w:val="none" w:sz="0" w:space="0" w:color="auto"/>
            <w:bottom w:val="none" w:sz="0" w:space="0" w:color="auto"/>
            <w:right w:val="none" w:sz="0" w:space="0" w:color="auto"/>
          </w:divBdr>
          <w:divsChild>
            <w:div w:id="1278679697">
              <w:marLeft w:val="0"/>
              <w:marRight w:val="0"/>
              <w:marTop w:val="0"/>
              <w:marBottom w:val="0"/>
              <w:divBdr>
                <w:top w:val="none" w:sz="0" w:space="0" w:color="auto"/>
                <w:left w:val="none" w:sz="0" w:space="0" w:color="auto"/>
                <w:bottom w:val="none" w:sz="0" w:space="0" w:color="auto"/>
                <w:right w:val="none" w:sz="0" w:space="0" w:color="auto"/>
              </w:divBdr>
              <w:divsChild>
                <w:div w:id="1423258199">
                  <w:marLeft w:val="0"/>
                  <w:marRight w:val="0"/>
                  <w:marTop w:val="0"/>
                  <w:marBottom w:val="0"/>
                  <w:divBdr>
                    <w:top w:val="none" w:sz="0" w:space="0" w:color="auto"/>
                    <w:left w:val="none" w:sz="0" w:space="0" w:color="auto"/>
                    <w:bottom w:val="none" w:sz="0" w:space="0" w:color="auto"/>
                    <w:right w:val="none" w:sz="0" w:space="0" w:color="auto"/>
                  </w:divBdr>
                  <w:divsChild>
                    <w:div w:id="297804911">
                      <w:marLeft w:val="0"/>
                      <w:marRight w:val="0"/>
                      <w:marTop w:val="0"/>
                      <w:marBottom w:val="0"/>
                      <w:divBdr>
                        <w:top w:val="none" w:sz="0" w:space="0" w:color="auto"/>
                        <w:left w:val="none" w:sz="0" w:space="0" w:color="auto"/>
                        <w:bottom w:val="none" w:sz="0" w:space="0" w:color="auto"/>
                        <w:right w:val="none" w:sz="0" w:space="0" w:color="auto"/>
                      </w:divBdr>
                      <w:divsChild>
                        <w:div w:id="1430352250">
                          <w:marLeft w:val="0"/>
                          <w:marRight w:val="0"/>
                          <w:marTop w:val="0"/>
                          <w:marBottom w:val="0"/>
                          <w:divBdr>
                            <w:top w:val="none" w:sz="0" w:space="0" w:color="auto"/>
                            <w:left w:val="none" w:sz="0" w:space="0" w:color="auto"/>
                            <w:bottom w:val="none" w:sz="0" w:space="0" w:color="auto"/>
                            <w:right w:val="none" w:sz="0" w:space="0" w:color="auto"/>
                          </w:divBdr>
                          <w:divsChild>
                            <w:div w:id="3308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455881">
      <w:bodyDiv w:val="1"/>
      <w:marLeft w:val="0"/>
      <w:marRight w:val="0"/>
      <w:marTop w:val="0"/>
      <w:marBottom w:val="0"/>
      <w:divBdr>
        <w:top w:val="none" w:sz="0" w:space="0" w:color="auto"/>
        <w:left w:val="none" w:sz="0" w:space="0" w:color="auto"/>
        <w:bottom w:val="none" w:sz="0" w:space="0" w:color="auto"/>
        <w:right w:val="none" w:sz="0" w:space="0" w:color="auto"/>
      </w:divBdr>
    </w:div>
    <w:div w:id="1496798692">
      <w:bodyDiv w:val="1"/>
      <w:marLeft w:val="0"/>
      <w:marRight w:val="0"/>
      <w:marTop w:val="0"/>
      <w:marBottom w:val="0"/>
      <w:divBdr>
        <w:top w:val="none" w:sz="0" w:space="0" w:color="auto"/>
        <w:left w:val="none" w:sz="0" w:space="0" w:color="auto"/>
        <w:bottom w:val="none" w:sz="0" w:space="0" w:color="auto"/>
        <w:right w:val="none" w:sz="0" w:space="0" w:color="auto"/>
      </w:divBdr>
      <w:divsChild>
        <w:div w:id="389303237">
          <w:marLeft w:val="0"/>
          <w:marRight w:val="0"/>
          <w:marTop w:val="0"/>
          <w:marBottom w:val="0"/>
          <w:divBdr>
            <w:top w:val="none" w:sz="0" w:space="0" w:color="auto"/>
            <w:left w:val="none" w:sz="0" w:space="0" w:color="auto"/>
            <w:bottom w:val="none" w:sz="0" w:space="0" w:color="auto"/>
            <w:right w:val="none" w:sz="0" w:space="0" w:color="auto"/>
          </w:divBdr>
          <w:divsChild>
            <w:div w:id="482503738">
              <w:marLeft w:val="0"/>
              <w:marRight w:val="0"/>
              <w:marTop w:val="0"/>
              <w:marBottom w:val="0"/>
              <w:divBdr>
                <w:top w:val="none" w:sz="0" w:space="0" w:color="auto"/>
                <w:left w:val="none" w:sz="0" w:space="0" w:color="auto"/>
                <w:bottom w:val="none" w:sz="0" w:space="0" w:color="auto"/>
                <w:right w:val="none" w:sz="0" w:space="0" w:color="auto"/>
              </w:divBdr>
              <w:divsChild>
                <w:div w:id="404304643">
                  <w:marLeft w:val="0"/>
                  <w:marRight w:val="0"/>
                  <w:marTop w:val="0"/>
                  <w:marBottom w:val="0"/>
                  <w:divBdr>
                    <w:top w:val="none" w:sz="0" w:space="0" w:color="auto"/>
                    <w:left w:val="none" w:sz="0" w:space="0" w:color="auto"/>
                    <w:bottom w:val="none" w:sz="0" w:space="0" w:color="auto"/>
                    <w:right w:val="none" w:sz="0" w:space="0" w:color="auto"/>
                  </w:divBdr>
                  <w:divsChild>
                    <w:div w:id="3403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8327">
          <w:marLeft w:val="0"/>
          <w:marRight w:val="0"/>
          <w:marTop w:val="0"/>
          <w:marBottom w:val="0"/>
          <w:divBdr>
            <w:top w:val="none" w:sz="0" w:space="0" w:color="auto"/>
            <w:left w:val="none" w:sz="0" w:space="0" w:color="auto"/>
            <w:bottom w:val="none" w:sz="0" w:space="0" w:color="auto"/>
            <w:right w:val="none" w:sz="0" w:space="0" w:color="auto"/>
          </w:divBdr>
          <w:divsChild>
            <w:div w:id="1452551086">
              <w:marLeft w:val="0"/>
              <w:marRight w:val="0"/>
              <w:marTop w:val="0"/>
              <w:marBottom w:val="0"/>
              <w:divBdr>
                <w:top w:val="none" w:sz="0" w:space="0" w:color="auto"/>
                <w:left w:val="none" w:sz="0" w:space="0" w:color="auto"/>
                <w:bottom w:val="none" w:sz="0" w:space="0" w:color="auto"/>
                <w:right w:val="none" w:sz="0" w:space="0" w:color="auto"/>
              </w:divBdr>
              <w:divsChild>
                <w:div w:id="735277263">
                  <w:marLeft w:val="0"/>
                  <w:marRight w:val="0"/>
                  <w:marTop w:val="0"/>
                  <w:marBottom w:val="0"/>
                  <w:divBdr>
                    <w:top w:val="none" w:sz="0" w:space="0" w:color="auto"/>
                    <w:left w:val="none" w:sz="0" w:space="0" w:color="auto"/>
                    <w:bottom w:val="none" w:sz="0" w:space="0" w:color="auto"/>
                    <w:right w:val="none" w:sz="0" w:space="0" w:color="auto"/>
                  </w:divBdr>
                  <w:divsChild>
                    <w:div w:id="13600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557683">
      <w:bodyDiv w:val="1"/>
      <w:marLeft w:val="0"/>
      <w:marRight w:val="0"/>
      <w:marTop w:val="0"/>
      <w:marBottom w:val="0"/>
      <w:divBdr>
        <w:top w:val="none" w:sz="0" w:space="0" w:color="auto"/>
        <w:left w:val="none" w:sz="0" w:space="0" w:color="auto"/>
        <w:bottom w:val="none" w:sz="0" w:space="0" w:color="auto"/>
        <w:right w:val="none" w:sz="0" w:space="0" w:color="auto"/>
      </w:divBdr>
    </w:div>
    <w:div w:id="1571891862">
      <w:bodyDiv w:val="1"/>
      <w:marLeft w:val="0"/>
      <w:marRight w:val="0"/>
      <w:marTop w:val="0"/>
      <w:marBottom w:val="0"/>
      <w:divBdr>
        <w:top w:val="none" w:sz="0" w:space="0" w:color="auto"/>
        <w:left w:val="none" w:sz="0" w:space="0" w:color="auto"/>
        <w:bottom w:val="none" w:sz="0" w:space="0" w:color="auto"/>
        <w:right w:val="none" w:sz="0" w:space="0" w:color="auto"/>
      </w:divBdr>
    </w:div>
    <w:div w:id="1584949039">
      <w:bodyDiv w:val="1"/>
      <w:marLeft w:val="0"/>
      <w:marRight w:val="0"/>
      <w:marTop w:val="0"/>
      <w:marBottom w:val="0"/>
      <w:divBdr>
        <w:top w:val="none" w:sz="0" w:space="0" w:color="auto"/>
        <w:left w:val="none" w:sz="0" w:space="0" w:color="auto"/>
        <w:bottom w:val="none" w:sz="0" w:space="0" w:color="auto"/>
        <w:right w:val="none" w:sz="0" w:space="0" w:color="auto"/>
      </w:divBdr>
    </w:div>
    <w:div w:id="1658802902">
      <w:bodyDiv w:val="1"/>
      <w:marLeft w:val="0"/>
      <w:marRight w:val="0"/>
      <w:marTop w:val="0"/>
      <w:marBottom w:val="0"/>
      <w:divBdr>
        <w:top w:val="none" w:sz="0" w:space="0" w:color="auto"/>
        <w:left w:val="none" w:sz="0" w:space="0" w:color="auto"/>
        <w:bottom w:val="none" w:sz="0" w:space="0" w:color="auto"/>
        <w:right w:val="none" w:sz="0" w:space="0" w:color="auto"/>
      </w:divBdr>
    </w:div>
    <w:div w:id="1667398413">
      <w:bodyDiv w:val="1"/>
      <w:marLeft w:val="0"/>
      <w:marRight w:val="0"/>
      <w:marTop w:val="0"/>
      <w:marBottom w:val="0"/>
      <w:divBdr>
        <w:top w:val="none" w:sz="0" w:space="0" w:color="auto"/>
        <w:left w:val="none" w:sz="0" w:space="0" w:color="auto"/>
        <w:bottom w:val="none" w:sz="0" w:space="0" w:color="auto"/>
        <w:right w:val="none" w:sz="0" w:space="0" w:color="auto"/>
      </w:divBdr>
    </w:div>
    <w:div w:id="1686858268">
      <w:bodyDiv w:val="1"/>
      <w:marLeft w:val="0"/>
      <w:marRight w:val="0"/>
      <w:marTop w:val="0"/>
      <w:marBottom w:val="0"/>
      <w:divBdr>
        <w:top w:val="none" w:sz="0" w:space="0" w:color="auto"/>
        <w:left w:val="none" w:sz="0" w:space="0" w:color="auto"/>
        <w:bottom w:val="none" w:sz="0" w:space="0" w:color="auto"/>
        <w:right w:val="none" w:sz="0" w:space="0" w:color="auto"/>
      </w:divBdr>
    </w:div>
    <w:div w:id="1689453787">
      <w:bodyDiv w:val="1"/>
      <w:marLeft w:val="0"/>
      <w:marRight w:val="0"/>
      <w:marTop w:val="0"/>
      <w:marBottom w:val="0"/>
      <w:divBdr>
        <w:top w:val="none" w:sz="0" w:space="0" w:color="auto"/>
        <w:left w:val="none" w:sz="0" w:space="0" w:color="auto"/>
        <w:bottom w:val="none" w:sz="0" w:space="0" w:color="auto"/>
        <w:right w:val="none" w:sz="0" w:space="0" w:color="auto"/>
      </w:divBdr>
    </w:div>
    <w:div w:id="1750687297">
      <w:bodyDiv w:val="1"/>
      <w:marLeft w:val="0"/>
      <w:marRight w:val="0"/>
      <w:marTop w:val="0"/>
      <w:marBottom w:val="0"/>
      <w:divBdr>
        <w:top w:val="none" w:sz="0" w:space="0" w:color="auto"/>
        <w:left w:val="none" w:sz="0" w:space="0" w:color="auto"/>
        <w:bottom w:val="none" w:sz="0" w:space="0" w:color="auto"/>
        <w:right w:val="none" w:sz="0" w:space="0" w:color="auto"/>
      </w:divBdr>
    </w:div>
    <w:div w:id="1778450768">
      <w:bodyDiv w:val="1"/>
      <w:marLeft w:val="0"/>
      <w:marRight w:val="0"/>
      <w:marTop w:val="0"/>
      <w:marBottom w:val="0"/>
      <w:divBdr>
        <w:top w:val="none" w:sz="0" w:space="0" w:color="auto"/>
        <w:left w:val="none" w:sz="0" w:space="0" w:color="auto"/>
        <w:bottom w:val="none" w:sz="0" w:space="0" w:color="auto"/>
        <w:right w:val="none" w:sz="0" w:space="0" w:color="auto"/>
      </w:divBdr>
    </w:div>
    <w:div w:id="1865243944">
      <w:bodyDiv w:val="1"/>
      <w:marLeft w:val="0"/>
      <w:marRight w:val="0"/>
      <w:marTop w:val="0"/>
      <w:marBottom w:val="0"/>
      <w:divBdr>
        <w:top w:val="none" w:sz="0" w:space="0" w:color="auto"/>
        <w:left w:val="none" w:sz="0" w:space="0" w:color="auto"/>
        <w:bottom w:val="none" w:sz="0" w:space="0" w:color="auto"/>
        <w:right w:val="none" w:sz="0" w:space="0" w:color="auto"/>
      </w:divBdr>
      <w:divsChild>
        <w:div w:id="1458645276">
          <w:marLeft w:val="0"/>
          <w:marRight w:val="0"/>
          <w:marTop w:val="0"/>
          <w:marBottom w:val="0"/>
          <w:divBdr>
            <w:top w:val="none" w:sz="0" w:space="0" w:color="auto"/>
            <w:left w:val="none" w:sz="0" w:space="0" w:color="auto"/>
            <w:bottom w:val="none" w:sz="0" w:space="0" w:color="auto"/>
            <w:right w:val="none" w:sz="0" w:space="0" w:color="auto"/>
          </w:divBdr>
          <w:divsChild>
            <w:div w:id="1834222217">
              <w:marLeft w:val="0"/>
              <w:marRight w:val="0"/>
              <w:marTop w:val="0"/>
              <w:marBottom w:val="0"/>
              <w:divBdr>
                <w:top w:val="none" w:sz="0" w:space="0" w:color="auto"/>
                <w:left w:val="none" w:sz="0" w:space="0" w:color="auto"/>
                <w:bottom w:val="none" w:sz="0" w:space="0" w:color="auto"/>
                <w:right w:val="none" w:sz="0" w:space="0" w:color="auto"/>
              </w:divBdr>
              <w:divsChild>
                <w:div w:id="1119183685">
                  <w:marLeft w:val="0"/>
                  <w:marRight w:val="0"/>
                  <w:marTop w:val="0"/>
                  <w:marBottom w:val="0"/>
                  <w:divBdr>
                    <w:top w:val="none" w:sz="0" w:space="0" w:color="auto"/>
                    <w:left w:val="none" w:sz="0" w:space="0" w:color="auto"/>
                    <w:bottom w:val="none" w:sz="0" w:space="0" w:color="auto"/>
                    <w:right w:val="none" w:sz="0" w:space="0" w:color="auto"/>
                  </w:divBdr>
                  <w:divsChild>
                    <w:div w:id="907688522">
                      <w:marLeft w:val="0"/>
                      <w:marRight w:val="0"/>
                      <w:marTop w:val="0"/>
                      <w:marBottom w:val="0"/>
                      <w:divBdr>
                        <w:top w:val="none" w:sz="0" w:space="0" w:color="auto"/>
                        <w:left w:val="none" w:sz="0" w:space="0" w:color="auto"/>
                        <w:bottom w:val="none" w:sz="0" w:space="0" w:color="auto"/>
                        <w:right w:val="none" w:sz="0" w:space="0" w:color="auto"/>
                      </w:divBdr>
                      <w:divsChild>
                        <w:div w:id="599028859">
                          <w:marLeft w:val="0"/>
                          <w:marRight w:val="0"/>
                          <w:marTop w:val="0"/>
                          <w:marBottom w:val="0"/>
                          <w:divBdr>
                            <w:top w:val="none" w:sz="0" w:space="0" w:color="auto"/>
                            <w:left w:val="none" w:sz="0" w:space="0" w:color="auto"/>
                            <w:bottom w:val="none" w:sz="0" w:space="0" w:color="auto"/>
                            <w:right w:val="none" w:sz="0" w:space="0" w:color="auto"/>
                          </w:divBdr>
                          <w:divsChild>
                            <w:div w:id="1997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24556">
          <w:marLeft w:val="0"/>
          <w:marRight w:val="0"/>
          <w:marTop w:val="0"/>
          <w:marBottom w:val="0"/>
          <w:divBdr>
            <w:top w:val="none" w:sz="0" w:space="0" w:color="auto"/>
            <w:left w:val="none" w:sz="0" w:space="0" w:color="auto"/>
            <w:bottom w:val="none" w:sz="0" w:space="0" w:color="auto"/>
            <w:right w:val="none" w:sz="0" w:space="0" w:color="auto"/>
          </w:divBdr>
          <w:divsChild>
            <w:div w:id="1020084586">
              <w:marLeft w:val="0"/>
              <w:marRight w:val="0"/>
              <w:marTop w:val="0"/>
              <w:marBottom w:val="0"/>
              <w:divBdr>
                <w:top w:val="none" w:sz="0" w:space="0" w:color="auto"/>
                <w:left w:val="none" w:sz="0" w:space="0" w:color="auto"/>
                <w:bottom w:val="none" w:sz="0" w:space="0" w:color="auto"/>
                <w:right w:val="none" w:sz="0" w:space="0" w:color="auto"/>
              </w:divBdr>
              <w:divsChild>
                <w:div w:id="530537213">
                  <w:marLeft w:val="0"/>
                  <w:marRight w:val="0"/>
                  <w:marTop w:val="0"/>
                  <w:marBottom w:val="0"/>
                  <w:divBdr>
                    <w:top w:val="none" w:sz="0" w:space="0" w:color="auto"/>
                    <w:left w:val="none" w:sz="0" w:space="0" w:color="auto"/>
                    <w:bottom w:val="none" w:sz="0" w:space="0" w:color="auto"/>
                    <w:right w:val="none" w:sz="0" w:space="0" w:color="auto"/>
                  </w:divBdr>
                  <w:divsChild>
                    <w:div w:id="8190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05719">
          <w:marLeft w:val="0"/>
          <w:marRight w:val="0"/>
          <w:marTop w:val="0"/>
          <w:marBottom w:val="0"/>
          <w:divBdr>
            <w:top w:val="none" w:sz="0" w:space="0" w:color="auto"/>
            <w:left w:val="none" w:sz="0" w:space="0" w:color="auto"/>
            <w:bottom w:val="none" w:sz="0" w:space="0" w:color="auto"/>
            <w:right w:val="none" w:sz="0" w:space="0" w:color="auto"/>
          </w:divBdr>
          <w:divsChild>
            <w:div w:id="1494491479">
              <w:marLeft w:val="0"/>
              <w:marRight w:val="0"/>
              <w:marTop w:val="0"/>
              <w:marBottom w:val="0"/>
              <w:divBdr>
                <w:top w:val="none" w:sz="0" w:space="0" w:color="auto"/>
                <w:left w:val="none" w:sz="0" w:space="0" w:color="auto"/>
                <w:bottom w:val="none" w:sz="0" w:space="0" w:color="auto"/>
                <w:right w:val="none" w:sz="0" w:space="0" w:color="auto"/>
              </w:divBdr>
              <w:divsChild>
                <w:div w:id="380591476">
                  <w:marLeft w:val="0"/>
                  <w:marRight w:val="0"/>
                  <w:marTop w:val="0"/>
                  <w:marBottom w:val="0"/>
                  <w:divBdr>
                    <w:top w:val="none" w:sz="0" w:space="0" w:color="auto"/>
                    <w:left w:val="none" w:sz="0" w:space="0" w:color="auto"/>
                    <w:bottom w:val="none" w:sz="0" w:space="0" w:color="auto"/>
                    <w:right w:val="none" w:sz="0" w:space="0" w:color="auto"/>
                  </w:divBdr>
                  <w:divsChild>
                    <w:div w:id="1552768661">
                      <w:marLeft w:val="0"/>
                      <w:marRight w:val="0"/>
                      <w:marTop w:val="0"/>
                      <w:marBottom w:val="0"/>
                      <w:divBdr>
                        <w:top w:val="none" w:sz="0" w:space="0" w:color="auto"/>
                        <w:left w:val="none" w:sz="0" w:space="0" w:color="auto"/>
                        <w:bottom w:val="none" w:sz="0" w:space="0" w:color="auto"/>
                        <w:right w:val="none" w:sz="0" w:space="0" w:color="auto"/>
                      </w:divBdr>
                      <w:divsChild>
                        <w:div w:id="284122498">
                          <w:marLeft w:val="0"/>
                          <w:marRight w:val="0"/>
                          <w:marTop w:val="0"/>
                          <w:marBottom w:val="0"/>
                          <w:divBdr>
                            <w:top w:val="none" w:sz="0" w:space="0" w:color="auto"/>
                            <w:left w:val="none" w:sz="0" w:space="0" w:color="auto"/>
                            <w:bottom w:val="none" w:sz="0" w:space="0" w:color="auto"/>
                            <w:right w:val="none" w:sz="0" w:space="0" w:color="auto"/>
                          </w:divBdr>
                          <w:divsChild>
                            <w:div w:id="1093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1923">
      <w:bodyDiv w:val="1"/>
      <w:marLeft w:val="0"/>
      <w:marRight w:val="0"/>
      <w:marTop w:val="0"/>
      <w:marBottom w:val="0"/>
      <w:divBdr>
        <w:top w:val="none" w:sz="0" w:space="0" w:color="auto"/>
        <w:left w:val="none" w:sz="0" w:space="0" w:color="auto"/>
        <w:bottom w:val="none" w:sz="0" w:space="0" w:color="auto"/>
        <w:right w:val="none" w:sz="0" w:space="0" w:color="auto"/>
      </w:divBdr>
    </w:div>
    <w:div w:id="1932540438">
      <w:bodyDiv w:val="1"/>
      <w:marLeft w:val="0"/>
      <w:marRight w:val="0"/>
      <w:marTop w:val="0"/>
      <w:marBottom w:val="0"/>
      <w:divBdr>
        <w:top w:val="none" w:sz="0" w:space="0" w:color="auto"/>
        <w:left w:val="none" w:sz="0" w:space="0" w:color="auto"/>
        <w:bottom w:val="none" w:sz="0" w:space="0" w:color="auto"/>
        <w:right w:val="none" w:sz="0" w:space="0" w:color="auto"/>
      </w:divBdr>
      <w:divsChild>
        <w:div w:id="1008750338">
          <w:marLeft w:val="0"/>
          <w:marRight w:val="0"/>
          <w:marTop w:val="0"/>
          <w:marBottom w:val="0"/>
          <w:divBdr>
            <w:top w:val="none" w:sz="0" w:space="0" w:color="auto"/>
            <w:left w:val="none" w:sz="0" w:space="0" w:color="auto"/>
            <w:bottom w:val="none" w:sz="0" w:space="0" w:color="auto"/>
            <w:right w:val="none" w:sz="0" w:space="0" w:color="auto"/>
          </w:divBdr>
          <w:divsChild>
            <w:div w:id="921910004">
              <w:marLeft w:val="0"/>
              <w:marRight w:val="0"/>
              <w:marTop w:val="0"/>
              <w:marBottom w:val="0"/>
              <w:divBdr>
                <w:top w:val="none" w:sz="0" w:space="0" w:color="auto"/>
                <w:left w:val="none" w:sz="0" w:space="0" w:color="auto"/>
                <w:bottom w:val="none" w:sz="0" w:space="0" w:color="auto"/>
                <w:right w:val="none" w:sz="0" w:space="0" w:color="auto"/>
              </w:divBdr>
              <w:divsChild>
                <w:div w:id="188615408">
                  <w:marLeft w:val="0"/>
                  <w:marRight w:val="0"/>
                  <w:marTop w:val="0"/>
                  <w:marBottom w:val="240"/>
                  <w:divBdr>
                    <w:top w:val="none" w:sz="0" w:space="0" w:color="auto"/>
                    <w:left w:val="none" w:sz="0" w:space="0" w:color="auto"/>
                    <w:bottom w:val="none" w:sz="0" w:space="0" w:color="auto"/>
                    <w:right w:val="none" w:sz="0" w:space="0" w:color="auto"/>
                  </w:divBdr>
                  <w:divsChild>
                    <w:div w:id="2091851999">
                      <w:marLeft w:val="0"/>
                      <w:marRight w:val="0"/>
                      <w:marTop w:val="0"/>
                      <w:marBottom w:val="0"/>
                      <w:divBdr>
                        <w:top w:val="none" w:sz="0" w:space="0" w:color="auto"/>
                        <w:left w:val="none" w:sz="0" w:space="0" w:color="auto"/>
                        <w:bottom w:val="none" w:sz="0" w:space="0" w:color="auto"/>
                        <w:right w:val="none" w:sz="0" w:space="0" w:color="auto"/>
                      </w:divBdr>
                      <w:divsChild>
                        <w:div w:id="1407801130">
                          <w:marLeft w:val="0"/>
                          <w:marRight w:val="0"/>
                          <w:marTop w:val="0"/>
                          <w:marBottom w:val="0"/>
                          <w:divBdr>
                            <w:top w:val="none" w:sz="0" w:space="0" w:color="auto"/>
                            <w:left w:val="none" w:sz="0" w:space="0" w:color="auto"/>
                            <w:bottom w:val="none" w:sz="0" w:space="0" w:color="auto"/>
                            <w:right w:val="none" w:sz="0" w:space="0" w:color="auto"/>
                          </w:divBdr>
                          <w:divsChild>
                            <w:div w:id="549339226">
                              <w:marLeft w:val="0"/>
                              <w:marRight w:val="0"/>
                              <w:marTop w:val="0"/>
                              <w:marBottom w:val="0"/>
                              <w:divBdr>
                                <w:top w:val="none" w:sz="0" w:space="0" w:color="auto"/>
                                <w:left w:val="none" w:sz="0" w:space="0" w:color="auto"/>
                                <w:bottom w:val="none" w:sz="0" w:space="0" w:color="auto"/>
                                <w:right w:val="none" w:sz="0" w:space="0" w:color="auto"/>
                              </w:divBdr>
                              <w:divsChild>
                                <w:div w:id="20993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799400">
      <w:bodyDiv w:val="1"/>
      <w:marLeft w:val="0"/>
      <w:marRight w:val="0"/>
      <w:marTop w:val="0"/>
      <w:marBottom w:val="0"/>
      <w:divBdr>
        <w:top w:val="none" w:sz="0" w:space="0" w:color="auto"/>
        <w:left w:val="none" w:sz="0" w:space="0" w:color="auto"/>
        <w:bottom w:val="none" w:sz="0" w:space="0" w:color="auto"/>
        <w:right w:val="none" w:sz="0" w:space="0" w:color="auto"/>
      </w:divBdr>
    </w:div>
    <w:div w:id="1976837594">
      <w:bodyDiv w:val="1"/>
      <w:marLeft w:val="0"/>
      <w:marRight w:val="0"/>
      <w:marTop w:val="0"/>
      <w:marBottom w:val="0"/>
      <w:divBdr>
        <w:top w:val="none" w:sz="0" w:space="0" w:color="auto"/>
        <w:left w:val="none" w:sz="0" w:space="0" w:color="auto"/>
        <w:bottom w:val="none" w:sz="0" w:space="0" w:color="auto"/>
        <w:right w:val="none" w:sz="0" w:space="0" w:color="auto"/>
      </w:divBdr>
    </w:div>
    <w:div w:id="1999843561">
      <w:bodyDiv w:val="1"/>
      <w:marLeft w:val="0"/>
      <w:marRight w:val="0"/>
      <w:marTop w:val="0"/>
      <w:marBottom w:val="0"/>
      <w:divBdr>
        <w:top w:val="none" w:sz="0" w:space="0" w:color="auto"/>
        <w:left w:val="none" w:sz="0" w:space="0" w:color="auto"/>
        <w:bottom w:val="none" w:sz="0" w:space="0" w:color="auto"/>
        <w:right w:val="none" w:sz="0" w:space="0" w:color="auto"/>
      </w:divBdr>
    </w:div>
    <w:div w:id="2035374902">
      <w:bodyDiv w:val="1"/>
      <w:marLeft w:val="0"/>
      <w:marRight w:val="0"/>
      <w:marTop w:val="0"/>
      <w:marBottom w:val="0"/>
      <w:divBdr>
        <w:top w:val="none" w:sz="0" w:space="0" w:color="auto"/>
        <w:left w:val="none" w:sz="0" w:space="0" w:color="auto"/>
        <w:bottom w:val="none" w:sz="0" w:space="0" w:color="auto"/>
        <w:right w:val="none" w:sz="0" w:space="0" w:color="auto"/>
      </w:divBdr>
    </w:div>
    <w:div w:id="2056541891">
      <w:bodyDiv w:val="1"/>
      <w:marLeft w:val="0"/>
      <w:marRight w:val="0"/>
      <w:marTop w:val="0"/>
      <w:marBottom w:val="0"/>
      <w:divBdr>
        <w:top w:val="none" w:sz="0" w:space="0" w:color="auto"/>
        <w:left w:val="none" w:sz="0" w:space="0" w:color="auto"/>
        <w:bottom w:val="none" w:sz="0" w:space="0" w:color="auto"/>
        <w:right w:val="none" w:sz="0" w:space="0" w:color="auto"/>
      </w:divBdr>
    </w:div>
    <w:div w:id="20568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investopedia.com/articles/fundamental-analysis/10/decoding-earnings-repor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0CCC9-D4C4-4070-B7FF-309171B9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10</Pages>
  <Words>2591</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Prajwal Rodrigues</dc:creator>
  <cp:keywords/>
  <dc:description/>
  <cp:lastModifiedBy>Prajwal Rodrigues</cp:lastModifiedBy>
  <cp:revision>79</cp:revision>
  <dcterms:created xsi:type="dcterms:W3CDTF">2024-07-16T23:20:00Z</dcterms:created>
  <dcterms:modified xsi:type="dcterms:W3CDTF">2024-08-01T05:07:00Z</dcterms:modified>
</cp:coreProperties>
</file>