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49561" w14:textId="77777777" w:rsidR="00FA5FD5" w:rsidRPr="002657CD" w:rsidRDefault="00FA5FD5" w:rsidP="00305DA0">
      <w:pPr>
        <w:pStyle w:val="Heading1"/>
        <w:rPr>
          <w:b/>
          <w:bCs/>
          <w:sz w:val="40"/>
          <w:szCs w:val="40"/>
        </w:rPr>
      </w:pPr>
      <w:r w:rsidRPr="002657CD">
        <w:rPr>
          <w:b/>
          <w:bCs/>
          <w:sz w:val="40"/>
          <w:szCs w:val="40"/>
        </w:rPr>
        <w:t>Market Research Report for Visa Inc.</w:t>
      </w:r>
    </w:p>
    <w:p w14:paraId="5C290B5F" w14:textId="77777777" w:rsidR="00FC6C2A" w:rsidRPr="00FC6C2A" w:rsidRDefault="00FC6C2A" w:rsidP="00FC6C2A"/>
    <w:p w14:paraId="072399BC" w14:textId="77777777" w:rsidR="00FA5FD5" w:rsidRPr="00FC6C2A" w:rsidRDefault="00FA5FD5" w:rsidP="00FA5FD5">
      <w:pPr>
        <w:rPr>
          <w:b/>
          <w:bCs/>
          <w:sz w:val="24"/>
          <w:szCs w:val="24"/>
        </w:rPr>
      </w:pPr>
      <w:r w:rsidRPr="00FC6C2A">
        <w:rPr>
          <w:b/>
          <w:bCs/>
          <w:sz w:val="24"/>
          <w:szCs w:val="24"/>
        </w:rPr>
        <w:t>1. Industry Overview</w:t>
      </w:r>
    </w:p>
    <w:p w14:paraId="7BCD7F8F" w14:textId="77777777" w:rsidR="00FA5FD5" w:rsidRPr="00FA5FD5" w:rsidRDefault="00FA5FD5" w:rsidP="00FA5FD5">
      <w:r w:rsidRPr="00FA5FD5">
        <w:t xml:space="preserve">Visa Inc. operates in the </w:t>
      </w:r>
      <w:r w:rsidRPr="00FA5FD5">
        <w:rPr>
          <w:b/>
          <w:bCs/>
        </w:rPr>
        <w:t>global financial services industry</w:t>
      </w:r>
      <w:r w:rsidRPr="00FA5FD5">
        <w:t xml:space="preserve">, primarily within the </w:t>
      </w:r>
      <w:r w:rsidRPr="00FA5FD5">
        <w:rPr>
          <w:b/>
          <w:bCs/>
        </w:rPr>
        <w:t>payment processing</w:t>
      </w:r>
      <w:r w:rsidRPr="00FA5FD5">
        <w:t xml:space="preserve"> sector. The company enables secure electronic payments between consumers, businesses, and financial institutions via its branded credit, debit, and prepaid cards. Visa’s services facilitate domestic and international transactions, supporting commerce in over 200 countries.</w:t>
      </w:r>
    </w:p>
    <w:p w14:paraId="15A38EFB" w14:textId="77777777" w:rsidR="00FA5FD5" w:rsidRPr="00FA5FD5" w:rsidRDefault="00FA5FD5" w:rsidP="00FA5FD5">
      <w:r w:rsidRPr="00FA5FD5">
        <w:t>The payment processing industry is dominated by a few key players and is integral to global commerce, particularly in the digital age. The rise of e-commerce, contactless payments, and digital wallets has enhanced the demand for companies like Visa.</w:t>
      </w:r>
    </w:p>
    <w:p w14:paraId="3EB0FABE" w14:textId="77777777" w:rsidR="00FA5FD5" w:rsidRPr="00FC6C2A" w:rsidRDefault="00FA5FD5" w:rsidP="00FA5FD5">
      <w:pPr>
        <w:rPr>
          <w:b/>
          <w:bCs/>
          <w:sz w:val="24"/>
          <w:szCs w:val="24"/>
        </w:rPr>
      </w:pPr>
      <w:r w:rsidRPr="00FC6C2A">
        <w:rPr>
          <w:b/>
          <w:bCs/>
          <w:sz w:val="24"/>
          <w:szCs w:val="24"/>
        </w:rPr>
        <w:t>2. Close Peers</w:t>
      </w:r>
    </w:p>
    <w:p w14:paraId="26901069" w14:textId="77777777" w:rsidR="00FA5FD5" w:rsidRPr="00FA5FD5" w:rsidRDefault="00FA5FD5" w:rsidP="00FA5FD5">
      <w:pPr>
        <w:numPr>
          <w:ilvl w:val="0"/>
          <w:numId w:val="1"/>
        </w:numPr>
      </w:pPr>
      <w:r w:rsidRPr="00FA5FD5">
        <w:rPr>
          <w:b/>
          <w:bCs/>
        </w:rPr>
        <w:t>Mastercard Inc.</w:t>
      </w:r>
      <w:r w:rsidRPr="00FA5FD5">
        <w:t>: Similar to Visa, Mastercard is a global leader in payment processing. Both companies dominate the payment ecosystem, with nearly identical business models. Mastercard and Visa compete fiercely for partnerships with banks and merchants to provide payment solutions.</w:t>
      </w:r>
    </w:p>
    <w:p w14:paraId="7FD24742" w14:textId="77777777" w:rsidR="00FA5FD5" w:rsidRPr="00FA5FD5" w:rsidRDefault="00FA5FD5" w:rsidP="00FA5FD5">
      <w:pPr>
        <w:numPr>
          <w:ilvl w:val="0"/>
          <w:numId w:val="1"/>
        </w:numPr>
      </w:pPr>
      <w:r w:rsidRPr="00FA5FD5">
        <w:rPr>
          <w:b/>
          <w:bCs/>
        </w:rPr>
        <w:t>American Express Co.</w:t>
      </w:r>
      <w:r w:rsidRPr="00FA5FD5">
        <w:t>: While Amex operates with a slightly different model, focusing on premium clients and directly issuing its cards, it competes with Visa in various segments, particularly high-net-worth individual consumers and businesses.</w:t>
      </w:r>
    </w:p>
    <w:p w14:paraId="4104BB3E" w14:textId="77777777" w:rsidR="00FA5FD5" w:rsidRPr="00FC6C2A" w:rsidRDefault="00FA5FD5" w:rsidP="00FA5FD5">
      <w:pPr>
        <w:rPr>
          <w:b/>
          <w:bCs/>
          <w:sz w:val="24"/>
          <w:szCs w:val="24"/>
        </w:rPr>
      </w:pPr>
      <w:r w:rsidRPr="00FC6C2A">
        <w:rPr>
          <w:b/>
          <w:bCs/>
          <w:sz w:val="24"/>
          <w:szCs w:val="24"/>
        </w:rPr>
        <w:t>3. Substitutes and New Markets</w:t>
      </w:r>
    </w:p>
    <w:p w14:paraId="6D90148F" w14:textId="77777777" w:rsidR="00FA5FD5" w:rsidRPr="00FA5FD5" w:rsidRDefault="00FA5FD5" w:rsidP="00FA5FD5">
      <w:pPr>
        <w:numPr>
          <w:ilvl w:val="0"/>
          <w:numId w:val="2"/>
        </w:numPr>
      </w:pPr>
      <w:r w:rsidRPr="00FA5FD5">
        <w:rPr>
          <w:b/>
          <w:bCs/>
        </w:rPr>
        <w:t>Substitutes</w:t>
      </w:r>
      <w:r w:rsidRPr="00FA5FD5">
        <w:t xml:space="preserve">: Emerging technologies such as </w:t>
      </w:r>
      <w:r w:rsidRPr="00FA5FD5">
        <w:rPr>
          <w:b/>
          <w:bCs/>
        </w:rPr>
        <w:t>cryptocurrency</w:t>
      </w:r>
      <w:r w:rsidRPr="00FA5FD5">
        <w:t xml:space="preserve"> (Bitcoin, Ethereum) and </w:t>
      </w:r>
      <w:r w:rsidRPr="00FA5FD5">
        <w:rPr>
          <w:b/>
          <w:bCs/>
        </w:rPr>
        <w:t>blockchain-based payments</w:t>
      </w:r>
      <w:r w:rsidRPr="00FA5FD5">
        <w:t xml:space="preserve"> present long-term substitution threats. Peer-to-peer payment systems (PayPal, Venmo) and mobile wallets (Apple Pay, Google Pay) are also increasingly popular alternatives.</w:t>
      </w:r>
    </w:p>
    <w:p w14:paraId="4B71A663" w14:textId="77777777" w:rsidR="00FA5FD5" w:rsidRPr="00FA5FD5" w:rsidRDefault="00FA5FD5" w:rsidP="00FA5FD5">
      <w:pPr>
        <w:numPr>
          <w:ilvl w:val="0"/>
          <w:numId w:val="2"/>
        </w:numPr>
      </w:pPr>
      <w:r w:rsidRPr="00FA5FD5">
        <w:rPr>
          <w:b/>
          <w:bCs/>
        </w:rPr>
        <w:t>New Markets</w:t>
      </w:r>
      <w:r w:rsidRPr="00FA5FD5">
        <w:t xml:space="preserve">: Visa is making inroads into </w:t>
      </w:r>
      <w:r w:rsidRPr="00FA5FD5">
        <w:rPr>
          <w:b/>
          <w:bCs/>
        </w:rPr>
        <w:t>FinTech services</w:t>
      </w:r>
      <w:r w:rsidRPr="00FA5FD5">
        <w:t xml:space="preserve">, such as </w:t>
      </w:r>
      <w:r w:rsidRPr="00FA5FD5">
        <w:rPr>
          <w:b/>
          <w:bCs/>
        </w:rPr>
        <w:t>real-time payments</w:t>
      </w:r>
      <w:r w:rsidRPr="00FA5FD5">
        <w:t xml:space="preserve"> and </w:t>
      </w:r>
      <w:r w:rsidRPr="00FA5FD5">
        <w:rPr>
          <w:b/>
          <w:bCs/>
        </w:rPr>
        <w:t>cross-border payment facilitation</w:t>
      </w:r>
      <w:r w:rsidRPr="00FA5FD5">
        <w:t xml:space="preserve">. Visa's partnerships with startups in blockchain, embedded finance, and </w:t>
      </w:r>
      <w:r w:rsidRPr="00FA5FD5">
        <w:rPr>
          <w:b/>
          <w:bCs/>
        </w:rPr>
        <w:t>buy-now-pay-later (BNPL)</w:t>
      </w:r>
      <w:r w:rsidRPr="00FA5FD5">
        <w:t xml:space="preserve"> services help diversify its offerings beyond traditional card payments.</w:t>
      </w:r>
    </w:p>
    <w:p w14:paraId="6209084B" w14:textId="77777777" w:rsidR="00FA5FD5" w:rsidRPr="00FC6C2A" w:rsidRDefault="00FA5FD5" w:rsidP="00FA5FD5">
      <w:pPr>
        <w:rPr>
          <w:b/>
          <w:bCs/>
          <w:sz w:val="24"/>
          <w:szCs w:val="24"/>
        </w:rPr>
      </w:pPr>
      <w:r w:rsidRPr="00FC6C2A">
        <w:rPr>
          <w:b/>
          <w:bCs/>
          <w:sz w:val="24"/>
          <w:szCs w:val="24"/>
        </w:rPr>
        <w:t>4. Key Revenue and Cost Drivers</w:t>
      </w:r>
    </w:p>
    <w:p w14:paraId="0F900768" w14:textId="77777777" w:rsidR="00FA5FD5" w:rsidRPr="00FA5FD5" w:rsidRDefault="00FA5FD5" w:rsidP="00FA5FD5">
      <w:pPr>
        <w:numPr>
          <w:ilvl w:val="0"/>
          <w:numId w:val="3"/>
        </w:numPr>
      </w:pPr>
      <w:r w:rsidRPr="00FA5FD5">
        <w:rPr>
          <w:b/>
          <w:bCs/>
        </w:rPr>
        <w:t>Revenue Drivers</w:t>
      </w:r>
      <w:r w:rsidRPr="00FA5FD5">
        <w:t>:</w:t>
      </w:r>
    </w:p>
    <w:p w14:paraId="2378D250" w14:textId="77777777" w:rsidR="00FA5FD5" w:rsidRPr="00FA5FD5" w:rsidRDefault="00FA5FD5" w:rsidP="00FA5FD5">
      <w:pPr>
        <w:numPr>
          <w:ilvl w:val="1"/>
          <w:numId w:val="3"/>
        </w:numPr>
      </w:pPr>
      <w:r w:rsidRPr="00FA5FD5">
        <w:rPr>
          <w:b/>
          <w:bCs/>
        </w:rPr>
        <w:t>Transaction Volume</w:t>
      </w:r>
      <w:r w:rsidRPr="00FA5FD5">
        <w:t>: Visa’s core revenue comes from processing billions of transactions globally. Fees are charged on a per-transaction basis, making volume a crucial driver.</w:t>
      </w:r>
    </w:p>
    <w:p w14:paraId="6D28FD02" w14:textId="77777777" w:rsidR="00FA5FD5" w:rsidRPr="00FA5FD5" w:rsidRDefault="00FA5FD5" w:rsidP="00FA5FD5">
      <w:pPr>
        <w:numPr>
          <w:ilvl w:val="1"/>
          <w:numId w:val="3"/>
        </w:numPr>
      </w:pPr>
      <w:r w:rsidRPr="00FA5FD5">
        <w:rPr>
          <w:b/>
          <w:bCs/>
        </w:rPr>
        <w:t>Cross-border Payments</w:t>
      </w:r>
      <w:r w:rsidRPr="00FA5FD5">
        <w:t>: International transactions contribute significantly, with higher fees due to currency exchange and risk factors.</w:t>
      </w:r>
    </w:p>
    <w:p w14:paraId="587F2D89" w14:textId="77777777" w:rsidR="00FA5FD5" w:rsidRPr="00FA5FD5" w:rsidRDefault="00FA5FD5" w:rsidP="00FA5FD5">
      <w:pPr>
        <w:numPr>
          <w:ilvl w:val="1"/>
          <w:numId w:val="3"/>
        </w:numPr>
      </w:pPr>
      <w:r w:rsidRPr="00FA5FD5">
        <w:rPr>
          <w:b/>
          <w:bCs/>
        </w:rPr>
        <w:t>Value-Added Services</w:t>
      </w:r>
      <w:r w:rsidRPr="00FA5FD5">
        <w:t>: Services such as fraud prevention, data analytics, and consulting are growing sources of income.</w:t>
      </w:r>
    </w:p>
    <w:p w14:paraId="2202CBB2" w14:textId="77777777" w:rsidR="00FA5FD5" w:rsidRPr="00FA5FD5" w:rsidRDefault="00FA5FD5" w:rsidP="00FA5FD5">
      <w:pPr>
        <w:numPr>
          <w:ilvl w:val="0"/>
          <w:numId w:val="3"/>
        </w:numPr>
      </w:pPr>
      <w:r w:rsidRPr="00FA5FD5">
        <w:rPr>
          <w:b/>
          <w:bCs/>
        </w:rPr>
        <w:t>Cost Drivers</w:t>
      </w:r>
      <w:r w:rsidRPr="00FA5FD5">
        <w:t>:</w:t>
      </w:r>
    </w:p>
    <w:p w14:paraId="604D26DB" w14:textId="77777777" w:rsidR="00FA5FD5" w:rsidRPr="00FA5FD5" w:rsidRDefault="00FA5FD5" w:rsidP="00FA5FD5">
      <w:pPr>
        <w:numPr>
          <w:ilvl w:val="1"/>
          <w:numId w:val="3"/>
        </w:numPr>
      </w:pPr>
      <w:r w:rsidRPr="00FA5FD5">
        <w:rPr>
          <w:b/>
          <w:bCs/>
        </w:rPr>
        <w:lastRenderedPageBreak/>
        <w:t>Technology &amp; Infrastructure</w:t>
      </w:r>
      <w:r w:rsidRPr="00FA5FD5">
        <w:t>: Visa’s operational expenses are driven by the need for secure, fast, and reliable networks. Investment in cutting-edge payment technologies, cloud services, and cybersecurity measures are key cost drivers.</w:t>
      </w:r>
    </w:p>
    <w:p w14:paraId="0AD88C6F" w14:textId="77777777" w:rsidR="00FA5FD5" w:rsidRPr="00FA5FD5" w:rsidRDefault="00FA5FD5" w:rsidP="00FA5FD5">
      <w:pPr>
        <w:numPr>
          <w:ilvl w:val="1"/>
          <w:numId w:val="3"/>
        </w:numPr>
      </w:pPr>
      <w:r w:rsidRPr="00FA5FD5">
        <w:rPr>
          <w:b/>
          <w:bCs/>
        </w:rPr>
        <w:t>Regulatory Compliance</w:t>
      </w:r>
      <w:r w:rsidRPr="00FA5FD5">
        <w:t>: Adherence to evolving international regulations incurs compliance costs, especially in cross-border markets.</w:t>
      </w:r>
    </w:p>
    <w:p w14:paraId="30902EE1" w14:textId="77777777" w:rsidR="00FA5FD5" w:rsidRPr="00FC6C2A" w:rsidRDefault="00FA5FD5" w:rsidP="00FA5FD5">
      <w:pPr>
        <w:rPr>
          <w:b/>
          <w:bCs/>
          <w:sz w:val="24"/>
          <w:szCs w:val="24"/>
        </w:rPr>
      </w:pPr>
      <w:r w:rsidRPr="00FC6C2A">
        <w:rPr>
          <w:b/>
          <w:bCs/>
          <w:sz w:val="24"/>
          <w:szCs w:val="24"/>
        </w:rPr>
        <w:t>5. Industry/Market Trends</w:t>
      </w:r>
    </w:p>
    <w:p w14:paraId="26633C31" w14:textId="77777777" w:rsidR="00FA5FD5" w:rsidRPr="00FA5FD5" w:rsidRDefault="00FA5FD5" w:rsidP="00FA5FD5">
      <w:pPr>
        <w:numPr>
          <w:ilvl w:val="0"/>
          <w:numId w:val="4"/>
        </w:numPr>
      </w:pPr>
      <w:r w:rsidRPr="00FA5FD5">
        <w:rPr>
          <w:b/>
          <w:bCs/>
        </w:rPr>
        <w:t>Digital Transformation</w:t>
      </w:r>
      <w:r w:rsidRPr="00FA5FD5">
        <w:t xml:space="preserve">: As economies shift toward cashless transactions, digital and contactless payment methods are rapidly gaining adoption. The rise of </w:t>
      </w:r>
      <w:r w:rsidRPr="00FA5FD5">
        <w:rPr>
          <w:b/>
          <w:bCs/>
        </w:rPr>
        <w:t>e-commerce</w:t>
      </w:r>
      <w:r w:rsidRPr="00FA5FD5">
        <w:t>, accelerated by the COVID-19 pandemic, continues to drive transaction volumes.</w:t>
      </w:r>
    </w:p>
    <w:p w14:paraId="4808DE18" w14:textId="77777777" w:rsidR="00FA5FD5" w:rsidRPr="00FA5FD5" w:rsidRDefault="00FA5FD5" w:rsidP="00FA5FD5">
      <w:pPr>
        <w:numPr>
          <w:ilvl w:val="0"/>
          <w:numId w:val="4"/>
        </w:numPr>
      </w:pPr>
      <w:r w:rsidRPr="00FA5FD5">
        <w:rPr>
          <w:b/>
          <w:bCs/>
        </w:rPr>
        <w:t>FinTech Disruption</w:t>
      </w:r>
      <w:r w:rsidRPr="00FA5FD5">
        <w:t>: Financial technology companies are introducing innovative products that pose a competitive threat to traditional card networks. Visa's acquisition of Plaid, a data aggregation service, is one of many moves designed to keep pace with these disruptions.</w:t>
      </w:r>
    </w:p>
    <w:p w14:paraId="173D24B3" w14:textId="77777777" w:rsidR="00FA5FD5" w:rsidRPr="00FA5FD5" w:rsidRDefault="00FA5FD5" w:rsidP="00FA5FD5">
      <w:pPr>
        <w:numPr>
          <w:ilvl w:val="0"/>
          <w:numId w:val="4"/>
        </w:numPr>
      </w:pPr>
      <w:r w:rsidRPr="00FA5FD5">
        <w:rPr>
          <w:b/>
          <w:bCs/>
        </w:rPr>
        <w:t>Regulatory Environment</w:t>
      </w:r>
      <w:r w:rsidRPr="00FA5FD5">
        <w:t>: Governments are imposing stricter regulations on payment processors regarding data privacy, cross-border payments, and anti-monopoly laws, affecting cost structures.</w:t>
      </w:r>
    </w:p>
    <w:p w14:paraId="1FB5A2AC" w14:textId="77777777" w:rsidR="00FA5FD5" w:rsidRPr="00FC6C2A" w:rsidRDefault="00FA5FD5" w:rsidP="00FA5FD5">
      <w:pPr>
        <w:rPr>
          <w:b/>
          <w:bCs/>
          <w:sz w:val="24"/>
          <w:szCs w:val="24"/>
        </w:rPr>
      </w:pPr>
      <w:r w:rsidRPr="00FC6C2A">
        <w:rPr>
          <w:b/>
          <w:bCs/>
          <w:sz w:val="24"/>
          <w:szCs w:val="24"/>
        </w:rPr>
        <w:t>6. SWOT Analysis for Visa Inc.</w:t>
      </w:r>
    </w:p>
    <w:p w14:paraId="3D7FD357" w14:textId="77777777" w:rsidR="00D313BA" w:rsidRDefault="00D313BA" w:rsidP="00FA5FD5">
      <w:pPr>
        <w:rPr>
          <w:b/>
          <w:bCs/>
        </w:rPr>
      </w:pPr>
    </w:p>
    <w:tbl>
      <w:tblPr>
        <w:tblStyle w:val="PlainTable1"/>
        <w:tblW w:w="9338" w:type="dxa"/>
        <w:tblLook w:val="04A0" w:firstRow="1" w:lastRow="0" w:firstColumn="1" w:lastColumn="0" w:noHBand="0" w:noVBand="1"/>
      </w:tblPr>
      <w:tblGrid>
        <w:gridCol w:w="4669"/>
        <w:gridCol w:w="4669"/>
      </w:tblGrid>
      <w:tr w:rsidR="00DD47E8" w14:paraId="213F2E39" w14:textId="77777777" w:rsidTr="00567EC3">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669" w:type="dxa"/>
            <w:tcBorders>
              <w:top w:val="single" w:sz="4" w:space="0" w:color="auto"/>
              <w:bottom w:val="single" w:sz="4" w:space="0" w:color="auto"/>
            </w:tcBorders>
          </w:tcPr>
          <w:p w14:paraId="162E6A71" w14:textId="0E32DBF2" w:rsidR="00DD47E8" w:rsidRPr="00815B93" w:rsidRDefault="00815B93" w:rsidP="00BF434C">
            <w:pPr>
              <w:jc w:val="center"/>
              <w:rPr>
                <w:sz w:val="24"/>
                <w:szCs w:val="24"/>
              </w:rPr>
            </w:pPr>
            <w:r w:rsidRPr="00815B93">
              <w:rPr>
                <w:sz w:val="24"/>
                <w:szCs w:val="24"/>
              </w:rPr>
              <w:t>S</w:t>
            </w:r>
            <w:r w:rsidR="00940A6A" w:rsidRPr="00815B93">
              <w:rPr>
                <w:sz w:val="24"/>
                <w:szCs w:val="24"/>
              </w:rPr>
              <w:t>trengths</w:t>
            </w:r>
          </w:p>
        </w:tc>
        <w:tc>
          <w:tcPr>
            <w:tcW w:w="4669" w:type="dxa"/>
            <w:tcBorders>
              <w:top w:val="single" w:sz="4" w:space="0" w:color="auto"/>
              <w:bottom w:val="single" w:sz="4" w:space="0" w:color="auto"/>
            </w:tcBorders>
            <w:vAlign w:val="center"/>
          </w:tcPr>
          <w:p w14:paraId="0DB62F3F" w14:textId="7A728349" w:rsidR="00DD47E8" w:rsidRPr="00815B93" w:rsidRDefault="00815B93" w:rsidP="00BF434C">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W</w:t>
            </w:r>
            <w:r w:rsidR="00BF434C" w:rsidRPr="00815B93">
              <w:rPr>
                <w:sz w:val="24"/>
                <w:szCs w:val="24"/>
              </w:rPr>
              <w:t>eakness</w:t>
            </w:r>
          </w:p>
        </w:tc>
      </w:tr>
      <w:tr w:rsidR="00DD47E8" w14:paraId="4AF2BFAE" w14:textId="77777777" w:rsidTr="00567EC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669" w:type="dxa"/>
            <w:tcBorders>
              <w:top w:val="single" w:sz="4" w:space="0" w:color="auto"/>
            </w:tcBorders>
            <w:vAlign w:val="center"/>
          </w:tcPr>
          <w:p w14:paraId="0FDD0C3D" w14:textId="77777777" w:rsidR="00DD47E8" w:rsidRPr="00DD47E8" w:rsidRDefault="00DD47E8" w:rsidP="00DD47E8">
            <w:pPr>
              <w:rPr>
                <w:b w:val="0"/>
                <w:bCs w:val="0"/>
              </w:rPr>
            </w:pPr>
            <w:r w:rsidRPr="00DD47E8">
              <w:rPr>
                <w:b w:val="0"/>
                <w:bCs w:val="0"/>
              </w:rPr>
              <w:t>Global reach and brand recognition</w:t>
            </w:r>
          </w:p>
        </w:tc>
        <w:tc>
          <w:tcPr>
            <w:tcW w:w="4669" w:type="dxa"/>
            <w:tcBorders>
              <w:top w:val="single" w:sz="4" w:space="0" w:color="auto"/>
            </w:tcBorders>
            <w:vAlign w:val="center"/>
          </w:tcPr>
          <w:p w14:paraId="2E2B373C" w14:textId="77777777" w:rsidR="00DD47E8" w:rsidRPr="00FA5FD5" w:rsidRDefault="00DD47E8" w:rsidP="00DD47E8">
            <w:pPr>
              <w:cnfStyle w:val="000000100000" w:firstRow="0" w:lastRow="0" w:firstColumn="0" w:lastColumn="0" w:oddVBand="0" w:evenVBand="0" w:oddHBand="1" w:evenHBand="0" w:firstRowFirstColumn="0" w:firstRowLastColumn="0" w:lastRowFirstColumn="0" w:lastRowLastColumn="0"/>
            </w:pPr>
            <w:r w:rsidRPr="00FA5FD5">
              <w:t>Heavy reliance on transaction fees</w:t>
            </w:r>
          </w:p>
        </w:tc>
      </w:tr>
      <w:tr w:rsidR="00DD47E8" w14:paraId="7F686D7B" w14:textId="77777777" w:rsidTr="00D313BA">
        <w:trPr>
          <w:trHeight w:val="711"/>
        </w:trPr>
        <w:tc>
          <w:tcPr>
            <w:cnfStyle w:val="001000000000" w:firstRow="0" w:lastRow="0" w:firstColumn="1" w:lastColumn="0" w:oddVBand="0" w:evenVBand="0" w:oddHBand="0" w:evenHBand="0" w:firstRowFirstColumn="0" w:firstRowLastColumn="0" w:lastRowFirstColumn="0" w:lastRowLastColumn="0"/>
            <w:tcW w:w="4669" w:type="dxa"/>
            <w:vAlign w:val="center"/>
          </w:tcPr>
          <w:p w14:paraId="5DB0499B" w14:textId="77777777" w:rsidR="00DD47E8" w:rsidRPr="00DD47E8" w:rsidRDefault="00DD47E8" w:rsidP="00DD47E8">
            <w:pPr>
              <w:rPr>
                <w:b w:val="0"/>
                <w:bCs w:val="0"/>
              </w:rPr>
            </w:pPr>
            <w:r w:rsidRPr="00DD47E8">
              <w:rPr>
                <w:b w:val="0"/>
                <w:bCs w:val="0"/>
              </w:rPr>
              <w:t>Robust technology infrastructure</w:t>
            </w:r>
          </w:p>
        </w:tc>
        <w:tc>
          <w:tcPr>
            <w:tcW w:w="4669" w:type="dxa"/>
            <w:vAlign w:val="center"/>
          </w:tcPr>
          <w:p w14:paraId="4F049F84" w14:textId="77777777" w:rsidR="00DD47E8" w:rsidRPr="00FA5FD5" w:rsidRDefault="00DD47E8" w:rsidP="00DD47E8">
            <w:pPr>
              <w:cnfStyle w:val="000000000000" w:firstRow="0" w:lastRow="0" w:firstColumn="0" w:lastColumn="0" w:oddVBand="0" w:evenVBand="0" w:oddHBand="0" w:evenHBand="0" w:firstRowFirstColumn="0" w:firstRowLastColumn="0" w:lastRowFirstColumn="0" w:lastRowLastColumn="0"/>
            </w:pPr>
            <w:r w:rsidRPr="00FA5FD5">
              <w:t>Limited direct control over consumer experience</w:t>
            </w:r>
          </w:p>
        </w:tc>
      </w:tr>
      <w:tr w:rsidR="00DD47E8" w14:paraId="77E0E2D3" w14:textId="77777777" w:rsidTr="00D313BA">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669" w:type="dxa"/>
            <w:vAlign w:val="center"/>
          </w:tcPr>
          <w:p w14:paraId="643D026A" w14:textId="77777777" w:rsidR="00DD47E8" w:rsidRPr="00DD47E8" w:rsidRDefault="00DD47E8" w:rsidP="00DD47E8">
            <w:pPr>
              <w:rPr>
                <w:b w:val="0"/>
                <w:bCs w:val="0"/>
              </w:rPr>
            </w:pPr>
            <w:r w:rsidRPr="00DD47E8">
              <w:rPr>
                <w:b w:val="0"/>
                <w:bCs w:val="0"/>
              </w:rPr>
              <w:t>Strong partnerships with banks and merchants</w:t>
            </w:r>
          </w:p>
        </w:tc>
        <w:tc>
          <w:tcPr>
            <w:tcW w:w="4669" w:type="dxa"/>
            <w:vAlign w:val="center"/>
          </w:tcPr>
          <w:p w14:paraId="13928ABB" w14:textId="77777777" w:rsidR="00DD47E8" w:rsidRPr="00FA5FD5" w:rsidRDefault="00DD47E8" w:rsidP="00DD47E8">
            <w:pPr>
              <w:cnfStyle w:val="000000100000" w:firstRow="0" w:lastRow="0" w:firstColumn="0" w:lastColumn="0" w:oddVBand="0" w:evenVBand="0" w:oddHBand="1" w:evenHBand="0" w:firstRowFirstColumn="0" w:firstRowLastColumn="0" w:lastRowFirstColumn="0" w:lastRowLastColumn="0"/>
            </w:pPr>
            <w:r w:rsidRPr="00FA5FD5">
              <w:t>Vulnerability to regulatory changes</w:t>
            </w:r>
          </w:p>
        </w:tc>
      </w:tr>
    </w:tbl>
    <w:p w14:paraId="096AB004" w14:textId="77777777" w:rsidR="00DD47E8" w:rsidRDefault="00DD47E8" w:rsidP="00FA5FD5">
      <w:pPr>
        <w:rPr>
          <w:b/>
          <w:bCs/>
        </w:rPr>
      </w:pPr>
    </w:p>
    <w:tbl>
      <w:tblPr>
        <w:tblStyle w:val="PlainTable1"/>
        <w:tblW w:w="9346" w:type="dxa"/>
        <w:tblLook w:val="04A0" w:firstRow="1" w:lastRow="0" w:firstColumn="1" w:lastColumn="0" w:noHBand="0" w:noVBand="1"/>
      </w:tblPr>
      <w:tblGrid>
        <w:gridCol w:w="4673"/>
        <w:gridCol w:w="4673"/>
      </w:tblGrid>
      <w:tr w:rsidR="00DD47E8" w14:paraId="10F3E308" w14:textId="77777777" w:rsidTr="00567EC3">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bottom w:val="single" w:sz="4" w:space="0" w:color="auto"/>
            </w:tcBorders>
          </w:tcPr>
          <w:p w14:paraId="614DAAA2" w14:textId="5E9DD23A" w:rsidR="00DD47E8" w:rsidRPr="00815B93" w:rsidRDefault="005F7DB4" w:rsidP="00815B93">
            <w:pPr>
              <w:jc w:val="center"/>
              <w:rPr>
                <w:sz w:val="24"/>
                <w:szCs w:val="24"/>
              </w:rPr>
            </w:pPr>
            <w:r w:rsidRPr="00815B93">
              <w:rPr>
                <w:sz w:val="24"/>
                <w:szCs w:val="24"/>
              </w:rPr>
              <w:t>opportunities</w:t>
            </w:r>
          </w:p>
        </w:tc>
        <w:tc>
          <w:tcPr>
            <w:tcW w:w="4673" w:type="dxa"/>
            <w:tcBorders>
              <w:top w:val="single" w:sz="4" w:space="0" w:color="auto"/>
              <w:bottom w:val="single" w:sz="4" w:space="0" w:color="auto"/>
            </w:tcBorders>
          </w:tcPr>
          <w:p w14:paraId="7B97FDE3" w14:textId="12156C9D" w:rsidR="00DD47E8" w:rsidRPr="00815B93" w:rsidRDefault="005F7DB4" w:rsidP="00815B93">
            <w:pPr>
              <w:jc w:val="center"/>
              <w:cnfStyle w:val="100000000000" w:firstRow="1" w:lastRow="0" w:firstColumn="0" w:lastColumn="0" w:oddVBand="0" w:evenVBand="0" w:oddHBand="0" w:evenHBand="0" w:firstRowFirstColumn="0" w:firstRowLastColumn="0" w:lastRowFirstColumn="0" w:lastRowLastColumn="0"/>
              <w:rPr>
                <w:sz w:val="24"/>
                <w:szCs w:val="24"/>
              </w:rPr>
            </w:pPr>
            <w:r w:rsidRPr="00815B93">
              <w:rPr>
                <w:sz w:val="24"/>
                <w:szCs w:val="24"/>
              </w:rPr>
              <w:t>Threat</w:t>
            </w:r>
          </w:p>
        </w:tc>
      </w:tr>
      <w:tr w:rsidR="005F7DB4" w14:paraId="3E81650A" w14:textId="77777777" w:rsidTr="00567EC3">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tcBorders>
            <w:vAlign w:val="center"/>
          </w:tcPr>
          <w:p w14:paraId="77595D3B" w14:textId="5825A129" w:rsidR="005F7DB4" w:rsidRPr="005F7DB4" w:rsidRDefault="005F7DB4" w:rsidP="005F7DB4">
            <w:pPr>
              <w:rPr>
                <w:b w:val="0"/>
                <w:bCs w:val="0"/>
              </w:rPr>
            </w:pPr>
            <w:r w:rsidRPr="005F7DB4">
              <w:rPr>
                <w:b w:val="0"/>
                <w:bCs w:val="0"/>
              </w:rPr>
              <w:t>Expanding digital payments and new technologies</w:t>
            </w:r>
          </w:p>
        </w:tc>
        <w:tc>
          <w:tcPr>
            <w:tcW w:w="4673" w:type="dxa"/>
            <w:tcBorders>
              <w:top w:val="single" w:sz="4" w:space="0" w:color="auto"/>
            </w:tcBorders>
            <w:vAlign w:val="center"/>
          </w:tcPr>
          <w:p w14:paraId="3A5A8A88" w14:textId="00DEDB4F" w:rsidR="005F7DB4" w:rsidRDefault="005F7DB4" w:rsidP="005F7DB4">
            <w:pPr>
              <w:cnfStyle w:val="000000100000" w:firstRow="0" w:lastRow="0" w:firstColumn="0" w:lastColumn="0" w:oddVBand="0" w:evenVBand="0" w:oddHBand="1" w:evenHBand="0" w:firstRowFirstColumn="0" w:firstRowLastColumn="0" w:lastRowFirstColumn="0" w:lastRowLastColumn="0"/>
              <w:rPr>
                <w:b/>
                <w:bCs/>
              </w:rPr>
            </w:pPr>
            <w:r w:rsidRPr="00FA5FD5">
              <w:t>Emergence of FinTech disruptors</w:t>
            </w:r>
          </w:p>
        </w:tc>
      </w:tr>
      <w:tr w:rsidR="005F7DB4" w14:paraId="457ADAEB" w14:textId="77777777" w:rsidTr="00D313BA">
        <w:trPr>
          <w:trHeight w:val="765"/>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050DFE1D" w14:textId="36A478E0" w:rsidR="005F7DB4" w:rsidRPr="005F7DB4" w:rsidRDefault="005F7DB4" w:rsidP="005F7DB4">
            <w:pPr>
              <w:rPr>
                <w:b w:val="0"/>
                <w:bCs w:val="0"/>
              </w:rPr>
            </w:pPr>
            <w:r w:rsidRPr="005F7DB4">
              <w:rPr>
                <w:b w:val="0"/>
                <w:bCs w:val="0"/>
              </w:rPr>
              <w:t>Growing demand in emerging markets</w:t>
            </w:r>
          </w:p>
        </w:tc>
        <w:tc>
          <w:tcPr>
            <w:tcW w:w="4673" w:type="dxa"/>
            <w:vAlign w:val="center"/>
          </w:tcPr>
          <w:p w14:paraId="04DA4AF9" w14:textId="0090252B" w:rsidR="005F7DB4" w:rsidRDefault="005F7DB4" w:rsidP="005F7DB4">
            <w:pPr>
              <w:cnfStyle w:val="000000000000" w:firstRow="0" w:lastRow="0" w:firstColumn="0" w:lastColumn="0" w:oddVBand="0" w:evenVBand="0" w:oddHBand="0" w:evenHBand="0" w:firstRowFirstColumn="0" w:firstRowLastColumn="0" w:lastRowFirstColumn="0" w:lastRowLastColumn="0"/>
              <w:rPr>
                <w:b/>
                <w:bCs/>
              </w:rPr>
            </w:pPr>
            <w:r w:rsidRPr="00FA5FD5">
              <w:t>Increasing cybersecurity risks</w:t>
            </w:r>
          </w:p>
        </w:tc>
      </w:tr>
      <w:tr w:rsidR="005F7DB4" w14:paraId="08616377" w14:textId="77777777" w:rsidTr="00D313BA">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152D4683" w14:textId="5EBDFEDE" w:rsidR="005F7DB4" w:rsidRPr="005F7DB4" w:rsidRDefault="005F7DB4" w:rsidP="005F7DB4">
            <w:pPr>
              <w:rPr>
                <w:b w:val="0"/>
                <w:bCs w:val="0"/>
              </w:rPr>
            </w:pPr>
            <w:r w:rsidRPr="005F7DB4">
              <w:rPr>
                <w:b w:val="0"/>
                <w:bCs w:val="0"/>
              </w:rPr>
              <w:t>New revenue streams in blockchain and cryptocurrency services</w:t>
            </w:r>
          </w:p>
        </w:tc>
        <w:tc>
          <w:tcPr>
            <w:tcW w:w="4673" w:type="dxa"/>
            <w:vAlign w:val="center"/>
          </w:tcPr>
          <w:p w14:paraId="04F6BA9A" w14:textId="34EE9054" w:rsidR="005F7DB4" w:rsidRDefault="005F7DB4" w:rsidP="005F7DB4">
            <w:pPr>
              <w:cnfStyle w:val="000000100000" w:firstRow="0" w:lastRow="0" w:firstColumn="0" w:lastColumn="0" w:oddVBand="0" w:evenVBand="0" w:oddHBand="1" w:evenHBand="0" w:firstRowFirstColumn="0" w:firstRowLastColumn="0" w:lastRowFirstColumn="0" w:lastRowLastColumn="0"/>
              <w:rPr>
                <w:b/>
                <w:bCs/>
              </w:rPr>
            </w:pPr>
            <w:r w:rsidRPr="00FA5FD5">
              <w:t>Macroeconomic factors like currency fluctuations</w:t>
            </w:r>
          </w:p>
        </w:tc>
      </w:tr>
    </w:tbl>
    <w:p w14:paraId="7E85DD2E" w14:textId="59D0B6FD" w:rsidR="00DD47E8" w:rsidRPr="00FA5FD5" w:rsidRDefault="00DD47E8" w:rsidP="00FA5FD5">
      <w:pPr>
        <w:rPr>
          <w:b/>
          <w:bCs/>
        </w:rPr>
      </w:pPr>
    </w:p>
    <w:p w14:paraId="54C3DE98" w14:textId="77777777" w:rsidR="00FA5FD5" w:rsidRPr="00FA5FD5" w:rsidRDefault="00FA5FD5" w:rsidP="00FA5FD5">
      <w:pPr>
        <w:rPr>
          <w:vanish/>
        </w:rPr>
      </w:pPr>
    </w:p>
    <w:p w14:paraId="0780AD69" w14:textId="77777777" w:rsidR="00FA5FD5" w:rsidRPr="00FA5FD5" w:rsidRDefault="00FA5FD5" w:rsidP="00FA5FD5">
      <w:r w:rsidRPr="00FA5FD5">
        <w:rPr>
          <w:b/>
          <w:bCs/>
        </w:rPr>
        <w:t>Explanations</w:t>
      </w:r>
      <w:r w:rsidRPr="00FA5FD5">
        <w:t>:</w:t>
      </w:r>
    </w:p>
    <w:p w14:paraId="6E894D7D" w14:textId="77777777" w:rsidR="00FA5FD5" w:rsidRPr="00FA5FD5" w:rsidRDefault="00FA5FD5" w:rsidP="00FA5FD5">
      <w:pPr>
        <w:numPr>
          <w:ilvl w:val="0"/>
          <w:numId w:val="5"/>
        </w:numPr>
      </w:pPr>
      <w:r w:rsidRPr="00FA5FD5">
        <w:rPr>
          <w:b/>
          <w:bCs/>
        </w:rPr>
        <w:t>Strengths</w:t>
      </w:r>
      <w:r w:rsidRPr="00FA5FD5">
        <w:t>: Visa’s massive global network ensures widespread acceptance. Its robust technology allows for rapid and secure processing.</w:t>
      </w:r>
    </w:p>
    <w:p w14:paraId="246EA508" w14:textId="77777777" w:rsidR="00FA5FD5" w:rsidRPr="00FA5FD5" w:rsidRDefault="00FA5FD5" w:rsidP="00FA5FD5">
      <w:pPr>
        <w:numPr>
          <w:ilvl w:val="0"/>
          <w:numId w:val="5"/>
        </w:numPr>
      </w:pPr>
      <w:r w:rsidRPr="00FA5FD5">
        <w:rPr>
          <w:b/>
          <w:bCs/>
        </w:rPr>
        <w:lastRenderedPageBreak/>
        <w:t>Weaknesses</w:t>
      </w:r>
      <w:r w:rsidRPr="00FA5FD5">
        <w:t>: The company heavily depends on transaction fees for revenue and lacks direct relationships with cardholders, limiting opportunities for targeted marketing.</w:t>
      </w:r>
    </w:p>
    <w:p w14:paraId="43BDD7AF" w14:textId="77777777" w:rsidR="00FA5FD5" w:rsidRPr="00FA5FD5" w:rsidRDefault="00FA5FD5" w:rsidP="00FA5FD5">
      <w:pPr>
        <w:numPr>
          <w:ilvl w:val="0"/>
          <w:numId w:val="5"/>
        </w:numPr>
      </w:pPr>
      <w:r w:rsidRPr="00FA5FD5">
        <w:rPr>
          <w:b/>
          <w:bCs/>
        </w:rPr>
        <w:t>Opportunities</w:t>
      </w:r>
      <w:r w:rsidRPr="00FA5FD5">
        <w:t>: The increasing use of digital wallets and mobile payments in regions like Asia and Africa presents new growth avenues.</w:t>
      </w:r>
    </w:p>
    <w:p w14:paraId="65081BC1" w14:textId="77777777" w:rsidR="00FA5FD5" w:rsidRDefault="00FA5FD5" w:rsidP="00FA5FD5">
      <w:pPr>
        <w:numPr>
          <w:ilvl w:val="0"/>
          <w:numId w:val="5"/>
        </w:numPr>
      </w:pPr>
      <w:r w:rsidRPr="00FA5FD5">
        <w:rPr>
          <w:b/>
          <w:bCs/>
        </w:rPr>
        <w:t>Threats</w:t>
      </w:r>
      <w:r w:rsidRPr="00FA5FD5">
        <w:t>: FinTech innovations like blockchain and cryptocurrencies could bypass traditional payment networks. Also, regulatory changes in different countries may limit Visa’s operations.</w:t>
      </w:r>
    </w:p>
    <w:p w14:paraId="031DAA63" w14:textId="77777777" w:rsidR="00FA5FD5" w:rsidRPr="00FA5FD5" w:rsidRDefault="00FA5FD5" w:rsidP="00FA5FD5">
      <w:pPr>
        <w:ind w:left="720"/>
      </w:pPr>
    </w:p>
    <w:p w14:paraId="241E4154" w14:textId="77777777" w:rsidR="00FA5FD5" w:rsidRDefault="00FA5FD5" w:rsidP="00FA5FD5">
      <w:pPr>
        <w:rPr>
          <w:b/>
          <w:bCs/>
        </w:rPr>
      </w:pPr>
      <w:r w:rsidRPr="00FA5FD5">
        <w:rPr>
          <w:b/>
          <w:bCs/>
        </w:rPr>
        <w:t>7. PESTEL Analysis for the Payments Industry</w:t>
      </w:r>
    </w:p>
    <w:p w14:paraId="18145DAE" w14:textId="77777777" w:rsidR="007B5F37" w:rsidRDefault="007B5F37" w:rsidP="00FA5FD5">
      <w:pPr>
        <w:rPr>
          <w:b/>
          <w:bCs/>
        </w:rPr>
      </w:pPr>
    </w:p>
    <w:tbl>
      <w:tblPr>
        <w:tblStyle w:val="TableGridLight"/>
        <w:tblW w:w="9966" w:type="dxa"/>
        <w:tblLook w:val="04A0" w:firstRow="1" w:lastRow="0" w:firstColumn="1" w:lastColumn="0" w:noHBand="0" w:noVBand="1"/>
      </w:tblPr>
      <w:tblGrid>
        <w:gridCol w:w="4983"/>
        <w:gridCol w:w="4983"/>
      </w:tblGrid>
      <w:tr w:rsidR="00ED19E1" w14:paraId="620743A3" w14:textId="77777777" w:rsidTr="00567EC3">
        <w:trPr>
          <w:trHeight w:val="801"/>
        </w:trPr>
        <w:tc>
          <w:tcPr>
            <w:tcW w:w="4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DB1E41" w14:textId="0345026E" w:rsidR="00ED19E1" w:rsidRPr="00305DA0" w:rsidRDefault="00ED19E1" w:rsidP="00305DA0">
            <w:pPr>
              <w:jc w:val="center"/>
              <w:rPr>
                <w:b/>
                <w:bCs/>
                <w:sz w:val="24"/>
                <w:szCs w:val="24"/>
              </w:rPr>
            </w:pPr>
            <w:r w:rsidRPr="00305DA0">
              <w:rPr>
                <w:b/>
                <w:bCs/>
                <w:sz w:val="24"/>
                <w:szCs w:val="24"/>
              </w:rPr>
              <w:t>Political</w:t>
            </w:r>
          </w:p>
        </w:tc>
        <w:tc>
          <w:tcPr>
            <w:tcW w:w="4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85990" w14:textId="388489B7" w:rsidR="00ED19E1" w:rsidRPr="00305DA0" w:rsidRDefault="00ED19E1" w:rsidP="00305DA0">
            <w:pPr>
              <w:jc w:val="center"/>
              <w:rPr>
                <w:b/>
                <w:bCs/>
                <w:sz w:val="24"/>
                <w:szCs w:val="24"/>
              </w:rPr>
            </w:pPr>
            <w:r w:rsidRPr="00305DA0">
              <w:rPr>
                <w:b/>
                <w:bCs/>
                <w:sz w:val="24"/>
                <w:szCs w:val="24"/>
              </w:rPr>
              <w:t>Economic</w:t>
            </w:r>
          </w:p>
        </w:tc>
      </w:tr>
      <w:tr w:rsidR="00ED19E1" w14:paraId="693B7A9D" w14:textId="77777777" w:rsidTr="00567EC3">
        <w:trPr>
          <w:trHeight w:val="791"/>
        </w:trPr>
        <w:tc>
          <w:tcPr>
            <w:tcW w:w="4983" w:type="dxa"/>
            <w:tcBorders>
              <w:top w:val="single" w:sz="4" w:space="0" w:color="auto"/>
            </w:tcBorders>
          </w:tcPr>
          <w:p w14:paraId="2AA4C5DA" w14:textId="097AF31B" w:rsidR="00ED19E1" w:rsidRDefault="00ED19E1" w:rsidP="0040679C">
            <w:pPr>
              <w:rPr>
                <w:b/>
                <w:bCs/>
              </w:rPr>
            </w:pPr>
            <w:r w:rsidRPr="00FA5FD5">
              <w:t>Regulatory changes in cross-border payments</w:t>
            </w:r>
          </w:p>
        </w:tc>
        <w:tc>
          <w:tcPr>
            <w:tcW w:w="4983" w:type="dxa"/>
            <w:tcBorders>
              <w:top w:val="single" w:sz="4" w:space="0" w:color="auto"/>
            </w:tcBorders>
          </w:tcPr>
          <w:p w14:paraId="4986374F" w14:textId="4FA40134" w:rsidR="00ED19E1" w:rsidRDefault="00ED19E1" w:rsidP="0040679C">
            <w:pPr>
              <w:rPr>
                <w:b/>
                <w:bCs/>
              </w:rPr>
            </w:pPr>
            <w:r w:rsidRPr="00FA5FD5">
              <w:t>Impact of global interest rate changes on consumer spending</w:t>
            </w:r>
          </w:p>
        </w:tc>
      </w:tr>
      <w:tr w:rsidR="00ED19E1" w14:paraId="081E6362" w14:textId="77777777" w:rsidTr="00567EC3">
        <w:trPr>
          <w:trHeight w:val="465"/>
        </w:trPr>
        <w:tc>
          <w:tcPr>
            <w:tcW w:w="4983" w:type="dxa"/>
            <w:tcBorders>
              <w:bottom w:val="single" w:sz="4" w:space="0" w:color="auto"/>
            </w:tcBorders>
          </w:tcPr>
          <w:p w14:paraId="48C3BAAE" w14:textId="4CCD0EAE" w:rsidR="00ED19E1" w:rsidRDefault="00ED19E1" w:rsidP="0040679C">
            <w:pPr>
              <w:rPr>
                <w:b/>
                <w:bCs/>
              </w:rPr>
            </w:pPr>
            <w:r w:rsidRPr="00FA5FD5">
              <w:t>Government efforts to limit monopolies</w:t>
            </w:r>
          </w:p>
        </w:tc>
        <w:tc>
          <w:tcPr>
            <w:tcW w:w="4983" w:type="dxa"/>
            <w:tcBorders>
              <w:bottom w:val="single" w:sz="4" w:space="0" w:color="auto"/>
            </w:tcBorders>
          </w:tcPr>
          <w:p w14:paraId="1562DED9" w14:textId="61CF0BEB" w:rsidR="00ED19E1" w:rsidRDefault="00ED19E1" w:rsidP="0040679C">
            <w:pPr>
              <w:rPr>
                <w:b/>
                <w:bCs/>
              </w:rPr>
            </w:pPr>
            <w:r w:rsidRPr="00FA5FD5">
              <w:t>Exchange rate volatility affecting revenues</w:t>
            </w:r>
          </w:p>
        </w:tc>
      </w:tr>
      <w:tr w:rsidR="00ED19E1" w14:paraId="412EA68A" w14:textId="6DD70B40" w:rsidTr="00567EC3">
        <w:trPr>
          <w:trHeight w:val="647"/>
        </w:trPr>
        <w:tc>
          <w:tcPr>
            <w:tcW w:w="4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D1ED6" w14:textId="6556DCB1" w:rsidR="00ED19E1" w:rsidRPr="00305DA0" w:rsidRDefault="00ED19E1" w:rsidP="00305DA0">
            <w:pPr>
              <w:jc w:val="center"/>
              <w:rPr>
                <w:b/>
                <w:bCs/>
                <w:sz w:val="24"/>
                <w:szCs w:val="24"/>
              </w:rPr>
            </w:pPr>
            <w:r w:rsidRPr="00305DA0">
              <w:rPr>
                <w:b/>
                <w:bCs/>
                <w:sz w:val="24"/>
                <w:szCs w:val="24"/>
              </w:rPr>
              <w:t>Social</w:t>
            </w:r>
          </w:p>
        </w:tc>
        <w:tc>
          <w:tcPr>
            <w:tcW w:w="4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055B4" w14:textId="765861B0" w:rsidR="00ED19E1" w:rsidRPr="00305DA0" w:rsidRDefault="00ED19E1" w:rsidP="00305DA0">
            <w:pPr>
              <w:jc w:val="center"/>
              <w:rPr>
                <w:b/>
                <w:bCs/>
                <w:sz w:val="24"/>
                <w:szCs w:val="24"/>
              </w:rPr>
            </w:pPr>
            <w:r w:rsidRPr="00305DA0">
              <w:rPr>
                <w:b/>
                <w:bCs/>
                <w:sz w:val="24"/>
                <w:szCs w:val="24"/>
              </w:rPr>
              <w:t>Technological</w:t>
            </w:r>
          </w:p>
        </w:tc>
      </w:tr>
      <w:tr w:rsidR="00ED19E1" w14:paraId="1E26E12F" w14:textId="28865880" w:rsidTr="00567EC3">
        <w:trPr>
          <w:trHeight w:val="609"/>
        </w:trPr>
        <w:tc>
          <w:tcPr>
            <w:tcW w:w="4983" w:type="dxa"/>
            <w:tcBorders>
              <w:top w:val="single" w:sz="4" w:space="0" w:color="auto"/>
            </w:tcBorders>
          </w:tcPr>
          <w:p w14:paraId="1AFA3FB3" w14:textId="6764EC9B" w:rsidR="00ED19E1" w:rsidRDefault="00ED19E1" w:rsidP="00ED19E1">
            <w:pPr>
              <w:rPr>
                <w:b/>
                <w:bCs/>
              </w:rPr>
            </w:pPr>
            <w:r w:rsidRPr="00FA5FD5">
              <w:t>Growing preference for digital and mobile payments</w:t>
            </w:r>
          </w:p>
        </w:tc>
        <w:tc>
          <w:tcPr>
            <w:tcW w:w="4983" w:type="dxa"/>
            <w:tcBorders>
              <w:top w:val="single" w:sz="4" w:space="0" w:color="auto"/>
            </w:tcBorders>
          </w:tcPr>
          <w:p w14:paraId="29961B99" w14:textId="37A88636" w:rsidR="00ED19E1" w:rsidRDefault="00ED19E1" w:rsidP="00ED19E1">
            <w:pPr>
              <w:rPr>
                <w:b/>
                <w:bCs/>
              </w:rPr>
            </w:pPr>
            <w:r w:rsidRPr="00FA5FD5">
              <w:t>Rise of blockchain and artificial intelligence</w:t>
            </w:r>
          </w:p>
        </w:tc>
      </w:tr>
      <w:tr w:rsidR="00ED19E1" w14:paraId="11743C86" w14:textId="18A19C54" w:rsidTr="00567EC3">
        <w:trPr>
          <w:trHeight w:val="550"/>
        </w:trPr>
        <w:tc>
          <w:tcPr>
            <w:tcW w:w="4983" w:type="dxa"/>
            <w:tcBorders>
              <w:bottom w:val="single" w:sz="4" w:space="0" w:color="auto"/>
            </w:tcBorders>
          </w:tcPr>
          <w:p w14:paraId="74E72DE7" w14:textId="638EF676" w:rsidR="00ED19E1" w:rsidRDefault="00ED19E1" w:rsidP="00ED19E1">
            <w:pPr>
              <w:rPr>
                <w:b/>
                <w:bCs/>
              </w:rPr>
            </w:pPr>
            <w:r w:rsidRPr="00FA5FD5">
              <w:t>Shift towards cashless societies</w:t>
            </w:r>
          </w:p>
        </w:tc>
        <w:tc>
          <w:tcPr>
            <w:tcW w:w="4983" w:type="dxa"/>
            <w:tcBorders>
              <w:bottom w:val="single" w:sz="4" w:space="0" w:color="auto"/>
            </w:tcBorders>
          </w:tcPr>
          <w:p w14:paraId="0E489E84" w14:textId="5731A766" w:rsidR="00ED19E1" w:rsidRDefault="00ED19E1" w:rsidP="00ED19E1">
            <w:pPr>
              <w:rPr>
                <w:b/>
                <w:bCs/>
              </w:rPr>
            </w:pPr>
            <w:r w:rsidRPr="00FA5FD5">
              <w:t>AI-driven fraud detection systems</w:t>
            </w:r>
          </w:p>
        </w:tc>
      </w:tr>
      <w:tr w:rsidR="00ED19E1" w14:paraId="183433EC" w14:textId="77777777" w:rsidTr="00567EC3">
        <w:trPr>
          <w:trHeight w:val="733"/>
        </w:trPr>
        <w:tc>
          <w:tcPr>
            <w:tcW w:w="4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1FE8B" w14:textId="5A3CDB30" w:rsidR="00ED19E1" w:rsidRPr="00305DA0" w:rsidRDefault="00ED19E1" w:rsidP="00305DA0">
            <w:pPr>
              <w:jc w:val="center"/>
              <w:rPr>
                <w:b/>
                <w:bCs/>
                <w:sz w:val="24"/>
                <w:szCs w:val="24"/>
              </w:rPr>
            </w:pPr>
            <w:r w:rsidRPr="00305DA0">
              <w:rPr>
                <w:b/>
                <w:bCs/>
                <w:sz w:val="24"/>
                <w:szCs w:val="24"/>
              </w:rPr>
              <w:t>Environmental</w:t>
            </w:r>
          </w:p>
        </w:tc>
        <w:tc>
          <w:tcPr>
            <w:tcW w:w="4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40F8C" w14:textId="05FD5204" w:rsidR="00ED19E1" w:rsidRPr="00305DA0" w:rsidRDefault="00ED19E1" w:rsidP="00305DA0">
            <w:pPr>
              <w:jc w:val="center"/>
              <w:rPr>
                <w:b/>
                <w:bCs/>
                <w:sz w:val="24"/>
                <w:szCs w:val="24"/>
              </w:rPr>
            </w:pPr>
            <w:r w:rsidRPr="00305DA0">
              <w:rPr>
                <w:b/>
                <w:bCs/>
                <w:sz w:val="24"/>
                <w:szCs w:val="24"/>
              </w:rPr>
              <w:t>Legal</w:t>
            </w:r>
          </w:p>
        </w:tc>
      </w:tr>
      <w:tr w:rsidR="00ED19E1" w14:paraId="53FE9270" w14:textId="77777777" w:rsidTr="00567EC3">
        <w:trPr>
          <w:trHeight w:val="678"/>
        </w:trPr>
        <w:tc>
          <w:tcPr>
            <w:tcW w:w="4983" w:type="dxa"/>
            <w:tcBorders>
              <w:top w:val="single" w:sz="4" w:space="0" w:color="auto"/>
            </w:tcBorders>
          </w:tcPr>
          <w:p w14:paraId="63259657" w14:textId="50A57143" w:rsidR="00ED19E1" w:rsidRDefault="00ED19E1" w:rsidP="00ED19E1">
            <w:pPr>
              <w:rPr>
                <w:b/>
                <w:bCs/>
              </w:rPr>
            </w:pPr>
            <w:r w:rsidRPr="00FA5FD5">
              <w:t xml:space="preserve">Carbon footprint of data </w:t>
            </w:r>
            <w:r w:rsidR="007B5F37" w:rsidRPr="00FA5FD5">
              <w:t>centres</w:t>
            </w:r>
            <w:r w:rsidRPr="00FA5FD5">
              <w:t xml:space="preserve"> supporting transaction volumes</w:t>
            </w:r>
          </w:p>
        </w:tc>
        <w:tc>
          <w:tcPr>
            <w:tcW w:w="4983" w:type="dxa"/>
            <w:tcBorders>
              <w:top w:val="single" w:sz="4" w:space="0" w:color="auto"/>
            </w:tcBorders>
          </w:tcPr>
          <w:p w14:paraId="1FA5EC2E" w14:textId="62401355" w:rsidR="00ED19E1" w:rsidRDefault="00ED19E1" w:rsidP="00ED19E1">
            <w:pPr>
              <w:rPr>
                <w:b/>
                <w:bCs/>
              </w:rPr>
            </w:pPr>
            <w:r w:rsidRPr="00FA5FD5">
              <w:t>Data privacy and cybersecurity regulations</w:t>
            </w:r>
          </w:p>
        </w:tc>
      </w:tr>
      <w:tr w:rsidR="00ED19E1" w14:paraId="44623A9D" w14:textId="77777777" w:rsidTr="0059271E">
        <w:trPr>
          <w:trHeight w:val="550"/>
        </w:trPr>
        <w:tc>
          <w:tcPr>
            <w:tcW w:w="4983" w:type="dxa"/>
          </w:tcPr>
          <w:p w14:paraId="788A064F" w14:textId="1AA302FF" w:rsidR="00ED19E1" w:rsidRDefault="00ED19E1" w:rsidP="00ED19E1">
            <w:pPr>
              <w:pStyle w:val="NoSpacing"/>
            </w:pPr>
            <w:r w:rsidRPr="00FA5FD5">
              <w:t>Climate change risks affecting operations</w:t>
            </w:r>
          </w:p>
        </w:tc>
        <w:tc>
          <w:tcPr>
            <w:tcW w:w="4983" w:type="dxa"/>
          </w:tcPr>
          <w:p w14:paraId="2E35230C" w14:textId="4F328057" w:rsidR="00ED19E1" w:rsidRDefault="00ED19E1" w:rsidP="00ED19E1">
            <w:pPr>
              <w:pStyle w:val="NoSpacing"/>
            </w:pPr>
            <w:r w:rsidRPr="00FA5FD5">
              <w:t>Anti-money laundering (AML) laws</w:t>
            </w:r>
          </w:p>
        </w:tc>
      </w:tr>
    </w:tbl>
    <w:p w14:paraId="5F21CE2F" w14:textId="77777777" w:rsidR="00D313BA" w:rsidRPr="00FA5FD5" w:rsidRDefault="00D313BA" w:rsidP="00FA5FD5">
      <w:pPr>
        <w:rPr>
          <w:b/>
          <w:bCs/>
        </w:rPr>
      </w:pPr>
    </w:p>
    <w:p w14:paraId="23731249" w14:textId="77777777" w:rsidR="00FA5FD5" w:rsidRPr="00FA5FD5" w:rsidRDefault="00FA5FD5" w:rsidP="00FA5FD5">
      <w:r w:rsidRPr="00FA5FD5">
        <w:rPr>
          <w:b/>
          <w:bCs/>
        </w:rPr>
        <w:t>Explanations</w:t>
      </w:r>
      <w:r w:rsidRPr="00FA5FD5">
        <w:t>:</w:t>
      </w:r>
    </w:p>
    <w:p w14:paraId="1091466D" w14:textId="77777777" w:rsidR="00FA5FD5" w:rsidRPr="00FA5FD5" w:rsidRDefault="00FA5FD5" w:rsidP="00FA5FD5">
      <w:pPr>
        <w:numPr>
          <w:ilvl w:val="0"/>
          <w:numId w:val="6"/>
        </w:numPr>
      </w:pPr>
      <w:r w:rsidRPr="00FA5FD5">
        <w:rPr>
          <w:b/>
          <w:bCs/>
        </w:rPr>
        <w:t>Political</w:t>
      </w:r>
      <w:r w:rsidRPr="00FA5FD5">
        <w:t>: Governments are scrutinizing large payment processors for monopolistic tendencies and imposing stricter regulations.</w:t>
      </w:r>
    </w:p>
    <w:p w14:paraId="30477726" w14:textId="77777777" w:rsidR="00FA5FD5" w:rsidRPr="00FA5FD5" w:rsidRDefault="00FA5FD5" w:rsidP="00FA5FD5">
      <w:pPr>
        <w:numPr>
          <w:ilvl w:val="0"/>
          <w:numId w:val="6"/>
        </w:numPr>
      </w:pPr>
      <w:r w:rsidRPr="00FA5FD5">
        <w:rPr>
          <w:b/>
          <w:bCs/>
        </w:rPr>
        <w:t>Economic</w:t>
      </w:r>
      <w:r w:rsidRPr="00FA5FD5">
        <w:t>: Fluctuating exchange rates and varying interest rates in different regions affect Visa’s cross-border revenue streams.</w:t>
      </w:r>
    </w:p>
    <w:p w14:paraId="17982FC8" w14:textId="77777777" w:rsidR="0059271E" w:rsidRDefault="00FA5FD5" w:rsidP="00FA5FD5">
      <w:pPr>
        <w:numPr>
          <w:ilvl w:val="0"/>
          <w:numId w:val="6"/>
        </w:numPr>
      </w:pPr>
      <w:r w:rsidRPr="00FA5FD5">
        <w:rPr>
          <w:b/>
          <w:bCs/>
        </w:rPr>
        <w:t>Technological</w:t>
      </w:r>
      <w:r w:rsidRPr="00FA5FD5">
        <w:t>: Visa must keep pace with the rise of blockchain technology and cryptocurrencies, as they have the potential to disrupt traditional payment systems.</w:t>
      </w:r>
    </w:p>
    <w:p w14:paraId="4E7042C4" w14:textId="77777777" w:rsidR="00567EC3" w:rsidRDefault="00567EC3" w:rsidP="00567EC3"/>
    <w:p w14:paraId="74796A7D" w14:textId="77777777" w:rsidR="00567EC3" w:rsidRDefault="00567EC3" w:rsidP="00567EC3"/>
    <w:p w14:paraId="254D7BAF" w14:textId="13936023" w:rsidR="00FA5FD5" w:rsidRPr="0059271E" w:rsidRDefault="0059271E" w:rsidP="0059271E">
      <w:r>
        <w:rPr>
          <w:b/>
          <w:bCs/>
        </w:rPr>
        <w:lastRenderedPageBreak/>
        <w:t xml:space="preserve">   </w:t>
      </w:r>
      <w:r w:rsidR="00FA5FD5" w:rsidRPr="0059271E">
        <w:rPr>
          <w:b/>
          <w:bCs/>
          <w:sz w:val="24"/>
          <w:szCs w:val="24"/>
        </w:rPr>
        <w:t>8. Competitive Environment</w:t>
      </w:r>
    </w:p>
    <w:p w14:paraId="288EB72D" w14:textId="77777777" w:rsidR="00FA5FD5" w:rsidRPr="00FA5FD5" w:rsidRDefault="00FA5FD5" w:rsidP="00FA5FD5">
      <w:r w:rsidRPr="00FA5FD5">
        <w:t xml:space="preserve">Visa’s competitive environment is shaped by </w:t>
      </w:r>
      <w:r w:rsidRPr="00FA5FD5">
        <w:rPr>
          <w:b/>
          <w:bCs/>
        </w:rPr>
        <w:t>Mastercard</w:t>
      </w:r>
      <w:r w:rsidRPr="00FA5FD5">
        <w:t xml:space="preserve"> and </w:t>
      </w:r>
      <w:r w:rsidRPr="00FA5FD5">
        <w:rPr>
          <w:b/>
          <w:bCs/>
        </w:rPr>
        <w:t>American Express</w:t>
      </w:r>
      <w:r w:rsidRPr="00FA5FD5">
        <w:t>, both of which offer similar payment processing services. Visa has a strong competitive position due to its vast global acceptance and secure network infrastructure.</w:t>
      </w:r>
    </w:p>
    <w:p w14:paraId="06160195" w14:textId="77777777" w:rsidR="00FA5FD5" w:rsidRPr="00FA5FD5" w:rsidRDefault="00FA5FD5" w:rsidP="00FA5FD5">
      <w:pPr>
        <w:numPr>
          <w:ilvl w:val="0"/>
          <w:numId w:val="7"/>
        </w:numPr>
      </w:pPr>
      <w:r w:rsidRPr="00FA5FD5">
        <w:rPr>
          <w:b/>
          <w:bCs/>
        </w:rPr>
        <w:t>Mastercard</w:t>
      </w:r>
      <w:r w:rsidRPr="00FA5FD5">
        <w:t>: Continues to compete closely with Visa for partnerships with banks and FinTech companies. Mastercard's strategy focuses on innovation, particularly in blockchain and digital payments.</w:t>
      </w:r>
    </w:p>
    <w:p w14:paraId="15476881" w14:textId="77777777" w:rsidR="00FA5FD5" w:rsidRPr="00FA5FD5" w:rsidRDefault="00FA5FD5" w:rsidP="00FA5FD5">
      <w:pPr>
        <w:numPr>
          <w:ilvl w:val="0"/>
          <w:numId w:val="7"/>
        </w:numPr>
      </w:pPr>
      <w:r w:rsidRPr="00FA5FD5">
        <w:rPr>
          <w:b/>
          <w:bCs/>
        </w:rPr>
        <w:t>American Express</w:t>
      </w:r>
      <w:r w:rsidRPr="00FA5FD5">
        <w:t>: Targets higher-income individuals and businesses with a focus on premium services. Amex's direct issuance model allows it to manage both sides of the transaction (merchant and consumer).</w:t>
      </w:r>
    </w:p>
    <w:p w14:paraId="6F80D941" w14:textId="1764648D" w:rsidR="00FA5FD5" w:rsidRPr="00FA5FD5" w:rsidRDefault="00FA5FD5" w:rsidP="00FA5FD5">
      <w:r w:rsidRPr="00FA5FD5">
        <w:t xml:space="preserve">Visa's strategy </w:t>
      </w:r>
      <w:r w:rsidR="00305DA0" w:rsidRPr="00FA5FD5">
        <w:t>centres</w:t>
      </w:r>
      <w:r w:rsidRPr="00FA5FD5">
        <w:t xml:space="preserve"> on expanding its digital payment ecosystem, increasing partnerships with FinTech startups, and maintaining its leadership in transaction volume through ongoing technological innovation.</w:t>
      </w:r>
    </w:p>
    <w:p w14:paraId="3D1B7BE3" w14:textId="77777777" w:rsidR="00FA5FD5" w:rsidRPr="00FA5FD5" w:rsidRDefault="00FA5FD5" w:rsidP="00FA5FD5">
      <w:r w:rsidRPr="00FA5FD5">
        <w:pict w14:anchorId="75422C30">
          <v:rect id="_x0000_i1025" style="width:0;height:1.5pt" o:hralign="center" o:hrstd="t" o:hr="t" fillcolor="#a0a0a0" stroked="f"/>
        </w:pict>
      </w:r>
    </w:p>
    <w:p w14:paraId="626C953F" w14:textId="77777777" w:rsidR="00FA5FD5" w:rsidRPr="00FA5FD5" w:rsidRDefault="00FA5FD5" w:rsidP="00FA5FD5">
      <w:r w:rsidRPr="00FA5FD5">
        <w:rPr>
          <w:b/>
          <w:bCs/>
        </w:rPr>
        <w:t>References</w:t>
      </w:r>
      <w:r w:rsidRPr="00FA5FD5">
        <w:t>:</w:t>
      </w:r>
    </w:p>
    <w:p w14:paraId="7AA66D4C" w14:textId="77777777" w:rsidR="00FA5FD5" w:rsidRPr="00FA5FD5" w:rsidRDefault="00FA5FD5" w:rsidP="00FA5FD5">
      <w:pPr>
        <w:numPr>
          <w:ilvl w:val="0"/>
          <w:numId w:val="8"/>
        </w:numPr>
      </w:pPr>
      <w:r w:rsidRPr="00FA5FD5">
        <w:t>Company Annual Reports (Visa, Mastercard, American Express)</w:t>
      </w:r>
    </w:p>
    <w:p w14:paraId="5DBBED86" w14:textId="77777777" w:rsidR="00FA5FD5" w:rsidRPr="00FA5FD5" w:rsidRDefault="00FA5FD5" w:rsidP="00FA5FD5">
      <w:pPr>
        <w:numPr>
          <w:ilvl w:val="0"/>
          <w:numId w:val="8"/>
        </w:numPr>
      </w:pPr>
      <w:r w:rsidRPr="00FA5FD5">
        <w:t>Industry Reports (Statista, IBISWorld)</w:t>
      </w:r>
    </w:p>
    <w:p w14:paraId="0D9423B2" w14:textId="77777777" w:rsidR="00FA5FD5" w:rsidRPr="00FA5FD5" w:rsidRDefault="00FA5FD5" w:rsidP="00FA5FD5">
      <w:pPr>
        <w:numPr>
          <w:ilvl w:val="0"/>
          <w:numId w:val="8"/>
        </w:numPr>
      </w:pPr>
      <w:r w:rsidRPr="00FA5FD5">
        <w:t>Financial data from Yahoo Finance, StockAnalysis.com</w:t>
      </w:r>
    </w:p>
    <w:p w14:paraId="072A1A5E" w14:textId="77777777" w:rsidR="003714F2" w:rsidRDefault="003714F2"/>
    <w:sectPr w:rsidR="00371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6B73"/>
    <w:multiLevelType w:val="multilevel"/>
    <w:tmpl w:val="AE6C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B48E5"/>
    <w:multiLevelType w:val="multilevel"/>
    <w:tmpl w:val="98A45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34710"/>
    <w:multiLevelType w:val="multilevel"/>
    <w:tmpl w:val="ED4E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00976"/>
    <w:multiLevelType w:val="multilevel"/>
    <w:tmpl w:val="4832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E5532"/>
    <w:multiLevelType w:val="multilevel"/>
    <w:tmpl w:val="6AA0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54419"/>
    <w:multiLevelType w:val="multilevel"/>
    <w:tmpl w:val="51E8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8B35A6"/>
    <w:multiLevelType w:val="multilevel"/>
    <w:tmpl w:val="A33A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4C7944"/>
    <w:multiLevelType w:val="multilevel"/>
    <w:tmpl w:val="EF20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8831261">
    <w:abstractNumId w:val="5"/>
  </w:num>
  <w:num w:numId="2" w16cid:durableId="1091437548">
    <w:abstractNumId w:val="0"/>
  </w:num>
  <w:num w:numId="3" w16cid:durableId="137917670">
    <w:abstractNumId w:val="1"/>
  </w:num>
  <w:num w:numId="4" w16cid:durableId="190918847">
    <w:abstractNumId w:val="7"/>
  </w:num>
  <w:num w:numId="5" w16cid:durableId="627780068">
    <w:abstractNumId w:val="4"/>
  </w:num>
  <w:num w:numId="6" w16cid:durableId="1962494459">
    <w:abstractNumId w:val="2"/>
  </w:num>
  <w:num w:numId="7" w16cid:durableId="1742483739">
    <w:abstractNumId w:val="6"/>
  </w:num>
  <w:num w:numId="8" w16cid:durableId="1231961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D5"/>
    <w:rsid w:val="00035F6C"/>
    <w:rsid w:val="002501C8"/>
    <w:rsid w:val="002657CD"/>
    <w:rsid w:val="00305DA0"/>
    <w:rsid w:val="0033090A"/>
    <w:rsid w:val="003714F2"/>
    <w:rsid w:val="0040679C"/>
    <w:rsid w:val="00455F45"/>
    <w:rsid w:val="00567EC3"/>
    <w:rsid w:val="0059271E"/>
    <w:rsid w:val="005F7DB4"/>
    <w:rsid w:val="007B5F37"/>
    <w:rsid w:val="00815B93"/>
    <w:rsid w:val="008566E0"/>
    <w:rsid w:val="00940A6A"/>
    <w:rsid w:val="00BF434C"/>
    <w:rsid w:val="00D313BA"/>
    <w:rsid w:val="00DD47E8"/>
    <w:rsid w:val="00DE2034"/>
    <w:rsid w:val="00E10C7C"/>
    <w:rsid w:val="00ED19E1"/>
    <w:rsid w:val="00F140C5"/>
    <w:rsid w:val="00F81E27"/>
    <w:rsid w:val="00FA5FD5"/>
    <w:rsid w:val="00FC6C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490F"/>
  <w15:chartTrackingRefBased/>
  <w15:docId w15:val="{D75246A2-000A-4A55-BAB0-28ACEA78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D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5D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4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D47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D47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D47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D47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D47E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40679C"/>
    <w:pPr>
      <w:spacing w:after="0" w:line="240" w:lineRule="auto"/>
    </w:pPr>
  </w:style>
  <w:style w:type="character" w:customStyle="1" w:styleId="Heading2Char">
    <w:name w:val="Heading 2 Char"/>
    <w:basedOn w:val="DefaultParagraphFont"/>
    <w:link w:val="Heading2"/>
    <w:uiPriority w:val="9"/>
    <w:rsid w:val="00305DA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05DA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72344">
      <w:bodyDiv w:val="1"/>
      <w:marLeft w:val="0"/>
      <w:marRight w:val="0"/>
      <w:marTop w:val="0"/>
      <w:marBottom w:val="0"/>
      <w:divBdr>
        <w:top w:val="none" w:sz="0" w:space="0" w:color="auto"/>
        <w:left w:val="none" w:sz="0" w:space="0" w:color="auto"/>
        <w:bottom w:val="none" w:sz="0" w:space="0" w:color="auto"/>
        <w:right w:val="none" w:sz="0" w:space="0" w:color="auto"/>
      </w:divBdr>
    </w:div>
    <w:div w:id="197258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40469B4CB2249BB544B31E284DDCF" ma:contentTypeVersion="8" ma:contentTypeDescription="Create a new document." ma:contentTypeScope="" ma:versionID="e46d11ff9afead221bddb37a4f88a832">
  <xsd:schema xmlns:xsd="http://www.w3.org/2001/XMLSchema" xmlns:xs="http://www.w3.org/2001/XMLSchema" xmlns:p="http://schemas.microsoft.com/office/2006/metadata/properties" xmlns:ns3="a1044173-dca1-4111-b9c0-2174d3842072" xmlns:ns4="08777dd5-7906-4623-ac8f-d668c2a5b895" targetNamespace="http://schemas.microsoft.com/office/2006/metadata/properties" ma:root="true" ma:fieldsID="7ec3b9f4df0cc5b49c5442f708d1f205" ns3:_="" ns4:_="">
    <xsd:import namespace="a1044173-dca1-4111-b9c0-2174d3842072"/>
    <xsd:import namespace="08777dd5-7906-4623-ac8f-d668c2a5b89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44173-dca1-4111-b9c0-2174d3842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77dd5-7906-4623-ac8f-d668c2a5b8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044173-dca1-4111-b9c0-2174d3842072" xsi:nil="true"/>
  </documentManagement>
</p:properties>
</file>

<file path=customXml/itemProps1.xml><?xml version="1.0" encoding="utf-8"?>
<ds:datastoreItem xmlns:ds="http://schemas.openxmlformats.org/officeDocument/2006/customXml" ds:itemID="{FCF44C38-B985-46BB-A368-DB518AC48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44173-dca1-4111-b9c0-2174d3842072"/>
    <ds:schemaRef ds:uri="08777dd5-7906-4623-ac8f-d668c2a5b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85E54-84A8-4DBB-8237-6788D83CC033}">
  <ds:schemaRefs>
    <ds:schemaRef ds:uri="http://schemas.microsoft.com/sharepoint/v3/contenttype/forms"/>
  </ds:schemaRefs>
</ds:datastoreItem>
</file>

<file path=customXml/itemProps3.xml><?xml version="1.0" encoding="utf-8"?>
<ds:datastoreItem xmlns:ds="http://schemas.openxmlformats.org/officeDocument/2006/customXml" ds:itemID="{F2241F75-8C89-42CD-84D0-5C6A030EC61A}">
  <ds:schemaRefs>
    <ds:schemaRef ds:uri="a1044173-dca1-4111-b9c0-2174d3842072"/>
    <ds:schemaRef ds:uri="08777dd5-7906-4623-ac8f-d668c2a5b895"/>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Prajwal Rodrigues</dc:creator>
  <cp:keywords/>
  <dc:description/>
  <cp:lastModifiedBy>Prajwal Rodrigues</cp:lastModifiedBy>
  <cp:revision>2</cp:revision>
  <dcterms:created xsi:type="dcterms:W3CDTF">2024-09-18T20:11:00Z</dcterms:created>
  <dcterms:modified xsi:type="dcterms:W3CDTF">2024-09-18T20:11:00Z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0x0101001E840469B4CB2249BB544B31E284DDCF</vt:lpwstr>
  </property>
</Properties>
</file>