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857F" w14:textId="72379B15" w:rsidR="00D17233" w:rsidRDefault="00DE48D5">
      <w:pPr>
        <w:rPr>
          <w:b/>
          <w:bCs/>
          <w:u w:val="single"/>
        </w:rPr>
      </w:pPr>
      <w:r w:rsidRPr="00DE48D5">
        <w:rPr>
          <w:b/>
          <w:bCs/>
          <w:u w:val="single"/>
        </w:rPr>
        <w:t>PEER COMPANIES</w:t>
      </w:r>
    </w:p>
    <w:p w14:paraId="3688B694" w14:textId="118A27FF" w:rsidR="00DE48D5" w:rsidRDefault="00DE48D5">
      <w:r w:rsidRPr="00DE48D5">
        <w:t xml:space="preserve">A peer company </w:t>
      </w:r>
      <w:r>
        <w:t xml:space="preserve">refers to </w:t>
      </w:r>
      <w:r w:rsidRPr="00DE48D5">
        <w:t xml:space="preserve">a company that is </w:t>
      </w:r>
      <w:r w:rsidR="00C65317">
        <w:t>in the</w:t>
      </w:r>
      <w:r>
        <w:t xml:space="preserve"> same industry or sector as another company. These are competitors that have roughly the same size, business model</w:t>
      </w:r>
      <w:r w:rsidR="00C65317">
        <w:t>,</w:t>
      </w:r>
      <w:r>
        <w:t xml:space="preserve"> or market dynamics.</w:t>
      </w:r>
      <w:r w:rsidR="00111056">
        <w:t xml:space="preserve"> </w:t>
      </w:r>
      <w:r w:rsidR="00111056" w:rsidRPr="00111056">
        <w:t>This report identifies suitable peer companies for Marriott Inc., Tesla Inc., Netflix Inc., Nvidia Inc., and Pfizer Inc., with justifications based on competitive positioning, industry dynamics, and strategic focus.</w:t>
      </w:r>
    </w:p>
    <w:p w14:paraId="2BC53D8E" w14:textId="62173F90" w:rsidR="00111056" w:rsidRDefault="00111056">
      <w:r>
        <w:t>1</w:t>
      </w:r>
      <w:r w:rsidR="00953E77">
        <w:t xml:space="preserve">. </w:t>
      </w:r>
      <w:r w:rsidRPr="00111056">
        <w:t>Marriott Inc</w:t>
      </w:r>
    </w:p>
    <w:p w14:paraId="433D4B5C" w14:textId="5E12CE5E" w:rsidR="00425DB9" w:rsidRDefault="00425DB9" w:rsidP="00425DB9">
      <w:r w:rsidRPr="00425DB9">
        <w:t xml:space="preserve">Marriott Inc. is a major participant in the consumer discretionary sector, specialising in the hotel and lodging industry. The company provides a variety of accommodations, ranging from luxury to affordable, and aims to develop its global hotel network. </w:t>
      </w:r>
    </w:p>
    <w:p w14:paraId="216399D8" w14:textId="6F1A8F34" w:rsidR="00784C34" w:rsidRDefault="00784C34" w:rsidP="00784C34">
      <w:r>
        <w:t>Hilton Worldwide Holdings Inc.</w:t>
      </w:r>
    </w:p>
    <w:p w14:paraId="0511A54D" w14:textId="68F4ABE2" w:rsidR="00784C34" w:rsidRDefault="00784C34" w:rsidP="00784C34">
      <w:pPr>
        <w:pStyle w:val="ListParagraph"/>
        <w:numPr>
          <w:ilvl w:val="0"/>
          <w:numId w:val="2"/>
        </w:numPr>
      </w:pPr>
      <w:r>
        <w:t>Operates a global portfolio of hotel brands across luxury, upper upscale, and midscale segments.</w:t>
      </w:r>
    </w:p>
    <w:p w14:paraId="10FF266F" w14:textId="0D72EFD2" w:rsidR="00784C34" w:rsidRDefault="00784C34" w:rsidP="00784C34">
      <w:pPr>
        <w:pStyle w:val="ListParagraph"/>
        <w:numPr>
          <w:ilvl w:val="0"/>
          <w:numId w:val="2"/>
        </w:numPr>
      </w:pPr>
      <w:r>
        <w:t>Both companies use a hotel management and franchising model.</w:t>
      </w:r>
    </w:p>
    <w:p w14:paraId="2772314A" w14:textId="0D67024A" w:rsidR="00784C34" w:rsidRDefault="00784C34" w:rsidP="00784C34">
      <w:pPr>
        <w:pStyle w:val="ListParagraph"/>
        <w:numPr>
          <w:ilvl w:val="0"/>
          <w:numId w:val="2"/>
        </w:numPr>
      </w:pPr>
      <w:r>
        <w:t>Strong loyalty programs and extensive global footprint.</w:t>
      </w:r>
    </w:p>
    <w:p w14:paraId="62D9A9DD" w14:textId="77777777" w:rsidR="00784C34" w:rsidRDefault="00784C34" w:rsidP="00784C34">
      <w:r>
        <w:t>Hyatt Hotels Corp</w:t>
      </w:r>
    </w:p>
    <w:p w14:paraId="36FF7B1A" w14:textId="4E3A29A2" w:rsidR="00784C34" w:rsidRDefault="00784C34" w:rsidP="00784C34">
      <w:pPr>
        <w:pStyle w:val="ListParagraph"/>
        <w:numPr>
          <w:ilvl w:val="0"/>
          <w:numId w:val="3"/>
        </w:numPr>
      </w:pPr>
      <w:r>
        <w:t xml:space="preserve">Emphasis on premium and luxury segments, </w:t>
      </w:r>
      <w:r>
        <w:t>like</w:t>
      </w:r>
      <w:r>
        <w:t xml:space="preserve"> Marriott’s strategy.</w:t>
      </w:r>
    </w:p>
    <w:p w14:paraId="0222727C" w14:textId="6CEA0152" w:rsidR="00784C34" w:rsidRDefault="00784C34" w:rsidP="00784C34">
      <w:pPr>
        <w:pStyle w:val="ListParagraph"/>
        <w:numPr>
          <w:ilvl w:val="0"/>
          <w:numId w:val="3"/>
        </w:numPr>
      </w:pPr>
      <w:r>
        <w:t>Both companies are expanding into lifestyle and boutique hotel segments.</w:t>
      </w:r>
    </w:p>
    <w:p w14:paraId="7E8EB0F2" w14:textId="684194DB" w:rsidR="00784C34" w:rsidRDefault="00784C34" w:rsidP="00784C34">
      <w:pPr>
        <w:pStyle w:val="ListParagraph"/>
        <w:numPr>
          <w:ilvl w:val="0"/>
          <w:numId w:val="3"/>
        </w:numPr>
      </w:pPr>
      <w:r>
        <w:t>Both focus on enhancing customer experience through digital innovation and loyalty programs.</w:t>
      </w:r>
    </w:p>
    <w:p w14:paraId="51DF0D62" w14:textId="4F4D9F58" w:rsidR="00784C34" w:rsidRDefault="00784C34" w:rsidP="00784C34">
      <w:r>
        <w:t>Accor SA</w:t>
      </w:r>
    </w:p>
    <w:p w14:paraId="75114C41" w14:textId="4913B251" w:rsidR="00784C34" w:rsidRDefault="00784C34" w:rsidP="00784C34">
      <w:pPr>
        <w:pStyle w:val="ListParagraph"/>
        <w:numPr>
          <w:ilvl w:val="0"/>
          <w:numId w:val="4"/>
        </w:numPr>
      </w:pPr>
      <w:r>
        <w:t xml:space="preserve">Operates over 5,300 properties in 110+ countries, </w:t>
      </w:r>
      <w:r>
        <w:t>like</w:t>
      </w:r>
      <w:r>
        <w:t xml:space="preserve"> Marriott’s global hotel network.</w:t>
      </w:r>
    </w:p>
    <w:p w14:paraId="33A749C8" w14:textId="051DC96F" w:rsidR="00784C34" w:rsidRDefault="00784C34" w:rsidP="00784C34">
      <w:pPr>
        <w:pStyle w:val="ListParagraph"/>
        <w:numPr>
          <w:ilvl w:val="0"/>
          <w:numId w:val="4"/>
        </w:numPr>
      </w:pPr>
      <w:r>
        <w:t>Diverse brand portfolio from luxury to economy segments.</w:t>
      </w:r>
    </w:p>
    <w:p w14:paraId="3D898201" w14:textId="77777777" w:rsidR="00784C34" w:rsidRDefault="00784C34" w:rsidP="00784C34">
      <w:pPr>
        <w:pStyle w:val="ListParagraph"/>
        <w:numPr>
          <w:ilvl w:val="0"/>
          <w:numId w:val="4"/>
        </w:numPr>
      </w:pPr>
      <w:r>
        <w:t>Shared focus on digital innovation, loyalty programs, and expanding into emerging markets.</w:t>
      </w:r>
    </w:p>
    <w:p w14:paraId="4C3CC6A5" w14:textId="7F716DAD" w:rsidR="002664A7" w:rsidRDefault="002664A7" w:rsidP="00784C34">
      <w:r>
        <w:t>2. Tesla Inc.</w:t>
      </w:r>
    </w:p>
    <w:p w14:paraId="6DA228C2" w14:textId="77777777" w:rsidR="00156680" w:rsidRDefault="005322EB" w:rsidP="00156680">
      <w:r w:rsidRPr="005322EB">
        <w:t xml:space="preserve">Tesla Inc. is a renowned technological corporation recognised for its advancements in electric automobiles and renewable energy solutions. It works in the automobile business, producing advanced electric vehicles, solar goods, and battery storage systems. </w:t>
      </w:r>
    </w:p>
    <w:p w14:paraId="180ECE54" w14:textId="1297FBD8" w:rsidR="009C6DE3" w:rsidRDefault="009C6DE3" w:rsidP="009C6DE3">
      <w:r>
        <w:t>BYD Company Ltd.</w:t>
      </w:r>
    </w:p>
    <w:p w14:paraId="0B0E2CA8" w14:textId="6455F774" w:rsidR="009C6DE3" w:rsidRDefault="009C6DE3" w:rsidP="00FC696A">
      <w:pPr>
        <w:pStyle w:val="ListParagraph"/>
        <w:numPr>
          <w:ilvl w:val="0"/>
          <w:numId w:val="5"/>
        </w:numPr>
      </w:pPr>
      <w:r>
        <w:t>One of the most formidable competitors in the global EV market.</w:t>
      </w:r>
    </w:p>
    <w:p w14:paraId="39D3EF17" w14:textId="4CD22DC3" w:rsidR="009C6DE3" w:rsidRDefault="00695C20" w:rsidP="00FC696A">
      <w:pPr>
        <w:pStyle w:val="ListParagraph"/>
        <w:numPr>
          <w:ilvl w:val="0"/>
          <w:numId w:val="5"/>
        </w:numPr>
      </w:pPr>
      <w:r>
        <w:t>Depends on v</w:t>
      </w:r>
      <w:r w:rsidR="009C6DE3">
        <w:t>ertical Integration</w:t>
      </w:r>
      <w:r w:rsidR="00FC696A">
        <w:t>;</w:t>
      </w:r>
      <w:r w:rsidR="009C6DE3">
        <w:t xml:space="preserve"> </w:t>
      </w:r>
      <w:r w:rsidR="00FC696A">
        <w:t>i</w:t>
      </w:r>
      <w:r w:rsidR="009C6DE3">
        <w:t>ncludes battery and semiconductor manufacturing, unlike Tesla.</w:t>
      </w:r>
    </w:p>
    <w:p w14:paraId="128818D4" w14:textId="7290977C" w:rsidR="009C6DE3" w:rsidRDefault="009C6DE3" w:rsidP="00FC696A">
      <w:pPr>
        <w:pStyle w:val="ListParagraph"/>
        <w:numPr>
          <w:ilvl w:val="0"/>
          <w:numId w:val="5"/>
        </w:numPr>
      </w:pPr>
      <w:r>
        <w:lastRenderedPageBreak/>
        <w:t>Competes directly in electric vehicle technology and renewable energy solutions.</w:t>
      </w:r>
    </w:p>
    <w:p w14:paraId="0A2D3DD5" w14:textId="77777777" w:rsidR="009C6DE3" w:rsidRDefault="009C6DE3" w:rsidP="009C6DE3">
      <w:r>
        <w:t>Ford Motor Company</w:t>
      </w:r>
    </w:p>
    <w:p w14:paraId="01144659" w14:textId="06955991" w:rsidR="009C6DE3" w:rsidRDefault="009C6DE3" w:rsidP="002D37CA">
      <w:pPr>
        <w:pStyle w:val="ListParagraph"/>
        <w:numPr>
          <w:ilvl w:val="0"/>
          <w:numId w:val="6"/>
        </w:numPr>
      </w:pPr>
      <w:r>
        <w:t>Significant investments in electric vehicles with models like the Mustang Mach-E and F-150 Lightning.</w:t>
      </w:r>
    </w:p>
    <w:p w14:paraId="01DB6228" w14:textId="63B5F4AD" w:rsidR="009C6DE3" w:rsidRDefault="009C6DE3" w:rsidP="002D37CA">
      <w:pPr>
        <w:pStyle w:val="ListParagraph"/>
        <w:numPr>
          <w:ilvl w:val="0"/>
          <w:numId w:val="6"/>
        </w:numPr>
      </w:pPr>
      <w:r>
        <w:t>Competes with Tesla in key vehicle segments (e.g., electric trucks and SUVs).</w:t>
      </w:r>
    </w:p>
    <w:p w14:paraId="5851573F" w14:textId="0A36B872" w:rsidR="009C6DE3" w:rsidRDefault="009C6DE3" w:rsidP="002D37CA">
      <w:pPr>
        <w:pStyle w:val="ListParagraph"/>
        <w:numPr>
          <w:ilvl w:val="0"/>
          <w:numId w:val="6"/>
        </w:numPr>
      </w:pPr>
      <w:r>
        <w:t>Parallel commitment to innovation and sustainability.</w:t>
      </w:r>
    </w:p>
    <w:p w14:paraId="438CF280" w14:textId="77777777" w:rsidR="009C6DE3" w:rsidRDefault="009C6DE3" w:rsidP="009C6DE3">
      <w:r>
        <w:t>General Motors Company (GM)</w:t>
      </w:r>
    </w:p>
    <w:p w14:paraId="5B49BBE8" w14:textId="67DAF69B" w:rsidR="009C6DE3" w:rsidRDefault="009C6DE3" w:rsidP="00B05B31">
      <w:pPr>
        <w:pStyle w:val="ListParagraph"/>
        <w:numPr>
          <w:ilvl w:val="0"/>
          <w:numId w:val="7"/>
        </w:numPr>
      </w:pPr>
      <w:r>
        <w:t>Significant investments and developments in electric vehicles and autonomous driving.</w:t>
      </w:r>
    </w:p>
    <w:p w14:paraId="36BAAB51" w14:textId="0A5E97C8" w:rsidR="009C6DE3" w:rsidRDefault="00B05B31" w:rsidP="00B05B31">
      <w:pPr>
        <w:pStyle w:val="ListParagraph"/>
        <w:numPr>
          <w:ilvl w:val="0"/>
          <w:numId w:val="7"/>
        </w:numPr>
      </w:pPr>
      <w:r>
        <w:t>A direct</w:t>
      </w:r>
      <w:r w:rsidR="009C6DE3">
        <w:t xml:space="preserve"> challenge to Tesla’s innovation with GM’s growing EV lineup.</w:t>
      </w:r>
    </w:p>
    <w:p w14:paraId="00D04A31" w14:textId="77777777" w:rsidR="00B05B31" w:rsidRDefault="009C6DE3" w:rsidP="00B05B31">
      <w:pPr>
        <w:pStyle w:val="ListParagraph"/>
        <w:numPr>
          <w:ilvl w:val="0"/>
          <w:numId w:val="7"/>
        </w:numPr>
      </w:pPr>
      <w:r>
        <w:t>Both companies lead the shift towards sustainable automotive solutions.</w:t>
      </w:r>
    </w:p>
    <w:p w14:paraId="05002E6B" w14:textId="4A502CB7" w:rsidR="00DC5E16" w:rsidRDefault="00DC5E16" w:rsidP="009C6DE3">
      <w:r>
        <w:t>3. Netflix Inc.</w:t>
      </w:r>
    </w:p>
    <w:p w14:paraId="2812EEA5" w14:textId="75448B00" w:rsidR="000E6C3C" w:rsidRDefault="00BA402F" w:rsidP="00DC5E16">
      <w:r w:rsidRPr="00BA402F">
        <w:t xml:space="preserve">Netflix Inc. operates in the communication services sector, especially the streaming services market. Through its digital platform, the firm offers a diverse selection of on-demand video material as well as unique programs. </w:t>
      </w:r>
    </w:p>
    <w:p w14:paraId="0BABA8CD" w14:textId="32A44050" w:rsidR="00101C7C" w:rsidRDefault="00101C7C" w:rsidP="00101C7C">
      <w:r>
        <w:t>The Walt Disney Company (Disney+)</w:t>
      </w:r>
    </w:p>
    <w:p w14:paraId="53776F01" w14:textId="62440DC2" w:rsidR="00101C7C" w:rsidRDefault="00101C7C" w:rsidP="00B0343E">
      <w:pPr>
        <w:pStyle w:val="ListParagraph"/>
        <w:numPr>
          <w:ilvl w:val="0"/>
          <w:numId w:val="8"/>
        </w:numPr>
      </w:pPr>
      <w:r>
        <w:t>Strong content library and original programming compete directly with Netflix.</w:t>
      </w:r>
    </w:p>
    <w:p w14:paraId="27EA4B7D" w14:textId="0AF0BDE1" w:rsidR="00101C7C" w:rsidRDefault="00101C7C" w:rsidP="00B0343E">
      <w:pPr>
        <w:pStyle w:val="ListParagraph"/>
        <w:numPr>
          <w:ilvl w:val="0"/>
          <w:numId w:val="8"/>
        </w:numPr>
      </w:pPr>
      <w:r>
        <w:t>Rapidly growing subscriber base similar to Netflix.</w:t>
      </w:r>
    </w:p>
    <w:p w14:paraId="625EB0E2" w14:textId="6986105E" w:rsidR="00101C7C" w:rsidRDefault="00101C7C" w:rsidP="00B0343E">
      <w:pPr>
        <w:pStyle w:val="ListParagraph"/>
        <w:numPr>
          <w:ilvl w:val="0"/>
          <w:numId w:val="8"/>
        </w:numPr>
      </w:pPr>
      <w:r>
        <w:t>Focus on families and young adults.</w:t>
      </w:r>
    </w:p>
    <w:p w14:paraId="5EE936BB" w14:textId="7C178538" w:rsidR="00101C7C" w:rsidRDefault="00101C7C" w:rsidP="00101C7C">
      <w:r>
        <w:t>Amazon.com</w:t>
      </w:r>
    </w:p>
    <w:p w14:paraId="33E58125" w14:textId="2D5EA104" w:rsidR="00101C7C" w:rsidRDefault="00101C7C" w:rsidP="00B0343E">
      <w:pPr>
        <w:pStyle w:val="ListParagraph"/>
        <w:numPr>
          <w:ilvl w:val="0"/>
          <w:numId w:val="9"/>
        </w:numPr>
      </w:pPr>
      <w:r>
        <w:t>Prime Video directly competes with Netflix in the SVOD market.</w:t>
      </w:r>
    </w:p>
    <w:p w14:paraId="069840C9" w14:textId="2253F10B" w:rsidR="00101C7C" w:rsidRDefault="00101C7C" w:rsidP="00B0343E">
      <w:pPr>
        <w:pStyle w:val="ListParagraph"/>
        <w:numPr>
          <w:ilvl w:val="0"/>
          <w:numId w:val="9"/>
        </w:numPr>
      </w:pPr>
      <w:r>
        <w:t>Heavy investment in original content and global expansion.</w:t>
      </w:r>
    </w:p>
    <w:p w14:paraId="19FA186B" w14:textId="0952FDA1" w:rsidR="00101C7C" w:rsidRDefault="00101C7C" w:rsidP="00B0343E">
      <w:pPr>
        <w:pStyle w:val="ListParagraph"/>
        <w:numPr>
          <w:ilvl w:val="0"/>
          <w:numId w:val="9"/>
        </w:numPr>
      </w:pPr>
      <w:r>
        <w:t>Utilizes a subscription model to drive user engagement, akin to Netflix’s approach.</w:t>
      </w:r>
    </w:p>
    <w:p w14:paraId="2A5082F4" w14:textId="379DA98A" w:rsidR="00101C7C" w:rsidRDefault="00101C7C" w:rsidP="00101C7C">
      <w:r>
        <w:t>HBO Max (Warner Bros. Discovery)</w:t>
      </w:r>
    </w:p>
    <w:p w14:paraId="6DBC9019" w14:textId="367DD96B" w:rsidR="00101C7C" w:rsidRDefault="00101C7C" w:rsidP="00A671DC">
      <w:pPr>
        <w:pStyle w:val="ListParagraph"/>
        <w:numPr>
          <w:ilvl w:val="0"/>
          <w:numId w:val="10"/>
        </w:numPr>
      </w:pPr>
      <w:r>
        <w:t>Focuses on high-quality original series and movies.</w:t>
      </w:r>
    </w:p>
    <w:p w14:paraId="75F0F787" w14:textId="59C9AB8C" w:rsidR="00101C7C" w:rsidRDefault="00101C7C" w:rsidP="00A671DC">
      <w:pPr>
        <w:pStyle w:val="ListParagraph"/>
        <w:numPr>
          <w:ilvl w:val="0"/>
          <w:numId w:val="10"/>
        </w:numPr>
      </w:pPr>
      <w:r>
        <w:t>Expanding internationally, competing for exclusive content similar to Netflix.</w:t>
      </w:r>
    </w:p>
    <w:p w14:paraId="3854FE57" w14:textId="28C70948" w:rsidR="00101C7C" w:rsidRDefault="00101C7C" w:rsidP="00A671DC">
      <w:pPr>
        <w:pStyle w:val="ListParagraph"/>
        <w:numPr>
          <w:ilvl w:val="0"/>
          <w:numId w:val="10"/>
        </w:numPr>
      </w:pPr>
      <w:r>
        <w:t>Both companies compete for viewership and market share in premium content.</w:t>
      </w:r>
    </w:p>
    <w:p w14:paraId="4424CB4C" w14:textId="30EE50C7" w:rsidR="00DC5E16" w:rsidRDefault="00101C7C" w:rsidP="00101C7C">
      <w:r>
        <w:t>4. Nvidia Inc.</w:t>
      </w:r>
    </w:p>
    <w:p w14:paraId="393C5274" w14:textId="09E17A47" w:rsidR="00B12AD4" w:rsidRDefault="00325E87" w:rsidP="00DC5E16">
      <w:r w:rsidRPr="00325E87">
        <w:t>Nvidia Inc. is a major participant in the technology sector, specialising in high-performance computers and graphics. It is a semiconductor company best known for its powerful GPUs used in gaming, artificial intelligence, and data centres. Nvidia is committed to promoting computational technologies and graphic advancements.</w:t>
      </w:r>
    </w:p>
    <w:p w14:paraId="00621E32" w14:textId="51EEB9AD" w:rsidR="00183C55" w:rsidRDefault="00183C55" w:rsidP="00183C55">
      <w:r>
        <w:t>Intel Corporation</w:t>
      </w:r>
    </w:p>
    <w:p w14:paraId="4F2D16AA" w14:textId="3654B6AB" w:rsidR="00183C55" w:rsidRDefault="00183C55" w:rsidP="00581A94">
      <w:pPr>
        <w:pStyle w:val="ListParagraph"/>
        <w:numPr>
          <w:ilvl w:val="0"/>
          <w:numId w:val="11"/>
        </w:numPr>
      </w:pPr>
      <w:r>
        <w:t xml:space="preserve">Competitor in GPUs and CPUs, as well as </w:t>
      </w:r>
      <w:r w:rsidR="00581A94">
        <w:t xml:space="preserve">the </w:t>
      </w:r>
      <w:r>
        <w:t>data center market.</w:t>
      </w:r>
    </w:p>
    <w:p w14:paraId="0FCB61F0" w14:textId="77F252E3" w:rsidR="00183C55" w:rsidRDefault="00183C55" w:rsidP="00581A94">
      <w:pPr>
        <w:pStyle w:val="ListParagraph"/>
        <w:numPr>
          <w:ilvl w:val="0"/>
          <w:numId w:val="11"/>
        </w:numPr>
      </w:pPr>
      <w:r>
        <w:lastRenderedPageBreak/>
        <w:t>Competes in AI and autonomous driving technologies with Intel’s recent developments.</w:t>
      </w:r>
    </w:p>
    <w:p w14:paraId="0878DE73" w14:textId="2662C60D" w:rsidR="00183C55" w:rsidRDefault="00183C55" w:rsidP="00581A94">
      <w:pPr>
        <w:pStyle w:val="ListParagraph"/>
        <w:numPr>
          <w:ilvl w:val="0"/>
          <w:numId w:val="11"/>
        </w:numPr>
      </w:pPr>
      <w:r>
        <w:t>Intel’s Xe GPUs aim to challenge Nvidia’s dominance.</w:t>
      </w:r>
    </w:p>
    <w:p w14:paraId="1FFAA657" w14:textId="6DFB8FCF" w:rsidR="00183C55" w:rsidRDefault="00183C55" w:rsidP="00183C55">
      <w:r>
        <w:t>Qualcomm Incorporated</w:t>
      </w:r>
    </w:p>
    <w:p w14:paraId="6DCC12CC" w14:textId="66C8E66B" w:rsidR="00183C55" w:rsidRDefault="00183C55" w:rsidP="00581A94">
      <w:pPr>
        <w:pStyle w:val="ListParagraph"/>
        <w:numPr>
          <w:ilvl w:val="0"/>
          <w:numId w:val="12"/>
        </w:numPr>
      </w:pPr>
      <w:r>
        <w:t>Significant competitor in AI, gaming, and automotive applications.</w:t>
      </w:r>
    </w:p>
    <w:p w14:paraId="48FA08FB" w14:textId="443C7834" w:rsidR="00183C55" w:rsidRDefault="00183C55" w:rsidP="00581A94">
      <w:pPr>
        <w:pStyle w:val="ListParagraph"/>
        <w:numPr>
          <w:ilvl w:val="0"/>
          <w:numId w:val="12"/>
        </w:numPr>
      </w:pPr>
      <w:r>
        <w:t>Both companies are leaders in high-performance computing and semiconductor technologies.</w:t>
      </w:r>
    </w:p>
    <w:p w14:paraId="3B375C2D" w14:textId="5EDC3ADB" w:rsidR="00183C55" w:rsidRDefault="00183C55" w:rsidP="00581A94">
      <w:pPr>
        <w:pStyle w:val="ListParagraph"/>
        <w:numPr>
          <w:ilvl w:val="0"/>
          <w:numId w:val="12"/>
        </w:numPr>
      </w:pPr>
      <w:r>
        <w:t>Compete in key technology sectors with overlapping product applications.</w:t>
      </w:r>
    </w:p>
    <w:p w14:paraId="55D7FFC4" w14:textId="7162FD7A" w:rsidR="00183C55" w:rsidRDefault="00183C55" w:rsidP="00183C55">
      <w:r>
        <w:t>Taiwan Semiconductor Manufacturing Company Ltd. (TSMC)</w:t>
      </w:r>
    </w:p>
    <w:p w14:paraId="5A7BDEBD" w14:textId="7DA3338B" w:rsidR="00183C55" w:rsidRDefault="00183C55" w:rsidP="00581A94">
      <w:pPr>
        <w:pStyle w:val="ListParagraph"/>
        <w:numPr>
          <w:ilvl w:val="0"/>
          <w:numId w:val="13"/>
        </w:numPr>
      </w:pPr>
      <w:r>
        <w:t>Essential partner and competitor in the semiconductor space, manufacturing Nvidia’s GPUs.</w:t>
      </w:r>
    </w:p>
    <w:p w14:paraId="5D1CDF03" w14:textId="78FD5002" w:rsidR="00183C55" w:rsidRDefault="00183C55" w:rsidP="00581A94">
      <w:pPr>
        <w:pStyle w:val="ListParagraph"/>
        <w:numPr>
          <w:ilvl w:val="0"/>
          <w:numId w:val="13"/>
        </w:numPr>
      </w:pPr>
      <w:r>
        <w:t>Dominates advanced node technology, crucial for Nvidia’s GPU production.</w:t>
      </w:r>
    </w:p>
    <w:p w14:paraId="37A45493" w14:textId="28F347F3" w:rsidR="00183C55" w:rsidRDefault="00183C55" w:rsidP="00581A94">
      <w:pPr>
        <w:pStyle w:val="ListParagraph"/>
        <w:numPr>
          <w:ilvl w:val="0"/>
          <w:numId w:val="13"/>
        </w:numPr>
      </w:pPr>
      <w:r>
        <w:t>Both a peer and strategic ally in semiconductor innovation.</w:t>
      </w:r>
    </w:p>
    <w:p w14:paraId="6E564447" w14:textId="6FBFCDB8" w:rsidR="00DC5E16" w:rsidRDefault="00DC5E16" w:rsidP="00DC5E16">
      <w:r>
        <w:t>5. Pfizer Inc.</w:t>
      </w:r>
    </w:p>
    <w:p w14:paraId="51D2379B" w14:textId="0C11585E" w:rsidR="00325E87" w:rsidRDefault="00F501D6" w:rsidP="00DC5E16">
      <w:r w:rsidRPr="00F501D6">
        <w:t xml:space="preserve">Pfizer Inc. is a prominent player in the healthcare industry, </w:t>
      </w:r>
      <w:r w:rsidRPr="00F501D6">
        <w:t>focusing</w:t>
      </w:r>
      <w:r w:rsidRPr="00F501D6">
        <w:t xml:space="preserve"> on medicines and biotech. The firm works in the pharmaceutical industry, creating vaccines and therapeutic treatments. Pfizer's purpose is to promote world health with breakthrough medical solutions.</w:t>
      </w:r>
    </w:p>
    <w:p w14:paraId="370F7BDC" w14:textId="42CE18C0" w:rsidR="006E748D" w:rsidRPr="006E748D" w:rsidRDefault="006E748D" w:rsidP="006E748D">
      <w:pPr>
        <w:rPr>
          <w:lang w:val="en-GB"/>
        </w:rPr>
      </w:pPr>
      <w:r w:rsidRPr="006E748D">
        <w:rPr>
          <w:lang w:val="en-GB"/>
        </w:rPr>
        <w:t>Johnson &amp; Johnson</w:t>
      </w:r>
    </w:p>
    <w:p w14:paraId="680F77FE" w14:textId="5B5F7EB8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Competes in pharmaceuticals, medical devices, and consumer health goods.</w:t>
      </w:r>
    </w:p>
    <w:p w14:paraId="347B451C" w14:textId="4E7FB139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Both firms are leaders in vaccine development and global health initiatives.</w:t>
      </w:r>
    </w:p>
    <w:p w14:paraId="781703FB" w14:textId="7C1F0B19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Significant emphasis on R&amp;D in areas such as cancer, immunology, and infectious diseases.</w:t>
      </w:r>
    </w:p>
    <w:p w14:paraId="2600B8F5" w14:textId="3BEC04FB" w:rsidR="006E748D" w:rsidRPr="00BE1799" w:rsidRDefault="006E748D" w:rsidP="00BE1799">
      <w:pPr>
        <w:rPr>
          <w:lang w:val="en-GB"/>
        </w:rPr>
      </w:pPr>
      <w:r w:rsidRPr="00BE1799">
        <w:rPr>
          <w:lang w:val="en-GB"/>
        </w:rPr>
        <w:t>Merck &amp; Co., Inc.</w:t>
      </w:r>
    </w:p>
    <w:p w14:paraId="04C463C0" w14:textId="3C3BEF0E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Competes in cancer, vaccines, and infectious diseases.</w:t>
      </w:r>
    </w:p>
    <w:p w14:paraId="7D3380EE" w14:textId="37EDCA88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Both companies have strong biologics pipelines and novel drug development initiatives.</w:t>
      </w:r>
    </w:p>
    <w:p w14:paraId="3BE635E7" w14:textId="387F8605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Major competitors in North America, Europe, and emerging markets.</w:t>
      </w:r>
    </w:p>
    <w:p w14:paraId="09AEBA1C" w14:textId="360BBED1" w:rsidR="006E748D" w:rsidRPr="00994F44" w:rsidRDefault="006E748D" w:rsidP="00994F44">
      <w:pPr>
        <w:rPr>
          <w:lang w:val="en-GB"/>
        </w:rPr>
      </w:pPr>
      <w:r w:rsidRPr="00994F44">
        <w:rPr>
          <w:lang w:val="en-GB"/>
        </w:rPr>
        <w:t>AstraZeneca plc</w:t>
      </w:r>
    </w:p>
    <w:p w14:paraId="0F2679D3" w14:textId="04C7E50C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Competes in respiratory, cardiovascular, and cancer medications.</w:t>
      </w:r>
    </w:p>
    <w:p w14:paraId="521C493A" w14:textId="03AA9F61" w:rsidR="006E748D" w:rsidRPr="006E748D" w:rsidRDefault="006E748D" w:rsidP="006E748D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Both companies played key roles in COVID-19 vaccine research and delivery.</w:t>
      </w:r>
    </w:p>
    <w:p w14:paraId="2B415EC1" w14:textId="06B0FAAD" w:rsidR="002664A7" w:rsidRPr="00994F44" w:rsidRDefault="006E748D" w:rsidP="00994F44">
      <w:pPr>
        <w:pStyle w:val="ListParagraph"/>
        <w:numPr>
          <w:ilvl w:val="0"/>
          <w:numId w:val="1"/>
        </w:numPr>
        <w:rPr>
          <w:lang w:val="en-GB"/>
        </w:rPr>
      </w:pPr>
      <w:r w:rsidRPr="006E748D">
        <w:rPr>
          <w:lang w:val="en-GB"/>
        </w:rPr>
        <w:t>Direct competition in R&amp;D and market expansion, particularly in Europe and North America.</w:t>
      </w:r>
    </w:p>
    <w:sectPr w:rsidR="002664A7" w:rsidRPr="00994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C35"/>
    <w:multiLevelType w:val="hybridMultilevel"/>
    <w:tmpl w:val="2C48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70C"/>
    <w:multiLevelType w:val="hybridMultilevel"/>
    <w:tmpl w:val="4F0C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F4C"/>
    <w:multiLevelType w:val="hybridMultilevel"/>
    <w:tmpl w:val="4626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3282"/>
    <w:multiLevelType w:val="hybridMultilevel"/>
    <w:tmpl w:val="DA9C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C5E"/>
    <w:multiLevelType w:val="hybridMultilevel"/>
    <w:tmpl w:val="ADF0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45C"/>
    <w:multiLevelType w:val="hybridMultilevel"/>
    <w:tmpl w:val="8CBC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1C36"/>
    <w:multiLevelType w:val="hybridMultilevel"/>
    <w:tmpl w:val="0EF40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C4D8A"/>
    <w:multiLevelType w:val="hybridMultilevel"/>
    <w:tmpl w:val="D4BE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7134"/>
    <w:multiLevelType w:val="hybridMultilevel"/>
    <w:tmpl w:val="54384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3408A"/>
    <w:multiLevelType w:val="multilevel"/>
    <w:tmpl w:val="3AE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9025B"/>
    <w:multiLevelType w:val="multilevel"/>
    <w:tmpl w:val="266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A08AE"/>
    <w:multiLevelType w:val="hybridMultilevel"/>
    <w:tmpl w:val="6054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1963"/>
    <w:multiLevelType w:val="hybridMultilevel"/>
    <w:tmpl w:val="326A6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A7E67"/>
    <w:multiLevelType w:val="hybridMultilevel"/>
    <w:tmpl w:val="0B72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25CD0"/>
    <w:multiLevelType w:val="hybridMultilevel"/>
    <w:tmpl w:val="E6A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31D32"/>
    <w:multiLevelType w:val="multilevel"/>
    <w:tmpl w:val="735E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707776">
    <w:abstractNumId w:val="4"/>
  </w:num>
  <w:num w:numId="2" w16cid:durableId="1239484920">
    <w:abstractNumId w:val="3"/>
  </w:num>
  <w:num w:numId="3" w16cid:durableId="761411823">
    <w:abstractNumId w:val="13"/>
  </w:num>
  <w:num w:numId="4" w16cid:durableId="1706903616">
    <w:abstractNumId w:val="1"/>
  </w:num>
  <w:num w:numId="5" w16cid:durableId="1210990461">
    <w:abstractNumId w:val="14"/>
  </w:num>
  <w:num w:numId="6" w16cid:durableId="1251934748">
    <w:abstractNumId w:val="2"/>
  </w:num>
  <w:num w:numId="7" w16cid:durableId="1487085828">
    <w:abstractNumId w:val="8"/>
  </w:num>
  <w:num w:numId="8" w16cid:durableId="1873151171">
    <w:abstractNumId w:val="11"/>
  </w:num>
  <w:num w:numId="9" w16cid:durableId="1225095919">
    <w:abstractNumId w:val="0"/>
  </w:num>
  <w:num w:numId="10" w16cid:durableId="43991215">
    <w:abstractNumId w:val="5"/>
  </w:num>
  <w:num w:numId="11" w16cid:durableId="225994880">
    <w:abstractNumId w:val="7"/>
  </w:num>
  <w:num w:numId="12" w16cid:durableId="1912154393">
    <w:abstractNumId w:val="12"/>
  </w:num>
  <w:num w:numId="13" w16cid:durableId="67583334">
    <w:abstractNumId w:val="6"/>
  </w:num>
  <w:num w:numId="14" w16cid:durableId="342905233">
    <w:abstractNumId w:val="10"/>
  </w:num>
  <w:num w:numId="15" w16cid:durableId="722367417">
    <w:abstractNumId w:val="15"/>
  </w:num>
  <w:num w:numId="16" w16cid:durableId="1757898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D5"/>
    <w:rsid w:val="00041BD7"/>
    <w:rsid w:val="000C04F7"/>
    <w:rsid w:val="000E6C3C"/>
    <w:rsid w:val="000F3EF5"/>
    <w:rsid w:val="00101C7C"/>
    <w:rsid w:val="00111056"/>
    <w:rsid w:val="00156680"/>
    <w:rsid w:val="00183C55"/>
    <w:rsid w:val="001C3235"/>
    <w:rsid w:val="002664A7"/>
    <w:rsid w:val="002D37CA"/>
    <w:rsid w:val="00301D4B"/>
    <w:rsid w:val="00325E87"/>
    <w:rsid w:val="00421B84"/>
    <w:rsid w:val="00425DB9"/>
    <w:rsid w:val="005322EB"/>
    <w:rsid w:val="00581A94"/>
    <w:rsid w:val="00596A41"/>
    <w:rsid w:val="00603CA4"/>
    <w:rsid w:val="00675A53"/>
    <w:rsid w:val="00695C20"/>
    <w:rsid w:val="006E748D"/>
    <w:rsid w:val="007578D0"/>
    <w:rsid w:val="00784C34"/>
    <w:rsid w:val="0078571C"/>
    <w:rsid w:val="007C2687"/>
    <w:rsid w:val="0081515D"/>
    <w:rsid w:val="0084714B"/>
    <w:rsid w:val="00876890"/>
    <w:rsid w:val="008856E1"/>
    <w:rsid w:val="00892258"/>
    <w:rsid w:val="008A79E1"/>
    <w:rsid w:val="009033D5"/>
    <w:rsid w:val="00950F65"/>
    <w:rsid w:val="00953E77"/>
    <w:rsid w:val="00994F44"/>
    <w:rsid w:val="009C6DE3"/>
    <w:rsid w:val="009E440B"/>
    <w:rsid w:val="00A671DC"/>
    <w:rsid w:val="00B0211B"/>
    <w:rsid w:val="00B0343E"/>
    <w:rsid w:val="00B05B31"/>
    <w:rsid w:val="00B12AD4"/>
    <w:rsid w:val="00B64456"/>
    <w:rsid w:val="00B7207F"/>
    <w:rsid w:val="00B92B4C"/>
    <w:rsid w:val="00BA402F"/>
    <w:rsid w:val="00BE1799"/>
    <w:rsid w:val="00C52A0B"/>
    <w:rsid w:val="00C559D0"/>
    <w:rsid w:val="00C65317"/>
    <w:rsid w:val="00C94C8D"/>
    <w:rsid w:val="00CC04B9"/>
    <w:rsid w:val="00D17233"/>
    <w:rsid w:val="00D72404"/>
    <w:rsid w:val="00DA7620"/>
    <w:rsid w:val="00DB50F2"/>
    <w:rsid w:val="00DC5E16"/>
    <w:rsid w:val="00DC702E"/>
    <w:rsid w:val="00DE0631"/>
    <w:rsid w:val="00DE48D5"/>
    <w:rsid w:val="00E173D4"/>
    <w:rsid w:val="00E43CCA"/>
    <w:rsid w:val="00E46B50"/>
    <w:rsid w:val="00E95C7C"/>
    <w:rsid w:val="00E97DD2"/>
    <w:rsid w:val="00F501D6"/>
    <w:rsid w:val="00F80849"/>
    <w:rsid w:val="00FC696A"/>
    <w:rsid w:val="00FF093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ABDA2"/>
  <w15:chartTrackingRefBased/>
  <w15:docId w15:val="{C2010A60-2641-4A42-B540-24D6F72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" w:line="2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35"/>
    <w:pPr>
      <w:widowControl w:val="0"/>
      <w:spacing w:after="0" w:line="36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8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8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8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8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8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8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8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8D5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8D5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8D5"/>
    <w:rPr>
      <w:rFonts w:eastAsiaTheme="majorEastAsia" w:cstheme="majorBidi"/>
      <w:color w:val="0F4761" w:themeColor="accent1" w:themeShade="BF"/>
      <w:kern w:val="2"/>
      <w:sz w:val="28"/>
      <w:szCs w:val="28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8D5"/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8D5"/>
    <w:rPr>
      <w:rFonts w:eastAsiaTheme="majorEastAsia" w:cstheme="majorBidi"/>
      <w:color w:val="0F4761" w:themeColor="accent1" w:themeShade="BF"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8D5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8D5"/>
    <w:rPr>
      <w:rFonts w:eastAsiaTheme="majorEastAsia" w:cstheme="majorBidi"/>
      <w:color w:val="595959" w:themeColor="text1" w:themeTint="A6"/>
      <w:kern w:val="2"/>
      <w:sz w:val="24"/>
      <w:szCs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8D5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8D5"/>
    <w:rPr>
      <w:rFonts w:eastAsiaTheme="majorEastAsia" w:cstheme="majorBidi"/>
      <w:color w:val="272727" w:themeColor="text1" w:themeTint="D8"/>
      <w:kern w:val="2"/>
      <w:sz w:val="24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4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8D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8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8D5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E4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8D5"/>
    <w:rPr>
      <w:rFonts w:ascii="Times New Roman" w:eastAsia="SimSun" w:hAnsi="Times New Roman" w:cs="Times New Roman"/>
      <w:i/>
      <w:iCs/>
      <w:color w:val="404040" w:themeColor="text1" w:themeTint="BF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E48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8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8D5"/>
    <w:rPr>
      <w:rFonts w:ascii="Times New Roman" w:eastAsia="SimSun" w:hAnsi="Times New Roman" w:cs="Times New Roman"/>
      <w:i/>
      <w:iCs/>
      <w:color w:val="0F4761" w:themeColor="accent1" w:themeShade="BF"/>
      <w:kern w:val="2"/>
      <w:sz w:val="24"/>
      <w:szCs w:val="24"/>
      <w:lang w:val="en-US" w:eastAsia="zh-CN"/>
    </w:rPr>
  </w:style>
  <w:style w:type="character" w:styleId="IntenseReference">
    <w:name w:val="Intense Reference"/>
    <w:basedOn w:val="DefaultParagraphFont"/>
    <w:uiPriority w:val="32"/>
    <w:qFormat/>
    <w:rsid w:val="00DE4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759</Words>
  <Characters>4712</Characters>
  <Application>Microsoft Office Word</Application>
  <DocSecurity>0</DocSecurity>
  <Lines>96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crystabel odede</dc:creator>
  <cp:keywords/>
  <dc:description/>
  <cp:lastModifiedBy>crystabel odede</cp:lastModifiedBy>
  <cp:revision>31</cp:revision>
  <dcterms:created xsi:type="dcterms:W3CDTF">2024-08-30T20:43:00Z</dcterms:created>
  <dcterms:modified xsi:type="dcterms:W3CDTF">2024-08-30T22:33:00Z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9dce9563-3aec-445a-b9ca-45ac76f231d1</vt:lpwstr>
  </property>
</Properties>
</file>