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A3DD1" w14:textId="67636D16" w:rsidR="00521306" w:rsidRPr="00521306" w:rsidRDefault="00521306" w:rsidP="00776AE2">
      <w:pPr>
        <w:spacing w:line="276" w:lineRule="auto"/>
        <w:rPr>
          <w:rFonts w:ascii="Calibri" w:hAnsi="Calibri" w:cs="Calibri"/>
          <w:b/>
          <w:bCs/>
          <w:sz w:val="22"/>
          <w:szCs w:val="22"/>
          <w:u w:val="single"/>
          <w:lang w:val="en-GB"/>
        </w:rPr>
      </w:pPr>
      <w:r w:rsidRPr="00521306">
        <w:rPr>
          <w:rFonts w:ascii="Calibri" w:hAnsi="Calibri" w:cs="Calibri"/>
          <w:b/>
          <w:bCs/>
          <w:sz w:val="22"/>
          <w:szCs w:val="22"/>
          <w:u w:val="single"/>
          <w:lang w:val="en-GB"/>
        </w:rPr>
        <w:t>PEER PERFORMANCE REPORT</w:t>
      </w:r>
    </w:p>
    <w:p w14:paraId="18A3C5A0" w14:textId="77777777" w:rsidR="00521306" w:rsidRDefault="00521306" w:rsidP="00776AE2">
      <w:pPr>
        <w:spacing w:line="276" w:lineRule="auto"/>
        <w:rPr>
          <w:rFonts w:ascii="Calibri" w:hAnsi="Calibri" w:cs="Calibri"/>
          <w:sz w:val="22"/>
          <w:szCs w:val="22"/>
          <w:lang w:val="en-GB"/>
        </w:rPr>
      </w:pPr>
      <w:r w:rsidRPr="00521306">
        <w:rPr>
          <w:rFonts w:ascii="Calibri" w:hAnsi="Calibri" w:cs="Calibri"/>
          <w:sz w:val="22"/>
          <w:szCs w:val="22"/>
          <w:lang w:val="en-GB"/>
        </w:rPr>
        <w:t>A peer company is a competitor within the same industry or sector, with similar size, business model, or market focus. This report compares Marriott Inc., Tesla Inc., Netflix Inc., Nvidia Inc., and Pfizer Inc. with their relevant peers, based on their industry position and market dynamics.</w:t>
      </w:r>
    </w:p>
    <w:p w14:paraId="03248FDC" w14:textId="6E9B5ADE" w:rsidR="00521306" w:rsidRPr="00521306" w:rsidRDefault="00521306" w:rsidP="00776AE2">
      <w:pPr>
        <w:spacing w:line="276" w:lineRule="auto"/>
        <w:rPr>
          <w:rFonts w:ascii="Calibri" w:hAnsi="Calibri" w:cs="Calibri"/>
          <w:sz w:val="22"/>
          <w:szCs w:val="22"/>
          <w:lang w:val="en-GB"/>
        </w:rPr>
      </w:pPr>
      <w:r w:rsidRPr="00521306">
        <w:rPr>
          <w:rFonts w:ascii="Calibri" w:hAnsi="Calibri" w:cs="Calibri"/>
          <w:b/>
          <w:bCs/>
          <w:sz w:val="22"/>
          <w:szCs w:val="22"/>
          <w:lang w:val="en-GB"/>
        </w:rPr>
        <w:t>Marriott International Inc.</w:t>
      </w:r>
      <w:r w:rsidRPr="00521306">
        <w:rPr>
          <w:rFonts w:ascii="Calibri" w:hAnsi="Calibri" w:cs="Calibri"/>
          <w:sz w:val="22"/>
          <w:szCs w:val="22"/>
          <w:lang w:val="en-GB"/>
        </w:rPr>
        <w:t xml:space="preserve"> is a leading global hotel operator with </w:t>
      </w:r>
      <w:r>
        <w:rPr>
          <w:rFonts w:ascii="Calibri" w:hAnsi="Calibri" w:cs="Calibri"/>
          <w:sz w:val="22"/>
          <w:szCs w:val="22"/>
          <w:lang w:val="en-GB"/>
        </w:rPr>
        <w:t xml:space="preserve">an </w:t>
      </w:r>
      <w:r w:rsidRPr="00521306">
        <w:rPr>
          <w:rFonts w:ascii="Calibri" w:hAnsi="Calibri" w:cs="Calibri"/>
          <w:sz w:val="22"/>
          <w:szCs w:val="22"/>
          <w:lang w:val="en-GB"/>
        </w:rPr>
        <w:t xml:space="preserve">extensive international presence. In 2023, Marriott reported </w:t>
      </w:r>
      <w:r w:rsidR="00221FC4">
        <w:rPr>
          <w:rFonts w:ascii="Calibri" w:hAnsi="Calibri" w:cs="Calibri"/>
          <w:sz w:val="22"/>
          <w:szCs w:val="22"/>
          <w:lang w:val="en-GB"/>
        </w:rPr>
        <w:t xml:space="preserve">a </w:t>
      </w:r>
      <w:r>
        <w:rPr>
          <w:rFonts w:ascii="Calibri" w:hAnsi="Calibri" w:cs="Calibri"/>
          <w:sz w:val="22"/>
          <w:szCs w:val="22"/>
          <w:lang w:val="en-GB"/>
        </w:rPr>
        <w:t>market cap</w:t>
      </w:r>
      <w:r w:rsidRPr="00521306">
        <w:rPr>
          <w:rFonts w:ascii="Calibri" w:hAnsi="Calibri" w:cs="Calibri"/>
          <w:sz w:val="22"/>
          <w:szCs w:val="22"/>
          <w:lang w:val="en-GB"/>
        </w:rPr>
        <w:t xml:space="preserve"> of $</w:t>
      </w:r>
      <w:r>
        <w:rPr>
          <w:rFonts w:ascii="Calibri" w:hAnsi="Calibri" w:cs="Calibri"/>
          <w:sz w:val="22"/>
          <w:szCs w:val="22"/>
          <w:lang w:val="en-GB"/>
        </w:rPr>
        <w:t>6</w:t>
      </w:r>
      <w:r w:rsidRPr="00521306">
        <w:rPr>
          <w:rFonts w:ascii="Calibri" w:hAnsi="Calibri" w:cs="Calibri"/>
          <w:sz w:val="22"/>
          <w:szCs w:val="22"/>
          <w:lang w:val="en-GB"/>
        </w:rPr>
        <w:t>4.</w:t>
      </w:r>
      <w:r>
        <w:rPr>
          <w:rFonts w:ascii="Calibri" w:hAnsi="Calibri" w:cs="Calibri"/>
          <w:sz w:val="22"/>
          <w:szCs w:val="22"/>
          <w:lang w:val="en-GB"/>
        </w:rPr>
        <w:t>5</w:t>
      </w:r>
      <w:r w:rsidRPr="00521306">
        <w:rPr>
          <w:rFonts w:ascii="Calibri" w:hAnsi="Calibri" w:cs="Calibri"/>
          <w:sz w:val="22"/>
          <w:szCs w:val="22"/>
          <w:lang w:val="en-GB"/>
        </w:rPr>
        <w:t xml:space="preserve"> billion and a</w:t>
      </w:r>
      <w:r w:rsidR="00A46981">
        <w:rPr>
          <w:rFonts w:ascii="Calibri" w:hAnsi="Calibri" w:cs="Calibri"/>
          <w:sz w:val="22"/>
          <w:szCs w:val="22"/>
          <w:lang w:val="en-GB"/>
        </w:rPr>
        <w:t>n enterprise value</w:t>
      </w:r>
      <w:r w:rsidRPr="00521306">
        <w:rPr>
          <w:rFonts w:ascii="Calibri" w:hAnsi="Calibri" w:cs="Calibri"/>
          <w:sz w:val="22"/>
          <w:szCs w:val="22"/>
          <w:lang w:val="en-GB"/>
        </w:rPr>
        <w:t xml:space="preserve"> net income of $</w:t>
      </w:r>
      <w:r w:rsidR="00A46981">
        <w:rPr>
          <w:rFonts w:ascii="Calibri" w:hAnsi="Calibri" w:cs="Calibri"/>
          <w:sz w:val="22"/>
          <w:szCs w:val="22"/>
          <w:lang w:val="en-GB"/>
        </w:rPr>
        <w:t>78.57</w:t>
      </w:r>
      <w:r w:rsidRPr="00521306">
        <w:rPr>
          <w:rFonts w:ascii="Calibri" w:hAnsi="Calibri" w:cs="Calibri"/>
          <w:sz w:val="22"/>
          <w:szCs w:val="22"/>
          <w:lang w:val="en-GB"/>
        </w:rPr>
        <w:t xml:space="preserve"> billion, resulting in a P/E ratio of approximately </w:t>
      </w:r>
      <w:r w:rsidR="00A46981">
        <w:rPr>
          <w:rFonts w:ascii="Calibri" w:hAnsi="Calibri" w:cs="Calibri"/>
          <w:sz w:val="22"/>
          <w:szCs w:val="22"/>
          <w:lang w:val="en-GB"/>
        </w:rPr>
        <w:t>23.1</w:t>
      </w:r>
      <w:r w:rsidRPr="00521306">
        <w:rPr>
          <w:rFonts w:ascii="Calibri" w:hAnsi="Calibri" w:cs="Calibri"/>
          <w:sz w:val="22"/>
          <w:szCs w:val="22"/>
          <w:lang w:val="en-GB"/>
        </w:rPr>
        <w:t xml:space="preserve">. Its EV/Revenue ratio stands at </w:t>
      </w:r>
      <w:r w:rsidR="00A46981">
        <w:rPr>
          <w:rFonts w:ascii="Calibri" w:hAnsi="Calibri" w:cs="Calibri"/>
          <w:sz w:val="22"/>
          <w:szCs w:val="22"/>
          <w:lang w:val="en-GB"/>
        </w:rPr>
        <w:t>3.21</w:t>
      </w:r>
      <w:r w:rsidRPr="00521306">
        <w:rPr>
          <w:rFonts w:ascii="Calibri" w:hAnsi="Calibri" w:cs="Calibri"/>
          <w:sz w:val="22"/>
          <w:szCs w:val="22"/>
          <w:lang w:val="en-GB"/>
        </w:rPr>
        <w:t xml:space="preserve">x, and its EV/EBITDA ratio is </w:t>
      </w:r>
      <w:r w:rsidR="00A46981">
        <w:rPr>
          <w:rFonts w:ascii="Calibri" w:hAnsi="Calibri" w:cs="Calibri"/>
          <w:sz w:val="22"/>
          <w:szCs w:val="22"/>
          <w:lang w:val="en-GB"/>
        </w:rPr>
        <w:t>18.46</w:t>
      </w:r>
      <w:r w:rsidRPr="00521306">
        <w:rPr>
          <w:rFonts w:ascii="Calibri" w:hAnsi="Calibri" w:cs="Calibri"/>
          <w:sz w:val="22"/>
          <w:szCs w:val="22"/>
          <w:lang w:val="en-GB"/>
        </w:rPr>
        <w:t>x. Marriott’s peers include:</w:t>
      </w:r>
    </w:p>
    <w:p w14:paraId="2CAF8B4B" w14:textId="2858F913" w:rsidR="00521306" w:rsidRPr="00521306" w:rsidRDefault="00521306" w:rsidP="00776AE2">
      <w:pPr>
        <w:numPr>
          <w:ilvl w:val="0"/>
          <w:numId w:val="1"/>
        </w:numPr>
        <w:spacing w:line="276" w:lineRule="auto"/>
        <w:rPr>
          <w:rFonts w:ascii="Calibri" w:hAnsi="Calibri" w:cs="Calibri"/>
          <w:sz w:val="22"/>
          <w:szCs w:val="22"/>
          <w:lang w:val="en-GB"/>
        </w:rPr>
      </w:pPr>
      <w:r w:rsidRPr="00521306">
        <w:rPr>
          <w:rFonts w:ascii="Calibri" w:hAnsi="Calibri" w:cs="Calibri"/>
          <w:b/>
          <w:bCs/>
          <w:sz w:val="22"/>
          <w:szCs w:val="22"/>
          <w:lang w:val="en-GB"/>
        </w:rPr>
        <w:t>Hilton Worldwide Holdings Inc.</w:t>
      </w:r>
      <w:r w:rsidRPr="00521306">
        <w:rPr>
          <w:rFonts w:ascii="Calibri" w:hAnsi="Calibri" w:cs="Calibri"/>
          <w:sz w:val="22"/>
          <w:szCs w:val="22"/>
          <w:lang w:val="en-GB"/>
        </w:rPr>
        <w:t xml:space="preserve">: Hilton, another major global hotel chain, reported $11.9 billion in revenue and has a P/E ratio of </w:t>
      </w:r>
      <w:r w:rsidR="00A46981">
        <w:rPr>
          <w:rFonts w:ascii="Calibri" w:hAnsi="Calibri" w:cs="Calibri"/>
          <w:sz w:val="22"/>
          <w:szCs w:val="22"/>
          <w:lang w:val="en-GB"/>
        </w:rPr>
        <w:t>45.59</w:t>
      </w:r>
      <w:r w:rsidRPr="00521306">
        <w:rPr>
          <w:rFonts w:ascii="Calibri" w:hAnsi="Calibri" w:cs="Calibri"/>
          <w:sz w:val="22"/>
          <w:szCs w:val="22"/>
          <w:lang w:val="en-GB"/>
        </w:rPr>
        <w:t xml:space="preserve">. Hilton’s EV/Revenue ratio is </w:t>
      </w:r>
      <w:r w:rsidR="00A46981">
        <w:rPr>
          <w:rFonts w:ascii="Calibri" w:hAnsi="Calibri" w:cs="Calibri"/>
          <w:sz w:val="22"/>
          <w:szCs w:val="22"/>
          <w:lang w:val="en-GB"/>
        </w:rPr>
        <w:t>5.86</w:t>
      </w:r>
      <w:r w:rsidRPr="00521306">
        <w:rPr>
          <w:rFonts w:ascii="Calibri" w:hAnsi="Calibri" w:cs="Calibri"/>
          <w:sz w:val="22"/>
          <w:szCs w:val="22"/>
          <w:lang w:val="en-GB"/>
        </w:rPr>
        <w:t xml:space="preserve">x, and its EV/EBITDA ratio is </w:t>
      </w:r>
      <w:r w:rsidR="00A46981">
        <w:rPr>
          <w:rFonts w:ascii="Calibri" w:hAnsi="Calibri" w:cs="Calibri"/>
          <w:sz w:val="22"/>
          <w:szCs w:val="22"/>
          <w:lang w:val="en-GB"/>
        </w:rPr>
        <w:t>26.04</w:t>
      </w:r>
      <w:r w:rsidRPr="00521306">
        <w:rPr>
          <w:rFonts w:ascii="Calibri" w:hAnsi="Calibri" w:cs="Calibri"/>
          <w:sz w:val="22"/>
          <w:szCs w:val="22"/>
          <w:lang w:val="en-GB"/>
        </w:rPr>
        <w:t>x. Hilton’s scale and global footprint make it a direct competitor.</w:t>
      </w:r>
    </w:p>
    <w:p w14:paraId="657F81B4" w14:textId="2ACC278A" w:rsidR="00521306" w:rsidRPr="00521306" w:rsidRDefault="00521306" w:rsidP="00776AE2">
      <w:pPr>
        <w:numPr>
          <w:ilvl w:val="0"/>
          <w:numId w:val="1"/>
        </w:numPr>
        <w:spacing w:line="276" w:lineRule="auto"/>
        <w:rPr>
          <w:rFonts w:ascii="Calibri" w:hAnsi="Calibri" w:cs="Calibri"/>
          <w:sz w:val="22"/>
          <w:szCs w:val="22"/>
          <w:lang w:val="en-GB"/>
        </w:rPr>
      </w:pPr>
      <w:r w:rsidRPr="00521306">
        <w:rPr>
          <w:rFonts w:ascii="Calibri" w:hAnsi="Calibri" w:cs="Calibri"/>
          <w:b/>
          <w:bCs/>
          <w:sz w:val="22"/>
          <w:szCs w:val="22"/>
          <w:lang w:val="en-GB"/>
        </w:rPr>
        <w:t>Hyatt Hotels Corporation</w:t>
      </w:r>
      <w:r w:rsidRPr="00521306">
        <w:rPr>
          <w:rFonts w:ascii="Calibri" w:hAnsi="Calibri" w:cs="Calibri"/>
          <w:sz w:val="22"/>
          <w:szCs w:val="22"/>
          <w:lang w:val="en-GB"/>
        </w:rPr>
        <w:t xml:space="preserve">: Hyatt, known for its upscale hotels, achieved $5.6 billion in revenue, with a P/E ratio of </w:t>
      </w:r>
      <w:r w:rsidR="00A46981">
        <w:rPr>
          <w:rFonts w:ascii="Calibri" w:hAnsi="Calibri" w:cs="Calibri"/>
          <w:sz w:val="22"/>
          <w:szCs w:val="22"/>
          <w:lang w:val="en-GB"/>
        </w:rPr>
        <w:t>16.02</w:t>
      </w:r>
      <w:r w:rsidRPr="00521306">
        <w:rPr>
          <w:rFonts w:ascii="Calibri" w:hAnsi="Calibri" w:cs="Calibri"/>
          <w:sz w:val="22"/>
          <w:szCs w:val="22"/>
          <w:lang w:val="en-GB"/>
        </w:rPr>
        <w:t xml:space="preserve">. Its EV/Revenue ratio is </w:t>
      </w:r>
      <w:r w:rsidR="00A46981">
        <w:rPr>
          <w:rFonts w:ascii="Calibri" w:hAnsi="Calibri" w:cs="Calibri"/>
          <w:sz w:val="22"/>
          <w:szCs w:val="22"/>
          <w:lang w:val="en-GB"/>
        </w:rPr>
        <w:t>6.7</w:t>
      </w:r>
      <w:r w:rsidRPr="00521306">
        <w:rPr>
          <w:rFonts w:ascii="Calibri" w:hAnsi="Calibri" w:cs="Calibri"/>
          <w:sz w:val="22"/>
          <w:szCs w:val="22"/>
          <w:lang w:val="en-GB"/>
        </w:rPr>
        <w:t xml:space="preserve">x, and its EV/EBITDA ratio is </w:t>
      </w:r>
      <w:r w:rsidR="00A46981">
        <w:rPr>
          <w:rFonts w:ascii="Calibri" w:hAnsi="Calibri" w:cs="Calibri"/>
          <w:sz w:val="22"/>
          <w:szCs w:val="22"/>
          <w:lang w:val="en-GB"/>
        </w:rPr>
        <w:t>2.56</w:t>
      </w:r>
      <w:r w:rsidRPr="00521306">
        <w:rPr>
          <w:rFonts w:ascii="Calibri" w:hAnsi="Calibri" w:cs="Calibri"/>
          <w:sz w:val="22"/>
          <w:szCs w:val="22"/>
          <w:lang w:val="en-GB"/>
        </w:rPr>
        <w:t>x. Hyatt’s focus on luxury segments positions it similarly to Marriott.</w:t>
      </w:r>
    </w:p>
    <w:p w14:paraId="679FD5D7" w14:textId="78A0F39A" w:rsidR="00521306" w:rsidRPr="00521306" w:rsidRDefault="00521306" w:rsidP="00776AE2">
      <w:pPr>
        <w:numPr>
          <w:ilvl w:val="0"/>
          <w:numId w:val="1"/>
        </w:numPr>
        <w:spacing w:line="276" w:lineRule="auto"/>
        <w:rPr>
          <w:rFonts w:ascii="Calibri" w:hAnsi="Calibri" w:cs="Calibri"/>
          <w:sz w:val="22"/>
          <w:szCs w:val="22"/>
          <w:lang w:val="en-GB"/>
        </w:rPr>
      </w:pPr>
      <w:r w:rsidRPr="00521306">
        <w:rPr>
          <w:rFonts w:ascii="Calibri" w:hAnsi="Calibri" w:cs="Calibri"/>
          <w:b/>
          <w:bCs/>
          <w:sz w:val="22"/>
          <w:szCs w:val="22"/>
          <w:lang w:val="en-GB"/>
        </w:rPr>
        <w:t>Intercontinental Hotels Group PLC</w:t>
      </w:r>
      <w:r w:rsidRPr="00521306">
        <w:rPr>
          <w:rFonts w:ascii="Calibri" w:hAnsi="Calibri" w:cs="Calibri"/>
          <w:sz w:val="22"/>
          <w:szCs w:val="22"/>
          <w:lang w:val="en-GB"/>
        </w:rPr>
        <w:t xml:space="preserve">: Intercontinental, a significant player in the hotel industry, reported $5.4 billion in revenue, with a P/E ratio of </w:t>
      </w:r>
      <w:r w:rsidR="00A46981">
        <w:rPr>
          <w:rFonts w:ascii="Calibri" w:hAnsi="Calibri" w:cs="Calibri"/>
          <w:sz w:val="22"/>
          <w:szCs w:val="22"/>
          <w:lang w:val="en-GB"/>
        </w:rPr>
        <w:t>19.8</w:t>
      </w:r>
      <w:r w:rsidRPr="00521306">
        <w:rPr>
          <w:rFonts w:ascii="Calibri" w:hAnsi="Calibri" w:cs="Calibri"/>
          <w:sz w:val="22"/>
          <w:szCs w:val="22"/>
          <w:lang w:val="en-GB"/>
        </w:rPr>
        <w:t xml:space="preserve">. Its EV/Revenue ratio is about </w:t>
      </w:r>
      <w:r w:rsidR="00A46981">
        <w:rPr>
          <w:rFonts w:ascii="Calibri" w:hAnsi="Calibri" w:cs="Calibri"/>
          <w:sz w:val="22"/>
          <w:szCs w:val="22"/>
          <w:lang w:val="en-GB"/>
        </w:rPr>
        <w:t>3.96</w:t>
      </w:r>
      <w:r w:rsidRPr="00521306">
        <w:rPr>
          <w:rFonts w:ascii="Calibri" w:hAnsi="Calibri" w:cs="Calibri"/>
          <w:sz w:val="22"/>
          <w:szCs w:val="22"/>
          <w:lang w:val="en-GB"/>
        </w:rPr>
        <w:t>x, and its EV/EBITDA ratio is 15x. Its extensive global network makes it a comparable entity to Marriott.</w:t>
      </w:r>
    </w:p>
    <w:p w14:paraId="79DB982E" w14:textId="4E044A31" w:rsidR="00521306" w:rsidRPr="00521306" w:rsidRDefault="00521306" w:rsidP="00776AE2">
      <w:pPr>
        <w:spacing w:line="276" w:lineRule="auto"/>
        <w:rPr>
          <w:rFonts w:ascii="Calibri" w:hAnsi="Calibri" w:cs="Calibri"/>
          <w:sz w:val="22"/>
          <w:szCs w:val="22"/>
          <w:lang w:val="en-GB"/>
        </w:rPr>
      </w:pPr>
      <w:r w:rsidRPr="00521306">
        <w:rPr>
          <w:rFonts w:ascii="Calibri" w:hAnsi="Calibri" w:cs="Calibri"/>
          <w:b/>
          <w:bCs/>
          <w:sz w:val="22"/>
          <w:szCs w:val="22"/>
          <w:lang w:val="en-GB"/>
        </w:rPr>
        <w:t>Tesla Inc.</w:t>
      </w:r>
      <w:r w:rsidRPr="00521306">
        <w:rPr>
          <w:rFonts w:ascii="Calibri" w:hAnsi="Calibri" w:cs="Calibri"/>
          <w:sz w:val="22"/>
          <w:szCs w:val="22"/>
          <w:lang w:val="en-GB"/>
        </w:rPr>
        <w:t xml:space="preserve"> is a leading innovator in electric vehicles and renewable energy solutions. Tesla’s revenue of $94.7 billion and net income of $12.6 billion result in a high P/E ratio of 50. The company’s EV/Revenue ratio is approximately </w:t>
      </w:r>
      <w:r w:rsidR="00A46981">
        <w:rPr>
          <w:rFonts w:ascii="Calibri" w:hAnsi="Calibri" w:cs="Calibri"/>
          <w:sz w:val="22"/>
          <w:szCs w:val="22"/>
          <w:lang w:val="en-GB"/>
        </w:rPr>
        <w:t>6.87</w:t>
      </w:r>
      <w:r w:rsidRPr="00521306">
        <w:rPr>
          <w:rFonts w:ascii="Calibri" w:hAnsi="Calibri" w:cs="Calibri"/>
          <w:sz w:val="22"/>
          <w:szCs w:val="22"/>
          <w:lang w:val="en-GB"/>
        </w:rPr>
        <w:t xml:space="preserve">x, and its EV/EBITDA ratio is </w:t>
      </w:r>
      <w:r w:rsidR="00A46981">
        <w:rPr>
          <w:rFonts w:ascii="Calibri" w:hAnsi="Calibri" w:cs="Calibri"/>
          <w:sz w:val="22"/>
          <w:szCs w:val="22"/>
          <w:lang w:val="en-GB"/>
        </w:rPr>
        <w:t>50.65</w:t>
      </w:r>
      <w:r w:rsidRPr="00521306">
        <w:rPr>
          <w:rFonts w:ascii="Calibri" w:hAnsi="Calibri" w:cs="Calibri"/>
          <w:sz w:val="22"/>
          <w:szCs w:val="22"/>
          <w:lang w:val="en-GB"/>
        </w:rPr>
        <w:t>x. Tesla’s peers include:</w:t>
      </w:r>
    </w:p>
    <w:p w14:paraId="786A1F4F" w14:textId="7E59E1A6" w:rsidR="00521306" w:rsidRPr="00521306" w:rsidRDefault="00521306" w:rsidP="00776AE2">
      <w:pPr>
        <w:numPr>
          <w:ilvl w:val="0"/>
          <w:numId w:val="2"/>
        </w:numPr>
        <w:spacing w:line="276" w:lineRule="auto"/>
        <w:rPr>
          <w:rFonts w:ascii="Calibri" w:hAnsi="Calibri" w:cs="Calibri"/>
          <w:sz w:val="22"/>
          <w:szCs w:val="22"/>
          <w:lang w:val="en-GB"/>
        </w:rPr>
      </w:pPr>
      <w:r w:rsidRPr="00521306">
        <w:rPr>
          <w:rFonts w:ascii="Calibri" w:hAnsi="Calibri" w:cs="Calibri"/>
          <w:b/>
          <w:bCs/>
          <w:sz w:val="22"/>
          <w:szCs w:val="22"/>
          <w:lang w:val="en-GB"/>
        </w:rPr>
        <w:t>BYD Company Limited</w:t>
      </w:r>
      <w:r w:rsidRPr="00521306">
        <w:rPr>
          <w:rFonts w:ascii="Calibri" w:hAnsi="Calibri" w:cs="Calibri"/>
          <w:sz w:val="22"/>
          <w:szCs w:val="22"/>
          <w:lang w:val="en-GB"/>
        </w:rPr>
        <w:t xml:space="preserve">: A major competitor in electric vehicles, BYD reported $60.1 billion in revenue with a P/E ratio of </w:t>
      </w:r>
      <w:r w:rsidR="00A46981">
        <w:rPr>
          <w:rFonts w:ascii="Calibri" w:hAnsi="Calibri" w:cs="Calibri"/>
          <w:sz w:val="22"/>
          <w:szCs w:val="22"/>
          <w:lang w:val="en-GB"/>
        </w:rPr>
        <w:t>18.95</w:t>
      </w:r>
      <w:r w:rsidRPr="00521306">
        <w:rPr>
          <w:rFonts w:ascii="Calibri" w:hAnsi="Calibri" w:cs="Calibri"/>
          <w:sz w:val="22"/>
          <w:szCs w:val="22"/>
          <w:lang w:val="en-GB"/>
        </w:rPr>
        <w:t xml:space="preserve">. Its EV/Revenue ratio is </w:t>
      </w:r>
      <w:r w:rsidR="00A46981">
        <w:rPr>
          <w:rFonts w:ascii="Calibri" w:hAnsi="Calibri" w:cs="Calibri"/>
          <w:sz w:val="22"/>
          <w:szCs w:val="22"/>
          <w:lang w:val="en-GB"/>
        </w:rPr>
        <w:t>1.01</w:t>
      </w:r>
      <w:r w:rsidRPr="00521306">
        <w:rPr>
          <w:rFonts w:ascii="Calibri" w:hAnsi="Calibri" w:cs="Calibri"/>
          <w:sz w:val="22"/>
          <w:szCs w:val="22"/>
          <w:lang w:val="en-GB"/>
        </w:rPr>
        <w:t xml:space="preserve">x, and its EV/EBITDA ratio is </w:t>
      </w:r>
      <w:r w:rsidR="00A46981">
        <w:rPr>
          <w:rFonts w:ascii="Calibri" w:hAnsi="Calibri" w:cs="Calibri"/>
          <w:sz w:val="22"/>
          <w:szCs w:val="22"/>
          <w:lang w:val="en-GB"/>
        </w:rPr>
        <w:t>6.57</w:t>
      </w:r>
      <w:r w:rsidRPr="00521306">
        <w:rPr>
          <w:rFonts w:ascii="Calibri" w:hAnsi="Calibri" w:cs="Calibri"/>
          <w:sz w:val="22"/>
          <w:szCs w:val="22"/>
          <w:lang w:val="en-GB"/>
        </w:rPr>
        <w:t>x, making it a key player in the EV space.</w:t>
      </w:r>
    </w:p>
    <w:p w14:paraId="1A400A9E" w14:textId="65DA404E" w:rsidR="00521306" w:rsidRPr="00521306" w:rsidRDefault="00521306" w:rsidP="00776AE2">
      <w:pPr>
        <w:numPr>
          <w:ilvl w:val="0"/>
          <w:numId w:val="2"/>
        </w:numPr>
        <w:spacing w:line="276" w:lineRule="auto"/>
        <w:rPr>
          <w:rFonts w:ascii="Calibri" w:hAnsi="Calibri" w:cs="Calibri"/>
          <w:sz w:val="22"/>
          <w:szCs w:val="22"/>
          <w:lang w:val="en-GB"/>
        </w:rPr>
      </w:pPr>
      <w:r w:rsidRPr="00521306">
        <w:rPr>
          <w:rFonts w:ascii="Calibri" w:hAnsi="Calibri" w:cs="Calibri"/>
          <w:b/>
          <w:bCs/>
          <w:sz w:val="22"/>
          <w:szCs w:val="22"/>
          <w:lang w:val="en-GB"/>
        </w:rPr>
        <w:t>Ford Motor Company</w:t>
      </w:r>
      <w:r w:rsidRPr="00521306">
        <w:rPr>
          <w:rFonts w:ascii="Calibri" w:hAnsi="Calibri" w:cs="Calibri"/>
          <w:sz w:val="22"/>
          <w:szCs w:val="22"/>
          <w:lang w:val="en-GB"/>
        </w:rPr>
        <w:t xml:space="preserve">: Ford, a traditional automaker transitioning to electric vehicles, achieved $158.1 billion in revenue and has a P/E ratio of </w:t>
      </w:r>
      <w:r w:rsidR="00C47C8C">
        <w:rPr>
          <w:rFonts w:ascii="Calibri" w:hAnsi="Calibri" w:cs="Calibri"/>
          <w:sz w:val="22"/>
          <w:szCs w:val="22"/>
          <w:lang w:val="en-GB"/>
        </w:rPr>
        <w:t>11.44</w:t>
      </w:r>
      <w:r w:rsidRPr="00521306">
        <w:rPr>
          <w:rFonts w:ascii="Calibri" w:hAnsi="Calibri" w:cs="Calibri"/>
          <w:sz w:val="22"/>
          <w:szCs w:val="22"/>
          <w:lang w:val="en-GB"/>
        </w:rPr>
        <w:t xml:space="preserve">. Its EV/Revenue ratio is </w:t>
      </w:r>
      <w:r w:rsidR="00C47C8C">
        <w:rPr>
          <w:rFonts w:ascii="Calibri" w:hAnsi="Calibri" w:cs="Calibri"/>
          <w:sz w:val="22"/>
          <w:szCs w:val="22"/>
          <w:lang w:val="en-GB"/>
        </w:rPr>
        <w:t>0.9</w:t>
      </w:r>
      <w:r w:rsidRPr="00521306">
        <w:rPr>
          <w:rFonts w:ascii="Calibri" w:hAnsi="Calibri" w:cs="Calibri"/>
          <w:sz w:val="22"/>
          <w:szCs w:val="22"/>
          <w:lang w:val="en-GB"/>
        </w:rPr>
        <w:t xml:space="preserve">x, and its EV/EBITDA ratio is </w:t>
      </w:r>
      <w:r w:rsidR="00C47C8C">
        <w:rPr>
          <w:rFonts w:ascii="Calibri" w:hAnsi="Calibri" w:cs="Calibri"/>
          <w:sz w:val="22"/>
          <w:szCs w:val="22"/>
          <w:lang w:val="en-GB"/>
        </w:rPr>
        <w:t>14.51</w:t>
      </w:r>
      <w:r w:rsidRPr="00521306">
        <w:rPr>
          <w:rFonts w:ascii="Calibri" w:hAnsi="Calibri" w:cs="Calibri"/>
          <w:sz w:val="22"/>
          <w:szCs w:val="22"/>
          <w:lang w:val="en-GB"/>
        </w:rPr>
        <w:t>x. Ford’s significant market presence and EV initiatives position it as a relevant peer.</w:t>
      </w:r>
    </w:p>
    <w:p w14:paraId="25E41F0D" w14:textId="18A00D86" w:rsidR="00521306" w:rsidRPr="00521306" w:rsidRDefault="00521306" w:rsidP="00776AE2">
      <w:pPr>
        <w:numPr>
          <w:ilvl w:val="0"/>
          <w:numId w:val="2"/>
        </w:numPr>
        <w:spacing w:line="276" w:lineRule="auto"/>
        <w:rPr>
          <w:rFonts w:ascii="Calibri" w:hAnsi="Calibri" w:cs="Calibri"/>
          <w:sz w:val="22"/>
          <w:szCs w:val="22"/>
          <w:lang w:val="en-GB"/>
        </w:rPr>
      </w:pPr>
      <w:r w:rsidRPr="00521306">
        <w:rPr>
          <w:rFonts w:ascii="Calibri" w:hAnsi="Calibri" w:cs="Calibri"/>
          <w:b/>
          <w:bCs/>
          <w:sz w:val="22"/>
          <w:szCs w:val="22"/>
          <w:lang w:val="en-GB"/>
        </w:rPr>
        <w:t>General Motors Company</w:t>
      </w:r>
      <w:r w:rsidRPr="00521306">
        <w:rPr>
          <w:rFonts w:ascii="Calibri" w:hAnsi="Calibri" w:cs="Calibri"/>
          <w:sz w:val="22"/>
          <w:szCs w:val="22"/>
          <w:lang w:val="en-GB"/>
        </w:rPr>
        <w:t xml:space="preserve">: </w:t>
      </w:r>
      <w:proofErr w:type="gramStart"/>
      <w:r w:rsidRPr="00521306">
        <w:rPr>
          <w:rFonts w:ascii="Calibri" w:hAnsi="Calibri" w:cs="Calibri"/>
          <w:sz w:val="22"/>
          <w:szCs w:val="22"/>
          <w:lang w:val="en-GB"/>
        </w:rPr>
        <w:t>Similar to</w:t>
      </w:r>
      <w:proofErr w:type="gramEnd"/>
      <w:r w:rsidRPr="00521306">
        <w:rPr>
          <w:rFonts w:ascii="Calibri" w:hAnsi="Calibri" w:cs="Calibri"/>
          <w:sz w:val="22"/>
          <w:szCs w:val="22"/>
          <w:lang w:val="en-GB"/>
        </w:rPr>
        <w:t xml:space="preserve"> Ford, General Motors is investing heavily in electric vehicles, with $156.7 billion in revenue and a P/E ratio of </w:t>
      </w:r>
      <w:r w:rsidR="00C47C8C">
        <w:rPr>
          <w:rFonts w:ascii="Calibri" w:hAnsi="Calibri" w:cs="Calibri"/>
          <w:sz w:val="22"/>
          <w:szCs w:val="22"/>
          <w:lang w:val="en-GB"/>
        </w:rPr>
        <w:t>5.44</w:t>
      </w:r>
      <w:r w:rsidRPr="00521306">
        <w:rPr>
          <w:rFonts w:ascii="Calibri" w:hAnsi="Calibri" w:cs="Calibri"/>
          <w:sz w:val="22"/>
          <w:szCs w:val="22"/>
          <w:lang w:val="en-GB"/>
        </w:rPr>
        <w:t xml:space="preserve">. Its EV/Revenue ratio is </w:t>
      </w:r>
      <w:r w:rsidR="00C47C8C">
        <w:rPr>
          <w:rFonts w:ascii="Calibri" w:hAnsi="Calibri" w:cs="Calibri"/>
          <w:sz w:val="22"/>
          <w:szCs w:val="22"/>
          <w:lang w:val="en-GB"/>
        </w:rPr>
        <w:t>0.84</w:t>
      </w:r>
      <w:r w:rsidRPr="00521306">
        <w:rPr>
          <w:rFonts w:ascii="Calibri" w:hAnsi="Calibri" w:cs="Calibri"/>
          <w:sz w:val="22"/>
          <w:szCs w:val="22"/>
          <w:lang w:val="en-GB"/>
        </w:rPr>
        <w:t xml:space="preserve">x, and its EV/EBITDA ratio is </w:t>
      </w:r>
      <w:r w:rsidR="00C47C8C">
        <w:rPr>
          <w:rFonts w:ascii="Calibri" w:hAnsi="Calibri" w:cs="Calibri"/>
          <w:sz w:val="22"/>
          <w:szCs w:val="22"/>
          <w:lang w:val="en-GB"/>
        </w:rPr>
        <w:t>5.94</w:t>
      </w:r>
      <w:r w:rsidRPr="00521306">
        <w:rPr>
          <w:rFonts w:ascii="Calibri" w:hAnsi="Calibri" w:cs="Calibri"/>
          <w:sz w:val="22"/>
          <w:szCs w:val="22"/>
          <w:lang w:val="en-GB"/>
        </w:rPr>
        <w:t>x, making it a direct competitor in the automotive sector.</w:t>
      </w:r>
    </w:p>
    <w:p w14:paraId="3B87EC6C" w14:textId="2F8EBEAE" w:rsidR="00521306" w:rsidRPr="00521306" w:rsidRDefault="00521306" w:rsidP="00776AE2">
      <w:pPr>
        <w:spacing w:line="276" w:lineRule="auto"/>
        <w:rPr>
          <w:rFonts w:ascii="Calibri" w:hAnsi="Calibri" w:cs="Calibri"/>
          <w:sz w:val="22"/>
          <w:szCs w:val="22"/>
          <w:lang w:val="en-GB"/>
        </w:rPr>
      </w:pPr>
      <w:r w:rsidRPr="00521306">
        <w:rPr>
          <w:rFonts w:ascii="Calibri" w:hAnsi="Calibri" w:cs="Calibri"/>
          <w:b/>
          <w:bCs/>
          <w:sz w:val="22"/>
          <w:szCs w:val="22"/>
          <w:lang w:val="en-GB"/>
        </w:rPr>
        <w:t>Netflix Inc.</w:t>
      </w:r>
      <w:r w:rsidRPr="00521306">
        <w:rPr>
          <w:rFonts w:ascii="Calibri" w:hAnsi="Calibri" w:cs="Calibri"/>
          <w:sz w:val="22"/>
          <w:szCs w:val="22"/>
          <w:lang w:val="en-GB"/>
        </w:rPr>
        <w:t xml:space="preserve"> is a leading player in the streaming media industry. With a revenue of $37.7 billion and a net income of $5.4 billion, Netflix’s P/E ratio is approximately </w:t>
      </w:r>
      <w:r w:rsidR="00C47C8C">
        <w:rPr>
          <w:rFonts w:ascii="Calibri" w:hAnsi="Calibri" w:cs="Calibri"/>
          <w:sz w:val="22"/>
          <w:szCs w:val="22"/>
          <w:lang w:val="en-GB"/>
        </w:rPr>
        <w:t>42.18</w:t>
      </w:r>
      <w:r w:rsidRPr="00521306">
        <w:rPr>
          <w:rFonts w:ascii="Calibri" w:hAnsi="Calibri" w:cs="Calibri"/>
          <w:sz w:val="22"/>
          <w:szCs w:val="22"/>
          <w:lang w:val="en-GB"/>
        </w:rPr>
        <w:t xml:space="preserve">. Its EV/Revenue ratio is about </w:t>
      </w:r>
      <w:r w:rsidR="00C47C8C">
        <w:rPr>
          <w:rFonts w:ascii="Calibri" w:hAnsi="Calibri" w:cs="Calibri"/>
          <w:sz w:val="22"/>
          <w:szCs w:val="22"/>
          <w:lang w:val="en-GB"/>
        </w:rPr>
        <w:t>8.18</w:t>
      </w:r>
      <w:r w:rsidRPr="00521306">
        <w:rPr>
          <w:rFonts w:ascii="Calibri" w:hAnsi="Calibri" w:cs="Calibri"/>
          <w:sz w:val="22"/>
          <w:szCs w:val="22"/>
          <w:lang w:val="en-GB"/>
        </w:rPr>
        <w:t xml:space="preserve">x, and its EV/EBITDA ratio is </w:t>
      </w:r>
      <w:r w:rsidR="00C47C8C">
        <w:rPr>
          <w:rFonts w:ascii="Calibri" w:hAnsi="Calibri" w:cs="Calibri"/>
          <w:sz w:val="22"/>
          <w:szCs w:val="22"/>
          <w:lang w:val="en-GB"/>
        </w:rPr>
        <w:t>12.38</w:t>
      </w:r>
      <w:r w:rsidRPr="00521306">
        <w:rPr>
          <w:rFonts w:ascii="Calibri" w:hAnsi="Calibri" w:cs="Calibri"/>
          <w:sz w:val="22"/>
          <w:szCs w:val="22"/>
          <w:lang w:val="en-GB"/>
        </w:rPr>
        <w:t>x. Netflix’s peers include:</w:t>
      </w:r>
    </w:p>
    <w:p w14:paraId="6885B5A3" w14:textId="0DCF9AE4" w:rsidR="00521306" w:rsidRPr="00521306" w:rsidRDefault="00521306" w:rsidP="00776AE2">
      <w:pPr>
        <w:numPr>
          <w:ilvl w:val="0"/>
          <w:numId w:val="3"/>
        </w:numPr>
        <w:spacing w:line="276" w:lineRule="auto"/>
        <w:rPr>
          <w:rFonts w:ascii="Calibri" w:hAnsi="Calibri" w:cs="Calibri"/>
          <w:sz w:val="22"/>
          <w:szCs w:val="22"/>
          <w:lang w:val="en-GB"/>
        </w:rPr>
      </w:pPr>
      <w:r w:rsidRPr="00521306">
        <w:rPr>
          <w:rFonts w:ascii="Calibri" w:hAnsi="Calibri" w:cs="Calibri"/>
          <w:b/>
          <w:bCs/>
          <w:sz w:val="22"/>
          <w:szCs w:val="22"/>
          <w:lang w:val="en-GB"/>
        </w:rPr>
        <w:t>The Walt Disney Company</w:t>
      </w:r>
      <w:r w:rsidRPr="00521306">
        <w:rPr>
          <w:rFonts w:ascii="Calibri" w:hAnsi="Calibri" w:cs="Calibri"/>
          <w:sz w:val="22"/>
          <w:szCs w:val="22"/>
          <w:lang w:val="en-GB"/>
        </w:rPr>
        <w:t xml:space="preserve">: Disney, which has a significant presence in both traditional media and streaming, reported $90.0 billion in revenue, with a P/E ratio of </w:t>
      </w:r>
      <w:r w:rsidR="00C47C8C">
        <w:rPr>
          <w:rFonts w:ascii="Calibri" w:hAnsi="Calibri" w:cs="Calibri"/>
          <w:sz w:val="22"/>
          <w:szCs w:val="22"/>
          <w:lang w:val="en-GB"/>
        </w:rPr>
        <w:t>34.15</w:t>
      </w:r>
      <w:r w:rsidRPr="00521306">
        <w:rPr>
          <w:rFonts w:ascii="Calibri" w:hAnsi="Calibri" w:cs="Calibri"/>
          <w:sz w:val="22"/>
          <w:szCs w:val="22"/>
          <w:lang w:val="en-GB"/>
        </w:rPr>
        <w:t xml:space="preserve">. Its EV/Revenue ratio is </w:t>
      </w:r>
      <w:r w:rsidR="00C47C8C">
        <w:rPr>
          <w:rFonts w:ascii="Calibri" w:hAnsi="Calibri" w:cs="Calibri"/>
          <w:sz w:val="22"/>
          <w:szCs w:val="22"/>
          <w:lang w:val="en-GB"/>
        </w:rPr>
        <w:t>2.26</w:t>
      </w:r>
      <w:r w:rsidRPr="00521306">
        <w:rPr>
          <w:rFonts w:ascii="Calibri" w:hAnsi="Calibri" w:cs="Calibri"/>
          <w:sz w:val="22"/>
          <w:szCs w:val="22"/>
          <w:lang w:val="en-GB"/>
        </w:rPr>
        <w:t>x, and its EV/EBITDA ratio is 1</w:t>
      </w:r>
      <w:r w:rsidR="00C47C8C">
        <w:rPr>
          <w:rFonts w:ascii="Calibri" w:hAnsi="Calibri" w:cs="Calibri"/>
          <w:sz w:val="22"/>
          <w:szCs w:val="22"/>
          <w:lang w:val="en-GB"/>
        </w:rPr>
        <w:t>3.75</w:t>
      </w:r>
      <w:r w:rsidRPr="00521306">
        <w:rPr>
          <w:rFonts w:ascii="Calibri" w:hAnsi="Calibri" w:cs="Calibri"/>
          <w:sz w:val="22"/>
          <w:szCs w:val="22"/>
          <w:lang w:val="en-GB"/>
        </w:rPr>
        <w:t>x, making it a key competitor.</w:t>
      </w:r>
    </w:p>
    <w:p w14:paraId="6C961637" w14:textId="22362512" w:rsidR="00521306" w:rsidRPr="00521306" w:rsidRDefault="00521306" w:rsidP="00776AE2">
      <w:pPr>
        <w:numPr>
          <w:ilvl w:val="0"/>
          <w:numId w:val="3"/>
        </w:numPr>
        <w:spacing w:line="276" w:lineRule="auto"/>
        <w:rPr>
          <w:rFonts w:ascii="Calibri" w:hAnsi="Calibri" w:cs="Calibri"/>
          <w:sz w:val="22"/>
          <w:szCs w:val="22"/>
          <w:lang w:val="en-GB"/>
        </w:rPr>
      </w:pPr>
      <w:r w:rsidRPr="00521306">
        <w:rPr>
          <w:rFonts w:ascii="Calibri" w:hAnsi="Calibri" w:cs="Calibri"/>
          <w:b/>
          <w:bCs/>
          <w:sz w:val="22"/>
          <w:szCs w:val="22"/>
          <w:lang w:val="en-GB"/>
        </w:rPr>
        <w:t>Warner Bros. Discovery, Inc.</w:t>
      </w:r>
      <w:r w:rsidRPr="00521306">
        <w:rPr>
          <w:rFonts w:ascii="Calibri" w:hAnsi="Calibri" w:cs="Calibri"/>
          <w:sz w:val="22"/>
          <w:szCs w:val="22"/>
          <w:lang w:val="en-GB"/>
        </w:rPr>
        <w:t xml:space="preserve">: Warner Bros. Discovery focuses on media and streaming, achieving $46.0 billion in revenue, with a P/E ratio </w:t>
      </w:r>
      <w:r w:rsidR="00C47C8C">
        <w:rPr>
          <w:rFonts w:ascii="Calibri" w:hAnsi="Calibri" w:cs="Calibri"/>
          <w:sz w:val="22"/>
          <w:szCs w:val="22"/>
          <w:lang w:val="en-GB"/>
        </w:rPr>
        <w:t>of -2.71</w:t>
      </w:r>
      <w:r w:rsidRPr="00521306">
        <w:rPr>
          <w:rFonts w:ascii="Calibri" w:hAnsi="Calibri" w:cs="Calibri"/>
          <w:sz w:val="22"/>
          <w:szCs w:val="22"/>
          <w:lang w:val="en-GB"/>
        </w:rPr>
        <w:t xml:space="preserve">. Its EV/Revenue ratio is about </w:t>
      </w:r>
      <w:r w:rsidR="00C47C8C">
        <w:rPr>
          <w:rFonts w:ascii="Calibri" w:hAnsi="Calibri" w:cs="Calibri"/>
          <w:sz w:val="22"/>
          <w:szCs w:val="22"/>
          <w:lang w:val="en-GB"/>
        </w:rPr>
        <w:t>1.39</w:t>
      </w:r>
      <w:r w:rsidRPr="00521306">
        <w:rPr>
          <w:rFonts w:ascii="Calibri" w:hAnsi="Calibri" w:cs="Calibri"/>
          <w:sz w:val="22"/>
          <w:szCs w:val="22"/>
          <w:lang w:val="en-GB"/>
        </w:rPr>
        <w:t xml:space="preserve">x, and its EV/EBITDA ratio is </w:t>
      </w:r>
      <w:r w:rsidR="00C47C8C">
        <w:rPr>
          <w:rFonts w:ascii="Calibri" w:hAnsi="Calibri" w:cs="Calibri"/>
          <w:sz w:val="22"/>
          <w:szCs w:val="22"/>
          <w:lang w:val="en-GB"/>
        </w:rPr>
        <w:t>4.56</w:t>
      </w:r>
      <w:r w:rsidRPr="00521306">
        <w:rPr>
          <w:rFonts w:ascii="Calibri" w:hAnsi="Calibri" w:cs="Calibri"/>
          <w:sz w:val="22"/>
          <w:szCs w:val="22"/>
          <w:lang w:val="en-GB"/>
        </w:rPr>
        <w:t>x, positioning it as a relevant peer.</w:t>
      </w:r>
    </w:p>
    <w:p w14:paraId="54DF1A50" w14:textId="65149384" w:rsidR="00521306" w:rsidRPr="00521306" w:rsidRDefault="00521306" w:rsidP="00776AE2">
      <w:pPr>
        <w:numPr>
          <w:ilvl w:val="0"/>
          <w:numId w:val="3"/>
        </w:numPr>
        <w:spacing w:line="276" w:lineRule="auto"/>
        <w:rPr>
          <w:rFonts w:ascii="Calibri" w:hAnsi="Calibri" w:cs="Calibri"/>
          <w:sz w:val="22"/>
          <w:szCs w:val="22"/>
          <w:lang w:val="en-GB"/>
        </w:rPr>
      </w:pPr>
      <w:r w:rsidRPr="00521306">
        <w:rPr>
          <w:rFonts w:ascii="Calibri" w:hAnsi="Calibri" w:cs="Calibri"/>
          <w:b/>
          <w:bCs/>
          <w:sz w:val="22"/>
          <w:szCs w:val="22"/>
          <w:lang w:val="en-GB"/>
        </w:rPr>
        <w:t>Amazon.com</w:t>
      </w:r>
      <w:r w:rsidRPr="00521306">
        <w:rPr>
          <w:rFonts w:ascii="Calibri" w:hAnsi="Calibri" w:cs="Calibri"/>
          <w:sz w:val="22"/>
          <w:szCs w:val="22"/>
          <w:lang w:val="en-GB"/>
        </w:rPr>
        <w:t>: While primarily an e-commerce giant, Amazon’s Prime Video service makes it a competitor in streaming. Amazon’s revenue of $</w:t>
      </w:r>
      <w:r w:rsidR="00C47C8C">
        <w:rPr>
          <w:rFonts w:ascii="Calibri" w:hAnsi="Calibri" w:cs="Calibri"/>
          <w:sz w:val="22"/>
          <w:szCs w:val="22"/>
          <w:lang w:val="en-GB"/>
        </w:rPr>
        <w:t>604.33</w:t>
      </w:r>
      <w:r w:rsidRPr="00521306">
        <w:rPr>
          <w:rFonts w:ascii="Calibri" w:hAnsi="Calibri" w:cs="Calibri"/>
          <w:sz w:val="22"/>
          <w:szCs w:val="22"/>
          <w:lang w:val="en-GB"/>
        </w:rPr>
        <w:t xml:space="preserve"> billion and high P/E ratio of </w:t>
      </w:r>
      <w:r w:rsidR="00C47C8C">
        <w:rPr>
          <w:rFonts w:ascii="Calibri" w:hAnsi="Calibri" w:cs="Calibri"/>
          <w:sz w:val="22"/>
          <w:szCs w:val="22"/>
          <w:lang w:val="en-GB"/>
        </w:rPr>
        <w:t>24.08</w:t>
      </w:r>
      <w:r w:rsidRPr="00521306">
        <w:rPr>
          <w:rFonts w:ascii="Calibri" w:hAnsi="Calibri" w:cs="Calibri"/>
          <w:sz w:val="22"/>
          <w:szCs w:val="22"/>
          <w:lang w:val="en-GB"/>
        </w:rPr>
        <w:t xml:space="preserve"> reflect its broad market presence. Its EV/Revenue ratio is 3.</w:t>
      </w:r>
      <w:r w:rsidR="00C47C8C">
        <w:rPr>
          <w:rFonts w:ascii="Calibri" w:hAnsi="Calibri" w:cs="Calibri"/>
          <w:sz w:val="22"/>
          <w:szCs w:val="22"/>
          <w:lang w:val="en-GB"/>
        </w:rPr>
        <w:t>13</w:t>
      </w:r>
      <w:r w:rsidRPr="00521306">
        <w:rPr>
          <w:rFonts w:ascii="Calibri" w:hAnsi="Calibri" w:cs="Calibri"/>
          <w:sz w:val="22"/>
          <w:szCs w:val="22"/>
          <w:lang w:val="en-GB"/>
        </w:rPr>
        <w:t xml:space="preserve">x, and its EV/EBITDA ratio is </w:t>
      </w:r>
      <w:r w:rsidR="00C47C8C">
        <w:rPr>
          <w:rFonts w:ascii="Calibri" w:hAnsi="Calibri" w:cs="Calibri"/>
          <w:sz w:val="22"/>
          <w:szCs w:val="22"/>
          <w:lang w:val="en-GB"/>
        </w:rPr>
        <w:t>17.78</w:t>
      </w:r>
      <w:r w:rsidRPr="00521306">
        <w:rPr>
          <w:rFonts w:ascii="Calibri" w:hAnsi="Calibri" w:cs="Calibri"/>
          <w:sz w:val="22"/>
          <w:szCs w:val="22"/>
          <w:lang w:val="en-GB"/>
        </w:rPr>
        <w:t>x, highlighting its substantial role in the industry.</w:t>
      </w:r>
    </w:p>
    <w:p w14:paraId="0E016348" w14:textId="6AC83519" w:rsidR="00521306" w:rsidRPr="00521306" w:rsidRDefault="00521306" w:rsidP="00776AE2">
      <w:pPr>
        <w:spacing w:line="276" w:lineRule="auto"/>
        <w:rPr>
          <w:rFonts w:ascii="Calibri" w:hAnsi="Calibri" w:cs="Calibri"/>
          <w:sz w:val="22"/>
          <w:szCs w:val="22"/>
          <w:lang w:val="en-GB"/>
        </w:rPr>
      </w:pPr>
      <w:r w:rsidRPr="00521306">
        <w:rPr>
          <w:rFonts w:ascii="Calibri" w:hAnsi="Calibri" w:cs="Calibri"/>
          <w:b/>
          <w:bCs/>
          <w:sz w:val="22"/>
          <w:szCs w:val="22"/>
          <w:lang w:val="en-GB"/>
        </w:rPr>
        <w:t>Pfizer</w:t>
      </w:r>
      <w:r w:rsidRPr="00521306">
        <w:rPr>
          <w:rFonts w:ascii="Calibri" w:hAnsi="Calibri" w:cs="Calibri"/>
          <w:sz w:val="22"/>
          <w:szCs w:val="22"/>
          <w:lang w:val="en-GB"/>
        </w:rPr>
        <w:t xml:space="preserve"> is a leading pharmaceutical company with significant drug offerings. Pfizer’s revenue of $96.1 </w:t>
      </w:r>
      <w:r w:rsidRPr="00521306">
        <w:rPr>
          <w:rFonts w:ascii="Calibri" w:hAnsi="Calibri" w:cs="Calibri"/>
          <w:sz w:val="22"/>
          <w:szCs w:val="22"/>
          <w:lang w:val="en-GB"/>
        </w:rPr>
        <w:lastRenderedPageBreak/>
        <w:t>billion and net income of $</w:t>
      </w:r>
      <w:r w:rsidR="00C47C8C">
        <w:rPr>
          <w:rFonts w:ascii="Calibri" w:hAnsi="Calibri" w:cs="Calibri"/>
          <w:sz w:val="22"/>
          <w:szCs w:val="22"/>
          <w:lang w:val="en-GB"/>
        </w:rPr>
        <w:t>55.16</w:t>
      </w:r>
      <w:r w:rsidRPr="00521306">
        <w:rPr>
          <w:rFonts w:ascii="Calibri" w:hAnsi="Calibri" w:cs="Calibri"/>
          <w:sz w:val="22"/>
          <w:szCs w:val="22"/>
          <w:lang w:val="en-GB"/>
        </w:rPr>
        <w:t xml:space="preserve"> billion result in a P/E ratio of </w:t>
      </w:r>
      <w:r w:rsidR="00C47C8C">
        <w:rPr>
          <w:rFonts w:ascii="Calibri" w:hAnsi="Calibri" w:cs="Calibri"/>
          <w:sz w:val="22"/>
          <w:szCs w:val="22"/>
          <w:lang w:val="en-GB"/>
        </w:rPr>
        <w:t>69.24</w:t>
      </w:r>
      <w:r w:rsidRPr="00521306">
        <w:rPr>
          <w:rFonts w:ascii="Calibri" w:hAnsi="Calibri" w:cs="Calibri"/>
          <w:sz w:val="22"/>
          <w:szCs w:val="22"/>
          <w:lang w:val="en-GB"/>
        </w:rPr>
        <w:t xml:space="preserve">. Its EV/Revenue ratio is about 4.0x, and its EV/EBITDA ratio is </w:t>
      </w:r>
      <w:r w:rsidR="00C47C8C">
        <w:rPr>
          <w:rFonts w:ascii="Calibri" w:hAnsi="Calibri" w:cs="Calibri"/>
          <w:sz w:val="22"/>
          <w:szCs w:val="22"/>
          <w:lang w:val="en-GB"/>
        </w:rPr>
        <w:t>40.56</w:t>
      </w:r>
      <w:r w:rsidRPr="00521306">
        <w:rPr>
          <w:rFonts w:ascii="Calibri" w:hAnsi="Calibri" w:cs="Calibri"/>
          <w:sz w:val="22"/>
          <w:szCs w:val="22"/>
          <w:lang w:val="en-GB"/>
        </w:rPr>
        <w:t>x. Pfizer’s peers include:</w:t>
      </w:r>
    </w:p>
    <w:p w14:paraId="664A6A11" w14:textId="6639DEF7" w:rsidR="00521306" w:rsidRPr="00521306" w:rsidRDefault="00521306" w:rsidP="00776AE2">
      <w:pPr>
        <w:numPr>
          <w:ilvl w:val="0"/>
          <w:numId w:val="4"/>
        </w:numPr>
        <w:spacing w:line="276" w:lineRule="auto"/>
        <w:rPr>
          <w:rFonts w:ascii="Calibri" w:hAnsi="Calibri" w:cs="Calibri"/>
          <w:sz w:val="22"/>
          <w:szCs w:val="22"/>
          <w:lang w:val="en-GB"/>
        </w:rPr>
      </w:pPr>
      <w:r w:rsidRPr="00521306">
        <w:rPr>
          <w:rFonts w:ascii="Calibri" w:hAnsi="Calibri" w:cs="Calibri"/>
          <w:b/>
          <w:bCs/>
          <w:sz w:val="22"/>
          <w:szCs w:val="22"/>
          <w:lang w:val="en-GB"/>
        </w:rPr>
        <w:t>Johnson &amp; Johnson</w:t>
      </w:r>
      <w:r w:rsidRPr="00521306">
        <w:rPr>
          <w:rFonts w:ascii="Calibri" w:hAnsi="Calibri" w:cs="Calibri"/>
          <w:sz w:val="22"/>
          <w:szCs w:val="22"/>
          <w:lang w:val="en-GB"/>
        </w:rPr>
        <w:t>: With a diversified healthcare portfolio, Johnson &amp; Johnson reported $</w:t>
      </w:r>
      <w:r w:rsidR="00C47C8C">
        <w:rPr>
          <w:rFonts w:ascii="Calibri" w:hAnsi="Calibri" w:cs="Calibri"/>
          <w:sz w:val="22"/>
          <w:szCs w:val="22"/>
          <w:lang w:val="en-GB"/>
        </w:rPr>
        <w:t>86.58</w:t>
      </w:r>
      <w:r w:rsidRPr="00521306">
        <w:rPr>
          <w:rFonts w:ascii="Calibri" w:hAnsi="Calibri" w:cs="Calibri"/>
          <w:sz w:val="22"/>
          <w:szCs w:val="22"/>
          <w:lang w:val="en-GB"/>
        </w:rPr>
        <w:t xml:space="preserve"> billion in revenue and has a P/E ratio of 2</w:t>
      </w:r>
      <w:r w:rsidR="00C47C8C">
        <w:rPr>
          <w:rFonts w:ascii="Calibri" w:hAnsi="Calibri" w:cs="Calibri"/>
          <w:sz w:val="22"/>
          <w:szCs w:val="22"/>
          <w:lang w:val="en-GB"/>
        </w:rPr>
        <w:t>5.32</w:t>
      </w:r>
      <w:r w:rsidRPr="00521306">
        <w:rPr>
          <w:rFonts w:ascii="Calibri" w:hAnsi="Calibri" w:cs="Calibri"/>
          <w:sz w:val="22"/>
          <w:szCs w:val="22"/>
          <w:lang w:val="en-GB"/>
        </w:rPr>
        <w:t xml:space="preserve">. Its EV/Revenue ratio is </w:t>
      </w:r>
      <w:r w:rsidR="00C47C8C">
        <w:rPr>
          <w:rFonts w:ascii="Calibri" w:hAnsi="Calibri" w:cs="Calibri"/>
          <w:sz w:val="22"/>
          <w:szCs w:val="22"/>
          <w:lang w:val="en-GB"/>
        </w:rPr>
        <w:t>4.84</w:t>
      </w:r>
      <w:r w:rsidRPr="00521306">
        <w:rPr>
          <w:rFonts w:ascii="Calibri" w:hAnsi="Calibri" w:cs="Calibri"/>
          <w:sz w:val="22"/>
          <w:szCs w:val="22"/>
          <w:lang w:val="en-GB"/>
        </w:rPr>
        <w:t>x, and its EV/EBITDA ratio is 1</w:t>
      </w:r>
      <w:r w:rsidR="00C47C8C">
        <w:rPr>
          <w:rFonts w:ascii="Calibri" w:hAnsi="Calibri" w:cs="Calibri"/>
          <w:sz w:val="22"/>
          <w:szCs w:val="22"/>
          <w:lang w:val="en-GB"/>
        </w:rPr>
        <w:t>5.21x</w:t>
      </w:r>
      <w:r w:rsidRPr="00521306">
        <w:rPr>
          <w:rFonts w:ascii="Calibri" w:hAnsi="Calibri" w:cs="Calibri"/>
          <w:sz w:val="22"/>
          <w:szCs w:val="22"/>
          <w:lang w:val="en-GB"/>
        </w:rPr>
        <w:t>, making it a direct competitor in the healthcare sector.</w:t>
      </w:r>
    </w:p>
    <w:p w14:paraId="4FD3EEC2" w14:textId="489C4684" w:rsidR="00521306" w:rsidRPr="00521306" w:rsidRDefault="00521306" w:rsidP="00776AE2">
      <w:pPr>
        <w:numPr>
          <w:ilvl w:val="0"/>
          <w:numId w:val="4"/>
        </w:numPr>
        <w:spacing w:line="276" w:lineRule="auto"/>
        <w:rPr>
          <w:rFonts w:ascii="Calibri" w:hAnsi="Calibri" w:cs="Calibri"/>
          <w:sz w:val="22"/>
          <w:szCs w:val="22"/>
          <w:lang w:val="en-GB"/>
        </w:rPr>
      </w:pPr>
      <w:r w:rsidRPr="00521306">
        <w:rPr>
          <w:rFonts w:ascii="Calibri" w:hAnsi="Calibri" w:cs="Calibri"/>
          <w:b/>
          <w:bCs/>
          <w:sz w:val="22"/>
          <w:szCs w:val="22"/>
          <w:lang w:val="en-GB"/>
        </w:rPr>
        <w:t>Merck &amp; Co., Inc.</w:t>
      </w:r>
      <w:r w:rsidRPr="00521306">
        <w:rPr>
          <w:rFonts w:ascii="Calibri" w:hAnsi="Calibri" w:cs="Calibri"/>
          <w:sz w:val="22"/>
          <w:szCs w:val="22"/>
          <w:lang w:val="en-GB"/>
        </w:rPr>
        <w:t>: Known for its vaccines and oncology drugs, Merck achieved $6</w:t>
      </w:r>
      <w:r w:rsidR="00C47C8C">
        <w:rPr>
          <w:rFonts w:ascii="Calibri" w:hAnsi="Calibri" w:cs="Calibri"/>
          <w:sz w:val="22"/>
          <w:szCs w:val="22"/>
          <w:lang w:val="en-GB"/>
        </w:rPr>
        <w:t>2.48</w:t>
      </w:r>
      <w:r w:rsidRPr="00521306">
        <w:rPr>
          <w:rFonts w:ascii="Calibri" w:hAnsi="Calibri" w:cs="Calibri"/>
          <w:sz w:val="22"/>
          <w:szCs w:val="22"/>
          <w:lang w:val="en-GB"/>
        </w:rPr>
        <w:t xml:space="preserve"> billion in revenue with a P/E ratio of </w:t>
      </w:r>
      <w:r w:rsidR="00C47C8C">
        <w:rPr>
          <w:rFonts w:ascii="Calibri" w:hAnsi="Calibri" w:cs="Calibri"/>
          <w:sz w:val="22"/>
          <w:szCs w:val="22"/>
          <w:lang w:val="en-GB"/>
        </w:rPr>
        <w:t>21.44</w:t>
      </w:r>
      <w:r w:rsidRPr="00521306">
        <w:rPr>
          <w:rFonts w:ascii="Calibri" w:hAnsi="Calibri" w:cs="Calibri"/>
          <w:sz w:val="22"/>
          <w:szCs w:val="22"/>
          <w:lang w:val="en-GB"/>
        </w:rPr>
        <w:t xml:space="preserve">. Its EV/Revenue ratio is </w:t>
      </w:r>
      <w:r w:rsidR="00C47C8C">
        <w:rPr>
          <w:rFonts w:ascii="Calibri" w:hAnsi="Calibri" w:cs="Calibri"/>
          <w:sz w:val="22"/>
          <w:szCs w:val="22"/>
          <w:lang w:val="en-GB"/>
        </w:rPr>
        <w:t>5.12</w:t>
      </w:r>
      <w:r w:rsidRPr="00521306">
        <w:rPr>
          <w:rFonts w:ascii="Calibri" w:hAnsi="Calibri" w:cs="Calibri"/>
          <w:sz w:val="22"/>
          <w:szCs w:val="22"/>
          <w:lang w:val="en-GB"/>
        </w:rPr>
        <w:t>x, and its EV/EBITDA ratio is 1</w:t>
      </w:r>
      <w:r w:rsidR="00C47C8C">
        <w:rPr>
          <w:rFonts w:ascii="Calibri" w:hAnsi="Calibri" w:cs="Calibri"/>
          <w:sz w:val="22"/>
          <w:szCs w:val="22"/>
          <w:lang w:val="en-GB"/>
        </w:rPr>
        <w:t>5.55</w:t>
      </w:r>
      <w:r w:rsidRPr="00521306">
        <w:rPr>
          <w:rFonts w:ascii="Calibri" w:hAnsi="Calibri" w:cs="Calibri"/>
          <w:sz w:val="22"/>
          <w:szCs w:val="22"/>
          <w:lang w:val="en-GB"/>
        </w:rPr>
        <w:t>x, positioning it as a significant peer.</w:t>
      </w:r>
    </w:p>
    <w:p w14:paraId="107B677D" w14:textId="1266045E" w:rsidR="00521306" w:rsidRPr="00521306" w:rsidRDefault="00521306" w:rsidP="00776AE2">
      <w:pPr>
        <w:numPr>
          <w:ilvl w:val="0"/>
          <w:numId w:val="4"/>
        </w:numPr>
        <w:spacing w:line="276" w:lineRule="auto"/>
        <w:rPr>
          <w:rFonts w:ascii="Calibri" w:hAnsi="Calibri" w:cs="Calibri"/>
          <w:sz w:val="22"/>
          <w:szCs w:val="22"/>
          <w:lang w:val="en-GB"/>
        </w:rPr>
      </w:pPr>
      <w:r w:rsidRPr="00521306">
        <w:rPr>
          <w:rFonts w:ascii="Calibri" w:hAnsi="Calibri" w:cs="Calibri"/>
          <w:b/>
          <w:bCs/>
          <w:sz w:val="22"/>
          <w:szCs w:val="22"/>
          <w:lang w:val="en-GB"/>
        </w:rPr>
        <w:t>AstraZeneca plc</w:t>
      </w:r>
      <w:r w:rsidRPr="00521306">
        <w:rPr>
          <w:rFonts w:ascii="Calibri" w:hAnsi="Calibri" w:cs="Calibri"/>
          <w:sz w:val="22"/>
          <w:szCs w:val="22"/>
          <w:lang w:val="en-GB"/>
        </w:rPr>
        <w:t>: AstraZeneca, with a focus on innovative therapies, had $4</w:t>
      </w:r>
      <w:r w:rsidR="00C47C8C">
        <w:rPr>
          <w:rFonts w:ascii="Calibri" w:hAnsi="Calibri" w:cs="Calibri"/>
          <w:sz w:val="22"/>
          <w:szCs w:val="22"/>
          <w:lang w:val="en-GB"/>
        </w:rPr>
        <w:t>9.13</w:t>
      </w:r>
      <w:r w:rsidRPr="00521306">
        <w:rPr>
          <w:rFonts w:ascii="Calibri" w:hAnsi="Calibri" w:cs="Calibri"/>
          <w:sz w:val="22"/>
          <w:szCs w:val="22"/>
          <w:lang w:val="en-GB"/>
        </w:rPr>
        <w:t xml:space="preserve"> billion in revenue and a P/E ratio of</w:t>
      </w:r>
      <w:r w:rsidR="00C47C8C">
        <w:rPr>
          <w:rFonts w:ascii="Calibri" w:hAnsi="Calibri" w:cs="Calibri"/>
          <w:sz w:val="22"/>
          <w:szCs w:val="22"/>
          <w:lang w:val="en-GB"/>
        </w:rPr>
        <w:t xml:space="preserve"> 18.28</w:t>
      </w:r>
      <w:r w:rsidRPr="00521306">
        <w:rPr>
          <w:rFonts w:ascii="Calibri" w:hAnsi="Calibri" w:cs="Calibri"/>
          <w:sz w:val="22"/>
          <w:szCs w:val="22"/>
          <w:lang w:val="en-GB"/>
        </w:rPr>
        <w:t xml:space="preserve">. Its EV/Revenue ratio is </w:t>
      </w:r>
      <w:r w:rsidR="00776AE2">
        <w:rPr>
          <w:rFonts w:ascii="Calibri" w:hAnsi="Calibri" w:cs="Calibri"/>
          <w:sz w:val="22"/>
          <w:szCs w:val="22"/>
          <w:lang w:val="en-GB"/>
        </w:rPr>
        <w:t>5.94</w:t>
      </w:r>
      <w:r w:rsidRPr="00521306">
        <w:rPr>
          <w:rFonts w:ascii="Calibri" w:hAnsi="Calibri" w:cs="Calibri"/>
          <w:sz w:val="22"/>
          <w:szCs w:val="22"/>
          <w:lang w:val="en-GB"/>
        </w:rPr>
        <w:t xml:space="preserve">x, and its EV/EBITDA ratio is </w:t>
      </w:r>
      <w:r w:rsidR="00776AE2">
        <w:rPr>
          <w:rFonts w:ascii="Calibri" w:hAnsi="Calibri" w:cs="Calibri"/>
          <w:sz w:val="22"/>
          <w:szCs w:val="22"/>
          <w:lang w:val="en-GB"/>
        </w:rPr>
        <w:t>20.71</w:t>
      </w:r>
      <w:r w:rsidRPr="00521306">
        <w:rPr>
          <w:rFonts w:ascii="Calibri" w:hAnsi="Calibri" w:cs="Calibri"/>
          <w:sz w:val="22"/>
          <w:szCs w:val="22"/>
          <w:lang w:val="en-GB"/>
        </w:rPr>
        <w:t>x, making it a comparable entity in the pharmaceutical field.</w:t>
      </w:r>
    </w:p>
    <w:p w14:paraId="693DE62C" w14:textId="60322CB6" w:rsidR="00521306" w:rsidRPr="00521306" w:rsidRDefault="00521306" w:rsidP="00776AE2">
      <w:pPr>
        <w:spacing w:line="276" w:lineRule="auto"/>
        <w:rPr>
          <w:rFonts w:ascii="Calibri" w:hAnsi="Calibri" w:cs="Calibri"/>
          <w:sz w:val="22"/>
          <w:szCs w:val="22"/>
          <w:lang w:val="en-GB"/>
        </w:rPr>
      </w:pPr>
      <w:r w:rsidRPr="00521306">
        <w:rPr>
          <w:rFonts w:ascii="Calibri" w:hAnsi="Calibri" w:cs="Calibri"/>
          <w:b/>
          <w:bCs/>
          <w:sz w:val="22"/>
          <w:szCs w:val="22"/>
          <w:lang w:val="en-GB"/>
        </w:rPr>
        <w:t>Nvidia Inc.</w:t>
      </w:r>
      <w:r w:rsidRPr="00521306">
        <w:rPr>
          <w:rFonts w:ascii="Calibri" w:hAnsi="Calibri" w:cs="Calibri"/>
          <w:sz w:val="22"/>
          <w:szCs w:val="22"/>
          <w:lang w:val="en-GB"/>
        </w:rPr>
        <w:t xml:space="preserve"> is a leader in GPUs and AI technologies. Nvidia’s revenue of $</w:t>
      </w:r>
      <w:r w:rsidR="00776AE2">
        <w:rPr>
          <w:rFonts w:ascii="Calibri" w:hAnsi="Calibri" w:cs="Calibri"/>
          <w:sz w:val="22"/>
          <w:szCs w:val="22"/>
          <w:lang w:val="en-GB"/>
        </w:rPr>
        <w:t xml:space="preserve"> 96.31 billion</w:t>
      </w:r>
      <w:r w:rsidRPr="00521306">
        <w:rPr>
          <w:rFonts w:ascii="Calibri" w:hAnsi="Calibri" w:cs="Calibri"/>
          <w:sz w:val="22"/>
          <w:szCs w:val="22"/>
          <w:lang w:val="en-GB"/>
        </w:rPr>
        <w:t xml:space="preserve"> and net income of $16.2 billion result in a high P/E ratio of </w:t>
      </w:r>
      <w:r w:rsidR="00776AE2">
        <w:rPr>
          <w:rFonts w:ascii="Calibri" w:hAnsi="Calibri" w:cs="Calibri"/>
          <w:sz w:val="22"/>
          <w:szCs w:val="22"/>
          <w:lang w:val="en-GB"/>
        </w:rPr>
        <w:t>49.79</w:t>
      </w:r>
      <w:r w:rsidRPr="00521306">
        <w:rPr>
          <w:rFonts w:ascii="Calibri" w:hAnsi="Calibri" w:cs="Calibri"/>
          <w:sz w:val="22"/>
          <w:szCs w:val="22"/>
          <w:lang w:val="en-GB"/>
        </w:rPr>
        <w:t xml:space="preserve">. Its EV/Revenue ratio is approximately </w:t>
      </w:r>
      <w:r w:rsidR="00776AE2">
        <w:rPr>
          <w:rFonts w:ascii="Calibri" w:hAnsi="Calibri" w:cs="Calibri"/>
          <w:sz w:val="22"/>
          <w:szCs w:val="22"/>
          <w:lang w:val="en-GB"/>
        </w:rPr>
        <w:t>26.8</w:t>
      </w:r>
      <w:r w:rsidRPr="00521306">
        <w:rPr>
          <w:rFonts w:ascii="Calibri" w:hAnsi="Calibri" w:cs="Calibri"/>
          <w:sz w:val="22"/>
          <w:szCs w:val="22"/>
          <w:lang w:val="en-GB"/>
        </w:rPr>
        <w:t>x, and its EV/EBITDA ratio is 4</w:t>
      </w:r>
      <w:r w:rsidR="00776AE2">
        <w:rPr>
          <w:rFonts w:ascii="Calibri" w:hAnsi="Calibri" w:cs="Calibri"/>
          <w:sz w:val="22"/>
          <w:szCs w:val="22"/>
          <w:lang w:val="en-GB"/>
        </w:rPr>
        <w:t>0.98</w:t>
      </w:r>
      <w:r w:rsidRPr="00521306">
        <w:rPr>
          <w:rFonts w:ascii="Calibri" w:hAnsi="Calibri" w:cs="Calibri"/>
          <w:sz w:val="22"/>
          <w:szCs w:val="22"/>
          <w:lang w:val="en-GB"/>
        </w:rPr>
        <w:t>x. Nvidia’s peers include:</w:t>
      </w:r>
    </w:p>
    <w:p w14:paraId="06B415EE" w14:textId="2D2555FD" w:rsidR="00521306" w:rsidRPr="00521306" w:rsidRDefault="00521306" w:rsidP="00776AE2">
      <w:pPr>
        <w:numPr>
          <w:ilvl w:val="0"/>
          <w:numId w:val="5"/>
        </w:numPr>
        <w:spacing w:line="276" w:lineRule="auto"/>
        <w:rPr>
          <w:rFonts w:ascii="Calibri" w:hAnsi="Calibri" w:cs="Calibri"/>
          <w:sz w:val="22"/>
          <w:szCs w:val="22"/>
          <w:lang w:val="en-GB"/>
        </w:rPr>
      </w:pPr>
      <w:r w:rsidRPr="00521306">
        <w:rPr>
          <w:rFonts w:ascii="Calibri" w:hAnsi="Calibri" w:cs="Calibri"/>
          <w:b/>
          <w:bCs/>
          <w:sz w:val="22"/>
          <w:szCs w:val="22"/>
          <w:lang w:val="en-GB"/>
        </w:rPr>
        <w:t>Intel Corporation</w:t>
      </w:r>
      <w:r w:rsidRPr="00521306">
        <w:rPr>
          <w:rFonts w:ascii="Calibri" w:hAnsi="Calibri" w:cs="Calibri"/>
          <w:sz w:val="22"/>
          <w:szCs w:val="22"/>
          <w:lang w:val="en-GB"/>
        </w:rPr>
        <w:t>: Known for CPUs and semiconductor technology, Intel reported $</w:t>
      </w:r>
      <w:r w:rsidR="00776AE2">
        <w:rPr>
          <w:rFonts w:ascii="Calibri" w:hAnsi="Calibri" w:cs="Calibri"/>
          <w:sz w:val="22"/>
          <w:szCs w:val="22"/>
          <w:lang w:val="en-GB"/>
        </w:rPr>
        <w:t>55.12</w:t>
      </w:r>
      <w:r w:rsidRPr="00521306">
        <w:rPr>
          <w:rFonts w:ascii="Calibri" w:hAnsi="Calibri" w:cs="Calibri"/>
          <w:sz w:val="22"/>
          <w:szCs w:val="22"/>
          <w:lang w:val="en-GB"/>
        </w:rPr>
        <w:t xml:space="preserve"> billion in revenue with a P/E ratio of 18</w:t>
      </w:r>
      <w:r w:rsidR="00776AE2">
        <w:rPr>
          <w:rFonts w:ascii="Calibri" w:hAnsi="Calibri" w:cs="Calibri"/>
          <w:sz w:val="22"/>
          <w:szCs w:val="22"/>
          <w:lang w:val="en-GB"/>
        </w:rPr>
        <w:t>.42</w:t>
      </w:r>
      <w:r w:rsidRPr="00521306">
        <w:rPr>
          <w:rFonts w:ascii="Calibri" w:hAnsi="Calibri" w:cs="Calibri"/>
          <w:sz w:val="22"/>
          <w:szCs w:val="22"/>
          <w:lang w:val="en-GB"/>
        </w:rPr>
        <w:t xml:space="preserve">. Its EV/Revenue ratio is </w:t>
      </w:r>
      <w:r w:rsidR="00776AE2">
        <w:rPr>
          <w:rFonts w:ascii="Calibri" w:hAnsi="Calibri" w:cs="Calibri"/>
          <w:sz w:val="22"/>
          <w:szCs w:val="22"/>
          <w:lang w:val="en-GB"/>
        </w:rPr>
        <w:t>1.94</w:t>
      </w:r>
      <w:r w:rsidRPr="00521306">
        <w:rPr>
          <w:rFonts w:ascii="Calibri" w:hAnsi="Calibri" w:cs="Calibri"/>
          <w:sz w:val="22"/>
          <w:szCs w:val="22"/>
          <w:lang w:val="en-GB"/>
        </w:rPr>
        <w:t xml:space="preserve">x, and its EV/EBITDA ratio is </w:t>
      </w:r>
      <w:r w:rsidR="00776AE2">
        <w:rPr>
          <w:rFonts w:ascii="Calibri" w:hAnsi="Calibri" w:cs="Calibri"/>
          <w:sz w:val="22"/>
          <w:szCs w:val="22"/>
          <w:lang w:val="en-GB"/>
        </w:rPr>
        <w:t>9.61</w:t>
      </w:r>
      <w:r w:rsidRPr="00521306">
        <w:rPr>
          <w:rFonts w:ascii="Calibri" w:hAnsi="Calibri" w:cs="Calibri"/>
          <w:sz w:val="22"/>
          <w:szCs w:val="22"/>
          <w:lang w:val="en-GB"/>
        </w:rPr>
        <w:t>x, making it a major competitor in the semiconductor space.</w:t>
      </w:r>
    </w:p>
    <w:p w14:paraId="45BA0D2C" w14:textId="371847D6" w:rsidR="00521306" w:rsidRPr="00521306" w:rsidRDefault="00521306" w:rsidP="00776AE2">
      <w:pPr>
        <w:numPr>
          <w:ilvl w:val="0"/>
          <w:numId w:val="5"/>
        </w:numPr>
        <w:spacing w:line="276" w:lineRule="auto"/>
        <w:rPr>
          <w:rFonts w:ascii="Calibri" w:hAnsi="Calibri" w:cs="Calibri"/>
          <w:sz w:val="22"/>
          <w:szCs w:val="22"/>
          <w:lang w:val="en-GB"/>
        </w:rPr>
      </w:pPr>
      <w:r w:rsidRPr="00521306">
        <w:rPr>
          <w:rFonts w:ascii="Calibri" w:hAnsi="Calibri" w:cs="Calibri"/>
          <w:b/>
          <w:bCs/>
          <w:sz w:val="22"/>
          <w:szCs w:val="22"/>
          <w:lang w:val="en-GB"/>
        </w:rPr>
        <w:t>Qualcomm Incorporated</w:t>
      </w:r>
      <w:r w:rsidRPr="00521306">
        <w:rPr>
          <w:rFonts w:ascii="Calibri" w:hAnsi="Calibri" w:cs="Calibri"/>
          <w:sz w:val="22"/>
          <w:szCs w:val="22"/>
          <w:lang w:val="en-GB"/>
        </w:rPr>
        <w:t>: A key player in mobile processors and 5G, Qualcomm achieved $3</w:t>
      </w:r>
      <w:r w:rsidR="00776AE2">
        <w:rPr>
          <w:rFonts w:ascii="Calibri" w:hAnsi="Calibri" w:cs="Calibri"/>
          <w:sz w:val="22"/>
          <w:szCs w:val="22"/>
          <w:lang w:val="en-GB"/>
        </w:rPr>
        <w:t>7.35</w:t>
      </w:r>
      <w:r w:rsidRPr="00521306">
        <w:rPr>
          <w:rFonts w:ascii="Calibri" w:hAnsi="Calibri" w:cs="Calibri"/>
          <w:sz w:val="22"/>
          <w:szCs w:val="22"/>
          <w:lang w:val="en-GB"/>
        </w:rPr>
        <w:t xml:space="preserve">billion in revenue with a P/E ratio of </w:t>
      </w:r>
      <w:r w:rsidR="00776AE2">
        <w:rPr>
          <w:rFonts w:ascii="Calibri" w:hAnsi="Calibri" w:cs="Calibri"/>
          <w:sz w:val="22"/>
          <w:szCs w:val="22"/>
          <w:lang w:val="en-GB"/>
        </w:rPr>
        <w:t>21.14</w:t>
      </w:r>
      <w:r w:rsidRPr="00521306">
        <w:rPr>
          <w:rFonts w:ascii="Calibri" w:hAnsi="Calibri" w:cs="Calibri"/>
          <w:sz w:val="22"/>
          <w:szCs w:val="22"/>
          <w:lang w:val="en-GB"/>
        </w:rPr>
        <w:t>. Its EV/Revenue ratio is 4.</w:t>
      </w:r>
      <w:r w:rsidR="00776AE2">
        <w:rPr>
          <w:rFonts w:ascii="Calibri" w:hAnsi="Calibri" w:cs="Calibri"/>
          <w:sz w:val="22"/>
          <w:szCs w:val="22"/>
          <w:lang w:val="en-GB"/>
        </w:rPr>
        <w:t>97</w:t>
      </w:r>
      <w:r w:rsidRPr="00521306">
        <w:rPr>
          <w:rFonts w:ascii="Calibri" w:hAnsi="Calibri" w:cs="Calibri"/>
          <w:sz w:val="22"/>
          <w:szCs w:val="22"/>
          <w:lang w:val="en-GB"/>
        </w:rPr>
        <w:t>x, and its EV/EBITDA ratio is 1</w:t>
      </w:r>
      <w:r w:rsidR="00776AE2">
        <w:rPr>
          <w:rFonts w:ascii="Calibri" w:hAnsi="Calibri" w:cs="Calibri"/>
          <w:sz w:val="22"/>
          <w:szCs w:val="22"/>
          <w:lang w:val="en-GB"/>
        </w:rPr>
        <w:t>6.04</w:t>
      </w:r>
      <w:r w:rsidRPr="00521306">
        <w:rPr>
          <w:rFonts w:ascii="Calibri" w:hAnsi="Calibri" w:cs="Calibri"/>
          <w:sz w:val="22"/>
          <w:szCs w:val="22"/>
          <w:lang w:val="en-GB"/>
        </w:rPr>
        <w:t>x, positioning it as a relevant peer.</w:t>
      </w:r>
    </w:p>
    <w:p w14:paraId="0D98364A" w14:textId="21842745" w:rsidR="00521306" w:rsidRPr="00521306" w:rsidRDefault="00521306" w:rsidP="00776AE2">
      <w:pPr>
        <w:numPr>
          <w:ilvl w:val="0"/>
          <w:numId w:val="5"/>
        </w:numPr>
        <w:spacing w:line="276" w:lineRule="auto"/>
        <w:rPr>
          <w:rFonts w:ascii="Calibri" w:hAnsi="Calibri" w:cs="Calibri"/>
          <w:sz w:val="22"/>
          <w:szCs w:val="22"/>
          <w:lang w:val="en-GB"/>
        </w:rPr>
      </w:pPr>
      <w:r w:rsidRPr="00521306">
        <w:rPr>
          <w:rFonts w:ascii="Calibri" w:hAnsi="Calibri" w:cs="Calibri"/>
          <w:b/>
          <w:bCs/>
          <w:sz w:val="22"/>
          <w:szCs w:val="22"/>
          <w:lang w:val="en-GB"/>
        </w:rPr>
        <w:t>Taiwan Semiconductor Manufacturing Company Ltd. (TSMC)</w:t>
      </w:r>
      <w:r w:rsidRPr="00521306">
        <w:rPr>
          <w:rFonts w:ascii="Calibri" w:hAnsi="Calibri" w:cs="Calibri"/>
          <w:sz w:val="22"/>
          <w:szCs w:val="22"/>
          <w:lang w:val="en-GB"/>
        </w:rPr>
        <w:t>: As the largest independent semiconductor foundry, TSMC had $</w:t>
      </w:r>
      <w:r w:rsidR="00776AE2">
        <w:rPr>
          <w:rFonts w:ascii="Calibri" w:hAnsi="Calibri" w:cs="Calibri"/>
          <w:sz w:val="22"/>
          <w:szCs w:val="22"/>
          <w:lang w:val="en-GB"/>
        </w:rPr>
        <w:t xml:space="preserve">70.12 </w:t>
      </w:r>
      <w:r w:rsidRPr="00521306">
        <w:rPr>
          <w:rFonts w:ascii="Calibri" w:hAnsi="Calibri" w:cs="Calibri"/>
          <w:sz w:val="22"/>
          <w:szCs w:val="22"/>
          <w:lang w:val="en-GB"/>
        </w:rPr>
        <w:t xml:space="preserve">billion in revenue, a P/E ratio of </w:t>
      </w:r>
      <w:r w:rsidR="00776AE2">
        <w:rPr>
          <w:rFonts w:ascii="Calibri" w:hAnsi="Calibri" w:cs="Calibri"/>
          <w:sz w:val="22"/>
          <w:szCs w:val="22"/>
          <w:lang w:val="en-GB"/>
        </w:rPr>
        <w:t>28.48</w:t>
      </w:r>
      <w:r w:rsidRPr="00521306">
        <w:rPr>
          <w:rFonts w:ascii="Calibri" w:hAnsi="Calibri" w:cs="Calibri"/>
          <w:sz w:val="22"/>
          <w:szCs w:val="22"/>
          <w:lang w:val="en-GB"/>
        </w:rPr>
        <w:t xml:space="preserve">, an EV/Revenue ratio of </w:t>
      </w:r>
      <w:r w:rsidR="00776AE2">
        <w:rPr>
          <w:rFonts w:ascii="Calibri" w:hAnsi="Calibri" w:cs="Calibri"/>
          <w:sz w:val="22"/>
          <w:szCs w:val="22"/>
          <w:lang w:val="en-GB"/>
        </w:rPr>
        <w:t>9</w:t>
      </w:r>
      <w:r w:rsidRPr="00521306">
        <w:rPr>
          <w:rFonts w:ascii="Calibri" w:hAnsi="Calibri" w:cs="Calibri"/>
          <w:sz w:val="22"/>
          <w:szCs w:val="22"/>
          <w:lang w:val="en-GB"/>
        </w:rPr>
        <w:t>.0</w:t>
      </w:r>
      <w:r w:rsidR="00776AE2">
        <w:rPr>
          <w:rFonts w:ascii="Calibri" w:hAnsi="Calibri" w:cs="Calibri"/>
          <w:sz w:val="22"/>
          <w:szCs w:val="22"/>
          <w:lang w:val="en-GB"/>
        </w:rPr>
        <w:t>2</w:t>
      </w:r>
      <w:r w:rsidRPr="00521306">
        <w:rPr>
          <w:rFonts w:ascii="Calibri" w:hAnsi="Calibri" w:cs="Calibri"/>
          <w:sz w:val="22"/>
          <w:szCs w:val="22"/>
          <w:lang w:val="en-GB"/>
        </w:rPr>
        <w:t xml:space="preserve">x, and an EV/EBITDA ratio of </w:t>
      </w:r>
      <w:r w:rsidR="00776AE2">
        <w:rPr>
          <w:rFonts w:ascii="Calibri" w:hAnsi="Calibri" w:cs="Calibri"/>
          <w:sz w:val="22"/>
          <w:szCs w:val="22"/>
          <w:lang w:val="en-GB"/>
        </w:rPr>
        <w:t>12.74</w:t>
      </w:r>
      <w:r w:rsidRPr="00521306">
        <w:rPr>
          <w:rFonts w:ascii="Calibri" w:hAnsi="Calibri" w:cs="Calibri"/>
          <w:sz w:val="22"/>
          <w:szCs w:val="22"/>
          <w:lang w:val="en-GB"/>
        </w:rPr>
        <w:t>x, making it a significant player in the semiconductor industry.</w:t>
      </w:r>
    </w:p>
    <w:p w14:paraId="70BBC04A" w14:textId="77777777" w:rsidR="00D17233" w:rsidRPr="00521306" w:rsidRDefault="00D17233" w:rsidP="00776AE2">
      <w:pPr>
        <w:spacing w:line="276" w:lineRule="auto"/>
        <w:rPr>
          <w:rFonts w:ascii="Calibri" w:hAnsi="Calibri" w:cs="Calibri"/>
          <w:sz w:val="22"/>
          <w:szCs w:val="22"/>
        </w:rPr>
      </w:pPr>
    </w:p>
    <w:sectPr w:rsidR="00D17233" w:rsidRPr="005213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4A41"/>
    <w:multiLevelType w:val="multilevel"/>
    <w:tmpl w:val="A694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27941"/>
    <w:multiLevelType w:val="multilevel"/>
    <w:tmpl w:val="0FC6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A3582"/>
    <w:multiLevelType w:val="multilevel"/>
    <w:tmpl w:val="1AF8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381446"/>
    <w:multiLevelType w:val="multilevel"/>
    <w:tmpl w:val="C7A2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BE43C8"/>
    <w:multiLevelType w:val="multilevel"/>
    <w:tmpl w:val="0C06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043929">
    <w:abstractNumId w:val="3"/>
  </w:num>
  <w:num w:numId="2" w16cid:durableId="840586642">
    <w:abstractNumId w:val="1"/>
  </w:num>
  <w:num w:numId="3" w16cid:durableId="2014067303">
    <w:abstractNumId w:val="4"/>
  </w:num>
  <w:num w:numId="4" w16cid:durableId="1555891560">
    <w:abstractNumId w:val="2"/>
  </w:num>
  <w:num w:numId="5" w16cid:durableId="124672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06"/>
    <w:rsid w:val="00041BD7"/>
    <w:rsid w:val="000F3EF5"/>
    <w:rsid w:val="001C3235"/>
    <w:rsid w:val="00221FC4"/>
    <w:rsid w:val="00301D4B"/>
    <w:rsid w:val="00421B84"/>
    <w:rsid w:val="00521306"/>
    <w:rsid w:val="00675A53"/>
    <w:rsid w:val="007578D0"/>
    <w:rsid w:val="00776AE2"/>
    <w:rsid w:val="007C2687"/>
    <w:rsid w:val="0084714B"/>
    <w:rsid w:val="00876890"/>
    <w:rsid w:val="008856E1"/>
    <w:rsid w:val="00892258"/>
    <w:rsid w:val="008A79E1"/>
    <w:rsid w:val="009033D5"/>
    <w:rsid w:val="00950F65"/>
    <w:rsid w:val="00A46981"/>
    <w:rsid w:val="00B0211B"/>
    <w:rsid w:val="00B64456"/>
    <w:rsid w:val="00B7207F"/>
    <w:rsid w:val="00B92B4C"/>
    <w:rsid w:val="00C13F09"/>
    <w:rsid w:val="00C47C8C"/>
    <w:rsid w:val="00C559D0"/>
    <w:rsid w:val="00C94C8D"/>
    <w:rsid w:val="00CC04B9"/>
    <w:rsid w:val="00D17233"/>
    <w:rsid w:val="00D72404"/>
    <w:rsid w:val="00DA7620"/>
    <w:rsid w:val="00DB50F2"/>
    <w:rsid w:val="00DE0631"/>
    <w:rsid w:val="00E173D4"/>
    <w:rsid w:val="00E46B50"/>
    <w:rsid w:val="00E97DD2"/>
    <w:rsid w:val="00F80849"/>
    <w:rsid w:val="00FF093E"/>
    <w:rsid w:val="00FF3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CD3FD"/>
  <w15:chartTrackingRefBased/>
  <w15:docId w15:val="{9784AADF-3812-414B-A178-1458A375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 w:line="23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235"/>
    <w:pPr>
      <w:widowControl w:val="0"/>
      <w:spacing w:after="0" w:line="360" w:lineRule="auto"/>
      <w:jc w:val="both"/>
    </w:pPr>
    <w:rPr>
      <w:rFonts w:ascii="Times New Roman" w:eastAsia="SimSun" w:hAnsi="Times New Roman" w:cs="Times New Roman"/>
      <w:kern w:val="2"/>
      <w:sz w:val="24"/>
      <w:szCs w:val="24"/>
      <w:lang w:val="en-US" w:eastAsia="zh-CN"/>
    </w:rPr>
  </w:style>
  <w:style w:type="paragraph" w:styleId="Heading1">
    <w:name w:val="heading 1"/>
    <w:basedOn w:val="Normal"/>
    <w:next w:val="Normal"/>
    <w:link w:val="Heading1Char"/>
    <w:uiPriority w:val="9"/>
    <w:qFormat/>
    <w:rsid w:val="00521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30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30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2130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2130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2130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2130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2130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306"/>
    <w:rPr>
      <w:rFonts w:asciiTheme="majorHAnsi" w:eastAsiaTheme="majorEastAsia" w:hAnsiTheme="majorHAnsi" w:cstheme="majorBidi"/>
      <w:color w:val="0F4761" w:themeColor="accent1" w:themeShade="BF"/>
      <w:kern w:val="2"/>
      <w:sz w:val="40"/>
      <w:szCs w:val="40"/>
      <w:lang w:val="en-US" w:eastAsia="zh-CN"/>
    </w:rPr>
  </w:style>
  <w:style w:type="character" w:customStyle="1" w:styleId="Heading2Char">
    <w:name w:val="Heading 2 Char"/>
    <w:basedOn w:val="DefaultParagraphFont"/>
    <w:link w:val="Heading2"/>
    <w:uiPriority w:val="9"/>
    <w:semiHidden/>
    <w:rsid w:val="00521306"/>
    <w:rPr>
      <w:rFonts w:asciiTheme="majorHAnsi" w:eastAsiaTheme="majorEastAsia" w:hAnsiTheme="majorHAnsi" w:cstheme="majorBidi"/>
      <w:color w:val="0F4761" w:themeColor="accent1" w:themeShade="BF"/>
      <w:kern w:val="2"/>
      <w:sz w:val="32"/>
      <w:szCs w:val="32"/>
      <w:lang w:val="en-US" w:eastAsia="zh-CN"/>
    </w:rPr>
  </w:style>
  <w:style w:type="character" w:customStyle="1" w:styleId="Heading3Char">
    <w:name w:val="Heading 3 Char"/>
    <w:basedOn w:val="DefaultParagraphFont"/>
    <w:link w:val="Heading3"/>
    <w:uiPriority w:val="9"/>
    <w:semiHidden/>
    <w:rsid w:val="00521306"/>
    <w:rPr>
      <w:rFonts w:eastAsiaTheme="majorEastAsia" w:cstheme="majorBidi"/>
      <w:color w:val="0F4761" w:themeColor="accent1" w:themeShade="BF"/>
      <w:kern w:val="2"/>
      <w:sz w:val="28"/>
      <w:szCs w:val="28"/>
      <w:lang w:val="en-US" w:eastAsia="zh-CN"/>
    </w:rPr>
  </w:style>
  <w:style w:type="character" w:customStyle="1" w:styleId="Heading4Char">
    <w:name w:val="Heading 4 Char"/>
    <w:basedOn w:val="DefaultParagraphFont"/>
    <w:link w:val="Heading4"/>
    <w:uiPriority w:val="9"/>
    <w:semiHidden/>
    <w:rsid w:val="00521306"/>
    <w:rPr>
      <w:rFonts w:eastAsiaTheme="majorEastAsia" w:cstheme="majorBidi"/>
      <w:i/>
      <w:iCs/>
      <w:color w:val="0F4761" w:themeColor="accent1" w:themeShade="BF"/>
      <w:kern w:val="2"/>
      <w:sz w:val="24"/>
      <w:szCs w:val="24"/>
      <w:lang w:val="en-US" w:eastAsia="zh-CN"/>
    </w:rPr>
  </w:style>
  <w:style w:type="character" w:customStyle="1" w:styleId="Heading5Char">
    <w:name w:val="Heading 5 Char"/>
    <w:basedOn w:val="DefaultParagraphFont"/>
    <w:link w:val="Heading5"/>
    <w:uiPriority w:val="9"/>
    <w:semiHidden/>
    <w:rsid w:val="00521306"/>
    <w:rPr>
      <w:rFonts w:eastAsiaTheme="majorEastAsia" w:cstheme="majorBidi"/>
      <w:color w:val="0F4761" w:themeColor="accent1" w:themeShade="BF"/>
      <w:kern w:val="2"/>
      <w:sz w:val="24"/>
      <w:szCs w:val="24"/>
      <w:lang w:val="en-US" w:eastAsia="zh-CN"/>
    </w:rPr>
  </w:style>
  <w:style w:type="character" w:customStyle="1" w:styleId="Heading6Char">
    <w:name w:val="Heading 6 Char"/>
    <w:basedOn w:val="DefaultParagraphFont"/>
    <w:link w:val="Heading6"/>
    <w:uiPriority w:val="9"/>
    <w:semiHidden/>
    <w:rsid w:val="00521306"/>
    <w:rPr>
      <w:rFonts w:eastAsiaTheme="majorEastAsia" w:cstheme="majorBidi"/>
      <w:i/>
      <w:iCs/>
      <w:color w:val="595959" w:themeColor="text1" w:themeTint="A6"/>
      <w:kern w:val="2"/>
      <w:sz w:val="24"/>
      <w:szCs w:val="24"/>
      <w:lang w:val="en-US" w:eastAsia="zh-CN"/>
    </w:rPr>
  </w:style>
  <w:style w:type="character" w:customStyle="1" w:styleId="Heading7Char">
    <w:name w:val="Heading 7 Char"/>
    <w:basedOn w:val="DefaultParagraphFont"/>
    <w:link w:val="Heading7"/>
    <w:uiPriority w:val="9"/>
    <w:semiHidden/>
    <w:rsid w:val="00521306"/>
    <w:rPr>
      <w:rFonts w:eastAsiaTheme="majorEastAsia" w:cstheme="majorBidi"/>
      <w:color w:val="595959" w:themeColor="text1" w:themeTint="A6"/>
      <w:kern w:val="2"/>
      <w:sz w:val="24"/>
      <w:szCs w:val="24"/>
      <w:lang w:val="en-US" w:eastAsia="zh-CN"/>
    </w:rPr>
  </w:style>
  <w:style w:type="character" w:customStyle="1" w:styleId="Heading8Char">
    <w:name w:val="Heading 8 Char"/>
    <w:basedOn w:val="DefaultParagraphFont"/>
    <w:link w:val="Heading8"/>
    <w:uiPriority w:val="9"/>
    <w:semiHidden/>
    <w:rsid w:val="00521306"/>
    <w:rPr>
      <w:rFonts w:eastAsiaTheme="majorEastAsia" w:cstheme="majorBidi"/>
      <w:i/>
      <w:iCs/>
      <w:color w:val="272727" w:themeColor="text1" w:themeTint="D8"/>
      <w:kern w:val="2"/>
      <w:sz w:val="24"/>
      <w:szCs w:val="24"/>
      <w:lang w:val="en-US" w:eastAsia="zh-CN"/>
    </w:rPr>
  </w:style>
  <w:style w:type="character" w:customStyle="1" w:styleId="Heading9Char">
    <w:name w:val="Heading 9 Char"/>
    <w:basedOn w:val="DefaultParagraphFont"/>
    <w:link w:val="Heading9"/>
    <w:uiPriority w:val="9"/>
    <w:semiHidden/>
    <w:rsid w:val="00521306"/>
    <w:rPr>
      <w:rFonts w:eastAsiaTheme="majorEastAsia" w:cstheme="majorBidi"/>
      <w:color w:val="272727" w:themeColor="text1" w:themeTint="D8"/>
      <w:kern w:val="2"/>
      <w:sz w:val="24"/>
      <w:szCs w:val="24"/>
      <w:lang w:val="en-US" w:eastAsia="zh-CN"/>
    </w:rPr>
  </w:style>
  <w:style w:type="paragraph" w:styleId="Title">
    <w:name w:val="Title"/>
    <w:basedOn w:val="Normal"/>
    <w:next w:val="Normal"/>
    <w:link w:val="TitleChar"/>
    <w:uiPriority w:val="10"/>
    <w:qFormat/>
    <w:rsid w:val="00521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306"/>
    <w:rPr>
      <w:rFonts w:asciiTheme="majorHAnsi" w:eastAsiaTheme="majorEastAsia" w:hAnsiTheme="majorHAnsi" w:cstheme="majorBidi"/>
      <w:spacing w:val="-10"/>
      <w:kern w:val="28"/>
      <w:sz w:val="56"/>
      <w:szCs w:val="56"/>
      <w:lang w:val="en-US" w:eastAsia="zh-CN"/>
    </w:rPr>
  </w:style>
  <w:style w:type="paragraph" w:styleId="Subtitle">
    <w:name w:val="Subtitle"/>
    <w:basedOn w:val="Normal"/>
    <w:next w:val="Normal"/>
    <w:link w:val="SubtitleChar"/>
    <w:uiPriority w:val="11"/>
    <w:qFormat/>
    <w:rsid w:val="0052130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306"/>
    <w:rPr>
      <w:rFonts w:eastAsiaTheme="majorEastAsia" w:cstheme="majorBidi"/>
      <w:color w:val="595959" w:themeColor="text1" w:themeTint="A6"/>
      <w:spacing w:val="15"/>
      <w:kern w:val="2"/>
      <w:sz w:val="28"/>
      <w:szCs w:val="28"/>
      <w:lang w:val="en-US" w:eastAsia="zh-CN"/>
    </w:rPr>
  </w:style>
  <w:style w:type="paragraph" w:styleId="Quote">
    <w:name w:val="Quote"/>
    <w:basedOn w:val="Normal"/>
    <w:next w:val="Normal"/>
    <w:link w:val="QuoteChar"/>
    <w:uiPriority w:val="29"/>
    <w:qFormat/>
    <w:rsid w:val="005213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1306"/>
    <w:rPr>
      <w:rFonts w:ascii="Times New Roman" w:eastAsia="SimSun" w:hAnsi="Times New Roman" w:cs="Times New Roman"/>
      <w:i/>
      <w:iCs/>
      <w:color w:val="404040" w:themeColor="text1" w:themeTint="BF"/>
      <w:kern w:val="2"/>
      <w:sz w:val="24"/>
      <w:szCs w:val="24"/>
      <w:lang w:val="en-US" w:eastAsia="zh-CN"/>
    </w:rPr>
  </w:style>
  <w:style w:type="paragraph" w:styleId="ListParagraph">
    <w:name w:val="List Paragraph"/>
    <w:basedOn w:val="Normal"/>
    <w:uiPriority w:val="34"/>
    <w:qFormat/>
    <w:rsid w:val="00521306"/>
    <w:pPr>
      <w:ind w:left="720"/>
      <w:contextualSpacing/>
    </w:pPr>
  </w:style>
  <w:style w:type="character" w:styleId="IntenseEmphasis">
    <w:name w:val="Intense Emphasis"/>
    <w:basedOn w:val="DefaultParagraphFont"/>
    <w:uiPriority w:val="21"/>
    <w:qFormat/>
    <w:rsid w:val="00521306"/>
    <w:rPr>
      <w:i/>
      <w:iCs/>
      <w:color w:val="0F4761" w:themeColor="accent1" w:themeShade="BF"/>
    </w:rPr>
  </w:style>
  <w:style w:type="paragraph" w:styleId="IntenseQuote">
    <w:name w:val="Intense Quote"/>
    <w:basedOn w:val="Normal"/>
    <w:next w:val="Normal"/>
    <w:link w:val="IntenseQuoteChar"/>
    <w:uiPriority w:val="30"/>
    <w:qFormat/>
    <w:rsid w:val="00521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306"/>
    <w:rPr>
      <w:rFonts w:ascii="Times New Roman" w:eastAsia="SimSun" w:hAnsi="Times New Roman" w:cs="Times New Roman"/>
      <w:i/>
      <w:iCs/>
      <w:color w:val="0F4761" w:themeColor="accent1" w:themeShade="BF"/>
      <w:kern w:val="2"/>
      <w:sz w:val="24"/>
      <w:szCs w:val="24"/>
      <w:lang w:val="en-US" w:eastAsia="zh-CN"/>
    </w:rPr>
  </w:style>
  <w:style w:type="character" w:styleId="IntenseReference">
    <w:name w:val="Intense Reference"/>
    <w:basedOn w:val="DefaultParagraphFont"/>
    <w:uiPriority w:val="32"/>
    <w:qFormat/>
    <w:rsid w:val="005213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8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924</Words>
  <Characters>4872</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crystabel odede</dc:creator>
  <cp:keywords/>
  <dc:description/>
  <cp:lastModifiedBy>crystabel odede</cp:lastModifiedBy>
  <cp:revision>2</cp:revision>
  <dcterms:created xsi:type="dcterms:W3CDTF">2024-09-09T21:52:00Z</dcterms:created>
  <dcterms:modified xsi:type="dcterms:W3CDTF">2024-09-09T22:31:00Z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33f0f109-350c-442d-8b1a-85234cc2b50a</vt:lpwstr>
  </property>
</Properties>
</file>