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DD63C" w14:textId="77777777" w:rsidR="005A38D2" w:rsidRPr="005A38D2" w:rsidRDefault="005A38D2" w:rsidP="0007407D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A38D2">
        <w:rPr>
          <w:rFonts w:ascii="Times New Roman" w:hAnsi="Times New Roman" w:cs="Times New Roman"/>
          <w:b/>
          <w:bCs/>
          <w:sz w:val="20"/>
          <w:szCs w:val="20"/>
        </w:rPr>
        <w:t>Investment Analysis Report: Ratio Analysis of Apple Inc.</w:t>
      </w:r>
    </w:p>
    <w:p w14:paraId="0490AB98" w14:textId="77777777" w:rsidR="005A38D2" w:rsidRPr="00F6391A" w:rsidRDefault="005A38D2" w:rsidP="00F6391A">
      <w:pPr>
        <w:pStyle w:val="Heading1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F6391A">
        <w:rPr>
          <w:rFonts w:ascii="Times New Roman" w:hAnsi="Times New Roman" w:cs="Times New Roman"/>
          <w:b/>
          <w:bCs/>
          <w:color w:val="auto"/>
          <w:sz w:val="20"/>
          <w:szCs w:val="20"/>
        </w:rPr>
        <w:t>1. Introduction</w:t>
      </w:r>
    </w:p>
    <w:p w14:paraId="3D1399FF" w14:textId="79074E80" w:rsidR="005A38D2" w:rsidRPr="005A38D2" w:rsidRDefault="005A38D2" w:rsidP="0007407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38D2">
        <w:rPr>
          <w:rFonts w:ascii="Times New Roman" w:hAnsi="Times New Roman" w:cs="Times New Roman"/>
          <w:sz w:val="20"/>
          <w:szCs w:val="20"/>
        </w:rPr>
        <w:t>Apple Inc. (AAPL), headquartered in Cupertino, California, is a global leader in consumer electronics, software, and digital services. This report presents a ratio analysis to assess the company’s financial health and performance, providing insights into liquidity,</w:t>
      </w:r>
      <w:r w:rsidR="0007407D" w:rsidRPr="00F6391A">
        <w:rPr>
          <w:rFonts w:ascii="Times New Roman" w:hAnsi="Times New Roman" w:cs="Times New Roman"/>
          <w:sz w:val="20"/>
          <w:szCs w:val="20"/>
        </w:rPr>
        <w:t xml:space="preserve"> </w:t>
      </w:r>
      <w:r w:rsidR="0007407D" w:rsidRPr="005A38D2">
        <w:rPr>
          <w:rFonts w:ascii="Times New Roman" w:hAnsi="Times New Roman" w:cs="Times New Roman"/>
          <w:sz w:val="20"/>
          <w:szCs w:val="20"/>
        </w:rPr>
        <w:t>profitability,</w:t>
      </w:r>
      <w:r w:rsidRPr="005A38D2">
        <w:rPr>
          <w:rFonts w:ascii="Times New Roman" w:hAnsi="Times New Roman" w:cs="Times New Roman"/>
          <w:sz w:val="20"/>
          <w:szCs w:val="20"/>
        </w:rPr>
        <w:t xml:space="preserve"> solvency, </w:t>
      </w:r>
      <w:r w:rsidR="0007407D" w:rsidRPr="00F6391A">
        <w:rPr>
          <w:rFonts w:ascii="Times New Roman" w:hAnsi="Times New Roman" w:cs="Times New Roman"/>
          <w:sz w:val="20"/>
          <w:szCs w:val="20"/>
        </w:rPr>
        <w:t>asset utilization and investor/market ratios</w:t>
      </w:r>
      <w:r w:rsidRPr="005A38D2">
        <w:rPr>
          <w:rFonts w:ascii="Times New Roman" w:hAnsi="Times New Roman" w:cs="Times New Roman"/>
          <w:sz w:val="20"/>
          <w:szCs w:val="20"/>
        </w:rPr>
        <w:t>.</w:t>
      </w:r>
    </w:p>
    <w:p w14:paraId="340792D2" w14:textId="77777777" w:rsidR="005A38D2" w:rsidRPr="00F6391A" w:rsidRDefault="005A38D2" w:rsidP="00F6391A">
      <w:pPr>
        <w:pStyle w:val="Heading1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F6391A">
        <w:rPr>
          <w:rFonts w:ascii="Times New Roman" w:hAnsi="Times New Roman" w:cs="Times New Roman"/>
          <w:b/>
          <w:bCs/>
          <w:color w:val="auto"/>
          <w:sz w:val="20"/>
          <w:szCs w:val="20"/>
        </w:rPr>
        <w:t>2. Key Ratios Analyzed</w:t>
      </w:r>
    </w:p>
    <w:p w14:paraId="6A898CE3" w14:textId="77777777" w:rsidR="005A38D2" w:rsidRPr="00F6391A" w:rsidRDefault="005A38D2" w:rsidP="0007407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38D2">
        <w:rPr>
          <w:rFonts w:ascii="Times New Roman" w:hAnsi="Times New Roman" w:cs="Times New Roman"/>
          <w:b/>
          <w:bCs/>
          <w:sz w:val="20"/>
          <w:szCs w:val="20"/>
        </w:rPr>
        <w:t>Liquidity Ratios</w:t>
      </w:r>
    </w:p>
    <w:p w14:paraId="02950728" w14:textId="7AAEA7E6" w:rsidR="0003686E" w:rsidRPr="005A38D2" w:rsidRDefault="0003686E" w:rsidP="0007407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38D2">
        <w:rPr>
          <w:rFonts w:ascii="Times New Roman" w:hAnsi="Times New Roman" w:cs="Times New Roman"/>
          <w:b/>
          <w:bCs/>
          <w:sz w:val="20"/>
          <w:szCs w:val="20"/>
        </w:rPr>
        <w:t>Profitability Ratios</w:t>
      </w:r>
    </w:p>
    <w:p w14:paraId="39EEC47F" w14:textId="77777777" w:rsidR="005A38D2" w:rsidRPr="005A38D2" w:rsidRDefault="005A38D2" w:rsidP="0007407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38D2">
        <w:rPr>
          <w:rFonts w:ascii="Times New Roman" w:hAnsi="Times New Roman" w:cs="Times New Roman"/>
          <w:b/>
          <w:bCs/>
          <w:sz w:val="20"/>
          <w:szCs w:val="20"/>
        </w:rPr>
        <w:t>Solvency Ratios</w:t>
      </w:r>
    </w:p>
    <w:p w14:paraId="17F5026C" w14:textId="530DA9BB" w:rsidR="005A38D2" w:rsidRPr="00F6391A" w:rsidRDefault="005A38D2" w:rsidP="0007407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91A">
        <w:rPr>
          <w:rFonts w:ascii="Times New Roman" w:hAnsi="Times New Roman" w:cs="Times New Roman"/>
          <w:b/>
          <w:bCs/>
          <w:sz w:val="20"/>
          <w:szCs w:val="20"/>
        </w:rPr>
        <w:t>Asset Utilization Ratios</w:t>
      </w:r>
    </w:p>
    <w:p w14:paraId="0D20594F" w14:textId="37129C59" w:rsidR="005A38D2" w:rsidRPr="005A38D2" w:rsidRDefault="005A38D2" w:rsidP="0007407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91A">
        <w:rPr>
          <w:rFonts w:ascii="Times New Roman" w:hAnsi="Times New Roman" w:cs="Times New Roman"/>
          <w:b/>
          <w:bCs/>
          <w:sz w:val="20"/>
          <w:szCs w:val="20"/>
        </w:rPr>
        <w:t xml:space="preserve">Investor/Market </w:t>
      </w:r>
      <w:r w:rsidR="0007407D" w:rsidRPr="00F6391A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F6391A">
        <w:rPr>
          <w:rFonts w:ascii="Times New Roman" w:hAnsi="Times New Roman" w:cs="Times New Roman"/>
          <w:b/>
          <w:bCs/>
          <w:sz w:val="20"/>
          <w:szCs w:val="20"/>
        </w:rPr>
        <w:t>atio</w:t>
      </w:r>
      <w:r w:rsidR="0007407D" w:rsidRPr="00F6391A">
        <w:rPr>
          <w:rFonts w:ascii="Times New Roman" w:hAnsi="Times New Roman" w:cs="Times New Roman"/>
          <w:b/>
          <w:bCs/>
          <w:sz w:val="20"/>
          <w:szCs w:val="20"/>
        </w:rPr>
        <w:t>s</w:t>
      </w:r>
    </w:p>
    <w:p w14:paraId="2D0ED597" w14:textId="13E406E1" w:rsidR="005A38D2" w:rsidRPr="00F6391A" w:rsidRDefault="00C602EE" w:rsidP="00F6391A">
      <w:pPr>
        <w:pStyle w:val="Heading1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F6391A">
        <w:rPr>
          <w:rFonts w:ascii="Times New Roman" w:hAnsi="Times New Roman" w:cs="Times New Roman"/>
          <w:b/>
          <w:bCs/>
          <w:color w:val="auto"/>
          <w:sz w:val="20"/>
          <w:szCs w:val="20"/>
        </w:rPr>
        <w:t>3</w:t>
      </w:r>
      <w:r w:rsidR="005A38D2" w:rsidRPr="00F6391A">
        <w:rPr>
          <w:rFonts w:ascii="Times New Roman" w:hAnsi="Times New Roman" w:cs="Times New Roman"/>
          <w:b/>
          <w:bCs/>
          <w:color w:val="auto"/>
          <w:sz w:val="20"/>
          <w:szCs w:val="20"/>
        </w:rPr>
        <w:t>. Liquidity Ratios</w:t>
      </w:r>
    </w:p>
    <w:p w14:paraId="1DA13F65" w14:textId="08307524" w:rsidR="005A38D2" w:rsidRPr="00F6391A" w:rsidRDefault="005A38D2" w:rsidP="0007407D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5A38D2">
        <w:rPr>
          <w:rFonts w:ascii="Times New Roman" w:hAnsi="Times New Roman" w:cs="Times New Roman"/>
          <w:sz w:val="20"/>
          <w:szCs w:val="20"/>
        </w:rPr>
        <w:t>Liquidity ratios evaluate a company’s ability to meet its short-term obligations</w:t>
      </w:r>
      <w:r w:rsidRPr="00F6391A">
        <w:rPr>
          <w:rFonts w:ascii="Times New Roman" w:hAnsi="Times New Roman" w:cs="Times New Roman"/>
          <w:sz w:val="20"/>
          <w:szCs w:val="20"/>
        </w:rPr>
        <w:t xml:space="preserve"> with the following ratios being considered</w:t>
      </w:r>
      <w:r w:rsidR="0003686E" w:rsidRPr="00F6391A">
        <w:rPr>
          <w:rFonts w:ascii="Times New Roman" w:hAnsi="Times New Roman" w:cs="Times New Roman"/>
          <w:sz w:val="20"/>
          <w:szCs w:val="20"/>
        </w:rPr>
        <w:t xml:space="preserve"> as shown in the table and chart below</w:t>
      </w:r>
      <w:r w:rsidRPr="00F6391A">
        <w:rPr>
          <w:rFonts w:ascii="Times New Roman" w:hAnsi="Times New Roman" w:cs="Times New Roman"/>
          <w:sz w:val="20"/>
          <w:szCs w:val="20"/>
        </w:rPr>
        <w:t xml:space="preserve">: - </w:t>
      </w:r>
    </w:p>
    <w:p w14:paraId="635D1042" w14:textId="0C27A91E" w:rsidR="005A38D2" w:rsidRPr="00F6391A" w:rsidRDefault="005A38D2" w:rsidP="0007407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6391A">
        <w:rPr>
          <w:rFonts w:ascii="Times New Roman" w:hAnsi="Times New Roman" w:cs="Times New Roman"/>
          <w:b/>
          <w:bCs/>
          <w:sz w:val="20"/>
          <w:szCs w:val="20"/>
        </w:rPr>
        <w:t>Table 1</w:t>
      </w:r>
      <w:r w:rsidR="00C602EE" w:rsidRPr="00F6391A">
        <w:rPr>
          <w:rFonts w:ascii="Times New Roman" w:hAnsi="Times New Roman" w:cs="Times New Roman"/>
          <w:b/>
          <w:bCs/>
          <w:sz w:val="20"/>
          <w:szCs w:val="20"/>
        </w:rPr>
        <w:t xml:space="preserve"> – Liquidity 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4120"/>
        <w:gridCol w:w="1060"/>
        <w:gridCol w:w="1320"/>
        <w:gridCol w:w="1060"/>
      </w:tblGrid>
      <w:tr w:rsidR="00F6391A" w:rsidRPr="00F6391A" w14:paraId="2847D02C" w14:textId="77777777" w:rsidTr="005A38D2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179B9C" w14:textId="77777777" w:rsidR="005A38D2" w:rsidRPr="005A38D2" w:rsidRDefault="005A38D2" w:rsidP="0007407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14:paraId="7FB9610C" w14:textId="77777777" w:rsidR="005A38D2" w:rsidRPr="005A38D2" w:rsidRDefault="005A38D2" w:rsidP="0007407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5CCFE1A" w14:textId="77777777" w:rsidR="005A38D2" w:rsidRPr="005A38D2" w:rsidRDefault="005A38D2" w:rsidP="000740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43CDEEC" w14:textId="77777777" w:rsidR="005A38D2" w:rsidRPr="005A38D2" w:rsidRDefault="005A38D2" w:rsidP="000740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E40D568" w14:textId="77777777" w:rsidR="005A38D2" w:rsidRPr="005A38D2" w:rsidRDefault="005A38D2" w:rsidP="000740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2022</w:t>
            </w:r>
          </w:p>
        </w:tc>
      </w:tr>
      <w:tr w:rsidR="00F6391A" w:rsidRPr="00F6391A" w14:paraId="287616D9" w14:textId="77777777" w:rsidTr="005A38D2">
        <w:trPr>
          <w:trHeight w:val="29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09F635" w14:textId="77777777" w:rsidR="005A38D2" w:rsidRPr="005A38D2" w:rsidRDefault="005A38D2" w:rsidP="0007407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Liquidity</w:t>
            </w: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14:paraId="2737415F" w14:textId="77777777" w:rsidR="005A38D2" w:rsidRPr="005A38D2" w:rsidRDefault="005A38D2" w:rsidP="0007407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DD3A57E" w14:textId="77777777" w:rsidR="005A38D2" w:rsidRPr="005A38D2" w:rsidRDefault="005A38D2" w:rsidP="0007407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B808D4C" w14:textId="77777777" w:rsidR="005A38D2" w:rsidRPr="005A38D2" w:rsidRDefault="005A38D2" w:rsidP="0007407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DB94AC4" w14:textId="77777777" w:rsidR="005A38D2" w:rsidRPr="005A38D2" w:rsidRDefault="005A38D2" w:rsidP="0007407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391A" w:rsidRPr="00F6391A" w14:paraId="64AA6F80" w14:textId="77777777" w:rsidTr="005A38D2">
        <w:trPr>
          <w:trHeight w:val="290"/>
        </w:trPr>
        <w:tc>
          <w:tcPr>
            <w:tcW w:w="5080" w:type="dxa"/>
            <w:gridSpan w:val="2"/>
            <w:shd w:val="clear" w:color="auto" w:fill="auto"/>
            <w:noWrap/>
            <w:vAlign w:val="bottom"/>
            <w:hideMark/>
          </w:tcPr>
          <w:p w14:paraId="55574DE9" w14:textId="77777777" w:rsidR="005A38D2" w:rsidRPr="005A38D2" w:rsidRDefault="005A38D2" w:rsidP="0007407D">
            <w:pPr>
              <w:spacing w:after="0" w:line="276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Current ratio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54BDA3" w14:textId="77777777" w:rsidR="005A38D2" w:rsidRPr="005A38D2" w:rsidRDefault="005A38D2" w:rsidP="000740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1.36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AFBCF75" w14:textId="77777777" w:rsidR="005A38D2" w:rsidRPr="005A38D2" w:rsidRDefault="005A38D2" w:rsidP="000740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1.07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952B304" w14:textId="77777777" w:rsidR="005A38D2" w:rsidRPr="005A38D2" w:rsidRDefault="005A38D2" w:rsidP="000740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0.88</w:t>
            </w:r>
          </w:p>
        </w:tc>
      </w:tr>
      <w:tr w:rsidR="00F6391A" w:rsidRPr="00F6391A" w14:paraId="1FB907CE" w14:textId="77777777" w:rsidTr="005A38D2">
        <w:trPr>
          <w:trHeight w:val="290"/>
        </w:trPr>
        <w:tc>
          <w:tcPr>
            <w:tcW w:w="5080" w:type="dxa"/>
            <w:gridSpan w:val="2"/>
            <w:shd w:val="clear" w:color="auto" w:fill="auto"/>
            <w:noWrap/>
            <w:vAlign w:val="bottom"/>
            <w:hideMark/>
          </w:tcPr>
          <w:p w14:paraId="7984738A" w14:textId="77777777" w:rsidR="005A38D2" w:rsidRPr="005A38D2" w:rsidRDefault="005A38D2" w:rsidP="0007407D">
            <w:pPr>
              <w:spacing w:after="0" w:line="276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Quick Ratio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516081" w14:textId="77777777" w:rsidR="005A38D2" w:rsidRPr="005A38D2" w:rsidRDefault="005A38D2" w:rsidP="000740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1.33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1F019F0" w14:textId="77777777" w:rsidR="005A38D2" w:rsidRPr="005A38D2" w:rsidRDefault="005A38D2" w:rsidP="000740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1.02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3200DAA" w14:textId="77777777" w:rsidR="005A38D2" w:rsidRPr="005A38D2" w:rsidRDefault="005A38D2" w:rsidP="000740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0.85</w:t>
            </w:r>
          </w:p>
        </w:tc>
      </w:tr>
      <w:tr w:rsidR="00F6391A" w:rsidRPr="00F6391A" w14:paraId="705A40A2" w14:textId="77777777" w:rsidTr="005A38D2">
        <w:trPr>
          <w:trHeight w:val="290"/>
        </w:trPr>
        <w:tc>
          <w:tcPr>
            <w:tcW w:w="5080" w:type="dxa"/>
            <w:gridSpan w:val="2"/>
            <w:shd w:val="clear" w:color="auto" w:fill="auto"/>
            <w:noWrap/>
            <w:vAlign w:val="bottom"/>
            <w:hideMark/>
          </w:tcPr>
          <w:p w14:paraId="186D2389" w14:textId="77777777" w:rsidR="005A38D2" w:rsidRPr="005A38D2" w:rsidRDefault="005A38D2" w:rsidP="0007407D">
            <w:pPr>
              <w:spacing w:after="0" w:line="276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Cash Ratio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DF8ED00" w14:textId="77777777" w:rsidR="005A38D2" w:rsidRPr="005A38D2" w:rsidRDefault="005A38D2" w:rsidP="000740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1A8F59D" w14:textId="77777777" w:rsidR="005A38D2" w:rsidRPr="005A38D2" w:rsidRDefault="005A38D2" w:rsidP="000740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9E34EFF" w14:textId="77777777" w:rsidR="005A38D2" w:rsidRPr="005A38D2" w:rsidRDefault="005A38D2" w:rsidP="000740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0.15</w:t>
            </w:r>
          </w:p>
        </w:tc>
      </w:tr>
      <w:tr w:rsidR="00F6391A" w:rsidRPr="00F6391A" w14:paraId="16CCC067" w14:textId="77777777" w:rsidTr="005A38D2">
        <w:trPr>
          <w:trHeight w:val="290"/>
        </w:trPr>
        <w:tc>
          <w:tcPr>
            <w:tcW w:w="5080" w:type="dxa"/>
            <w:gridSpan w:val="2"/>
            <w:shd w:val="clear" w:color="auto" w:fill="auto"/>
            <w:noWrap/>
            <w:vAlign w:val="bottom"/>
            <w:hideMark/>
          </w:tcPr>
          <w:p w14:paraId="516E894D" w14:textId="77777777" w:rsidR="005A38D2" w:rsidRPr="005A38D2" w:rsidRDefault="005A38D2" w:rsidP="0007407D">
            <w:pPr>
              <w:spacing w:after="0" w:line="276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Defensive Interval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9631F5" w14:textId="77777777" w:rsidR="005A38D2" w:rsidRPr="005A38D2" w:rsidRDefault="005A38D2" w:rsidP="000740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1318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5073575" w14:textId="77777777" w:rsidR="005A38D2" w:rsidRPr="005A38D2" w:rsidRDefault="005A38D2" w:rsidP="000740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09A9EDA" w14:textId="77777777" w:rsidR="005A38D2" w:rsidRPr="005A38D2" w:rsidRDefault="005A38D2" w:rsidP="000740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927</w:t>
            </w:r>
          </w:p>
        </w:tc>
      </w:tr>
      <w:tr w:rsidR="00F6391A" w:rsidRPr="00F6391A" w14:paraId="13825272" w14:textId="77777777" w:rsidTr="005A38D2">
        <w:trPr>
          <w:trHeight w:val="290"/>
        </w:trPr>
        <w:tc>
          <w:tcPr>
            <w:tcW w:w="5080" w:type="dxa"/>
            <w:gridSpan w:val="2"/>
            <w:shd w:val="clear" w:color="auto" w:fill="auto"/>
            <w:noWrap/>
            <w:vAlign w:val="bottom"/>
            <w:hideMark/>
          </w:tcPr>
          <w:p w14:paraId="47FDF387" w14:textId="77777777" w:rsidR="005A38D2" w:rsidRPr="005A38D2" w:rsidRDefault="005A38D2" w:rsidP="0007407D">
            <w:pPr>
              <w:spacing w:after="0" w:line="276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Inventory Days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4746026" w14:textId="77777777" w:rsidR="005A38D2" w:rsidRPr="005A38D2" w:rsidRDefault="005A38D2" w:rsidP="000740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F999767" w14:textId="77777777" w:rsidR="005A38D2" w:rsidRPr="005A38D2" w:rsidRDefault="005A38D2" w:rsidP="000740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2521F2A" w14:textId="77777777" w:rsidR="005A38D2" w:rsidRPr="005A38D2" w:rsidRDefault="005A38D2" w:rsidP="000740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</w:tr>
      <w:tr w:rsidR="00F6391A" w:rsidRPr="00F6391A" w14:paraId="10152831" w14:textId="77777777" w:rsidTr="005A38D2">
        <w:trPr>
          <w:trHeight w:val="290"/>
        </w:trPr>
        <w:tc>
          <w:tcPr>
            <w:tcW w:w="5080" w:type="dxa"/>
            <w:gridSpan w:val="2"/>
            <w:shd w:val="clear" w:color="auto" w:fill="auto"/>
            <w:noWrap/>
            <w:vAlign w:val="bottom"/>
            <w:hideMark/>
          </w:tcPr>
          <w:p w14:paraId="09A19E22" w14:textId="77777777" w:rsidR="005A38D2" w:rsidRPr="005A38D2" w:rsidRDefault="005A38D2" w:rsidP="0007407D">
            <w:pPr>
              <w:spacing w:after="0" w:line="276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Payable Days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3C331B" w14:textId="77777777" w:rsidR="005A38D2" w:rsidRPr="005A38D2" w:rsidRDefault="005A38D2" w:rsidP="000740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881417D" w14:textId="77777777" w:rsidR="005A38D2" w:rsidRPr="005A38D2" w:rsidRDefault="005A38D2" w:rsidP="000740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BA3877" w14:textId="77777777" w:rsidR="005A38D2" w:rsidRPr="005A38D2" w:rsidRDefault="005A38D2" w:rsidP="000740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105</w:t>
            </w:r>
          </w:p>
        </w:tc>
      </w:tr>
      <w:tr w:rsidR="00F6391A" w:rsidRPr="00F6391A" w14:paraId="19712BB1" w14:textId="77777777" w:rsidTr="005A38D2">
        <w:trPr>
          <w:trHeight w:val="290"/>
        </w:trPr>
        <w:tc>
          <w:tcPr>
            <w:tcW w:w="5080" w:type="dxa"/>
            <w:gridSpan w:val="2"/>
            <w:shd w:val="clear" w:color="auto" w:fill="auto"/>
            <w:noWrap/>
            <w:vAlign w:val="bottom"/>
            <w:hideMark/>
          </w:tcPr>
          <w:p w14:paraId="16B39620" w14:textId="77777777" w:rsidR="005A38D2" w:rsidRPr="005A38D2" w:rsidRDefault="005A38D2" w:rsidP="0007407D">
            <w:pPr>
              <w:spacing w:after="0" w:line="276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Receivable Days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93178E" w14:textId="77777777" w:rsidR="005A38D2" w:rsidRPr="005A38D2" w:rsidRDefault="005A38D2" w:rsidP="000740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FFB5277" w14:textId="77777777" w:rsidR="005A38D2" w:rsidRPr="005A38D2" w:rsidRDefault="005A38D2" w:rsidP="000740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977BB2" w14:textId="77777777" w:rsidR="005A38D2" w:rsidRPr="005A38D2" w:rsidRDefault="005A38D2" w:rsidP="000740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46</w:t>
            </w:r>
          </w:p>
        </w:tc>
      </w:tr>
      <w:tr w:rsidR="00F6391A" w:rsidRPr="00F6391A" w14:paraId="20CEFCB0" w14:textId="77777777" w:rsidTr="005A38D2">
        <w:trPr>
          <w:trHeight w:val="290"/>
        </w:trPr>
        <w:tc>
          <w:tcPr>
            <w:tcW w:w="5080" w:type="dxa"/>
            <w:gridSpan w:val="2"/>
            <w:shd w:val="clear" w:color="auto" w:fill="auto"/>
            <w:noWrap/>
            <w:vAlign w:val="bottom"/>
            <w:hideMark/>
          </w:tcPr>
          <w:p w14:paraId="25A5D87B" w14:textId="77777777" w:rsidR="005A38D2" w:rsidRPr="005A38D2" w:rsidRDefault="005A38D2" w:rsidP="0007407D">
            <w:pPr>
              <w:spacing w:after="0" w:line="276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Net trading cycle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66E9C7B" w14:textId="77777777" w:rsidR="005A38D2" w:rsidRPr="005A38D2" w:rsidRDefault="005A38D2" w:rsidP="000740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-48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C76048F" w14:textId="77777777" w:rsidR="005A38D2" w:rsidRPr="005A38D2" w:rsidRDefault="005A38D2" w:rsidP="000740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-38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699AEAE" w14:textId="77777777" w:rsidR="005A38D2" w:rsidRPr="005A38D2" w:rsidRDefault="005A38D2" w:rsidP="000740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-51</w:t>
            </w:r>
          </w:p>
        </w:tc>
      </w:tr>
      <w:tr w:rsidR="00F6391A" w:rsidRPr="00F6391A" w14:paraId="2E2D23F2" w14:textId="77777777" w:rsidTr="005A38D2">
        <w:trPr>
          <w:trHeight w:val="290"/>
        </w:trPr>
        <w:tc>
          <w:tcPr>
            <w:tcW w:w="5080" w:type="dxa"/>
            <w:gridSpan w:val="2"/>
            <w:shd w:val="clear" w:color="auto" w:fill="auto"/>
            <w:noWrap/>
            <w:vAlign w:val="bottom"/>
            <w:hideMark/>
          </w:tcPr>
          <w:p w14:paraId="3FC0BD9C" w14:textId="77777777" w:rsidR="005A38D2" w:rsidRPr="005A38D2" w:rsidRDefault="005A38D2" w:rsidP="0007407D">
            <w:pPr>
              <w:spacing w:after="0" w:line="276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Working Capital as a % of Sales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036E30F" w14:textId="77777777" w:rsidR="005A38D2" w:rsidRPr="005A38D2" w:rsidRDefault="005A38D2" w:rsidP="000740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14.0%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4B1AB0A" w14:textId="77777777" w:rsidR="005A38D2" w:rsidRPr="005A38D2" w:rsidRDefault="005A38D2" w:rsidP="000740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2.6%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FB6A63" w14:textId="77777777" w:rsidR="005A38D2" w:rsidRPr="005A38D2" w:rsidRDefault="005A38D2" w:rsidP="0007407D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-4.7%</w:t>
            </w:r>
          </w:p>
        </w:tc>
      </w:tr>
      <w:tr w:rsidR="00F6391A" w:rsidRPr="00F6391A" w14:paraId="23E6DEE6" w14:textId="77777777" w:rsidTr="005A38D2">
        <w:trPr>
          <w:trHeight w:val="290"/>
        </w:trPr>
        <w:tc>
          <w:tcPr>
            <w:tcW w:w="5080" w:type="dxa"/>
            <w:gridSpan w:val="2"/>
            <w:shd w:val="clear" w:color="auto" w:fill="auto"/>
            <w:noWrap/>
            <w:vAlign w:val="bottom"/>
            <w:hideMark/>
          </w:tcPr>
          <w:p w14:paraId="14C8B570" w14:textId="77777777" w:rsidR="005A38D2" w:rsidRPr="005A38D2" w:rsidRDefault="005A38D2" w:rsidP="0007407D">
            <w:pPr>
              <w:spacing w:after="0" w:line="276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Working Capital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2E537D7" w14:textId="77777777" w:rsidR="005A38D2" w:rsidRPr="005A38D2" w:rsidRDefault="005A38D2" w:rsidP="0007407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  38,321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E9C2F1C" w14:textId="77777777" w:rsidR="005A38D2" w:rsidRPr="005A38D2" w:rsidRDefault="005A38D2" w:rsidP="0007407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 9,355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8C836B1" w14:textId="77777777" w:rsidR="005A38D2" w:rsidRPr="005A38D2" w:rsidRDefault="005A38D2" w:rsidP="0007407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A38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(18,577)</w:t>
            </w:r>
          </w:p>
        </w:tc>
      </w:tr>
    </w:tbl>
    <w:p w14:paraId="2D3192D6" w14:textId="77777777" w:rsidR="005A38D2" w:rsidRPr="00F6391A" w:rsidRDefault="005A38D2" w:rsidP="0007407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B49657B" w14:textId="77777777" w:rsidR="0007407D" w:rsidRPr="00F6391A" w:rsidRDefault="0007407D" w:rsidP="0007407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4AC80CB" w14:textId="77777777" w:rsidR="0007407D" w:rsidRPr="00F6391A" w:rsidRDefault="0007407D" w:rsidP="0007407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AC9DC3E" w14:textId="77777777" w:rsidR="00C602EE" w:rsidRPr="00F6391A" w:rsidRDefault="00C602EE" w:rsidP="0007407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B3761B1" w14:textId="77777777" w:rsidR="00C602EE" w:rsidRPr="00F6391A" w:rsidRDefault="00C602EE" w:rsidP="0007407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6CB59C9" w14:textId="77777777" w:rsidR="00C602EE" w:rsidRPr="00F6391A" w:rsidRDefault="00C602EE" w:rsidP="0007407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73CEAFF" w14:textId="77777777" w:rsidR="00C602EE" w:rsidRPr="00F6391A" w:rsidRDefault="00C602EE" w:rsidP="0007407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4365ACC" w14:textId="77777777" w:rsidR="00C602EE" w:rsidRPr="00F6391A" w:rsidRDefault="00C602EE" w:rsidP="0007407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E5CE2F4" w14:textId="77777777" w:rsidR="00C602EE" w:rsidRPr="00F6391A" w:rsidRDefault="00C602EE" w:rsidP="0007407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917BA0B" w14:textId="77777777" w:rsidR="00C602EE" w:rsidRPr="00F6391A" w:rsidRDefault="00C602EE" w:rsidP="0007407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85A2127" w14:textId="77777777" w:rsidR="00C602EE" w:rsidRPr="00F6391A" w:rsidRDefault="00C602EE" w:rsidP="0007407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786A4B7" w14:textId="7D3175C2" w:rsidR="005A38D2" w:rsidRPr="00F6391A" w:rsidRDefault="0003686E" w:rsidP="0007407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6391A">
        <w:rPr>
          <w:rFonts w:ascii="Times New Roman" w:hAnsi="Times New Roman" w:cs="Times New Roman"/>
          <w:b/>
          <w:bCs/>
          <w:sz w:val="20"/>
          <w:szCs w:val="20"/>
        </w:rPr>
        <w:t>Chart 1</w:t>
      </w:r>
      <w:r w:rsidR="00C602EE" w:rsidRPr="00F6391A">
        <w:rPr>
          <w:rFonts w:ascii="Times New Roman" w:hAnsi="Times New Roman" w:cs="Times New Roman"/>
          <w:b/>
          <w:bCs/>
          <w:sz w:val="20"/>
          <w:szCs w:val="20"/>
        </w:rPr>
        <w:t xml:space="preserve"> – Liquidity </w:t>
      </w:r>
    </w:p>
    <w:p w14:paraId="3E1A56C6" w14:textId="0DC11150" w:rsidR="005A38D2" w:rsidRPr="00F6391A" w:rsidRDefault="005A38D2" w:rsidP="0007407D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6391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2C1E8C7" wp14:editId="4AF242FF">
            <wp:extent cx="5943600" cy="2734945"/>
            <wp:effectExtent l="0" t="0" r="0" b="8255"/>
            <wp:docPr id="177080637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8E7F83F-D3BE-4E31-8B52-E618619516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ADB5FB3" w14:textId="7D62992F" w:rsidR="005A38D2" w:rsidRPr="005A38D2" w:rsidRDefault="005A38D2" w:rsidP="0007407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38D2">
        <w:rPr>
          <w:rFonts w:ascii="Times New Roman" w:hAnsi="Times New Roman" w:cs="Times New Roman"/>
          <w:b/>
          <w:bCs/>
          <w:sz w:val="20"/>
          <w:szCs w:val="20"/>
        </w:rPr>
        <w:t>Apple’s 20</w:t>
      </w:r>
      <w:r w:rsidR="0003686E" w:rsidRPr="00F6391A">
        <w:rPr>
          <w:rFonts w:ascii="Times New Roman" w:hAnsi="Times New Roman" w:cs="Times New Roman"/>
          <w:b/>
          <w:bCs/>
          <w:sz w:val="20"/>
          <w:szCs w:val="20"/>
        </w:rPr>
        <w:t>22</w:t>
      </w:r>
      <w:r w:rsidRPr="005A38D2">
        <w:rPr>
          <w:rFonts w:ascii="Times New Roman" w:hAnsi="Times New Roman" w:cs="Times New Roman"/>
          <w:b/>
          <w:bCs/>
          <w:sz w:val="20"/>
          <w:szCs w:val="20"/>
        </w:rPr>
        <w:t xml:space="preserve"> Current Ratio</w:t>
      </w:r>
      <w:r w:rsidRPr="005A38D2">
        <w:rPr>
          <w:rFonts w:ascii="Times New Roman" w:hAnsi="Times New Roman" w:cs="Times New Roman"/>
          <w:sz w:val="20"/>
          <w:szCs w:val="20"/>
        </w:rPr>
        <w:t>: 0.88</w:t>
      </w:r>
    </w:p>
    <w:p w14:paraId="51FE6949" w14:textId="755BEA9A" w:rsidR="0003686E" w:rsidRPr="00F6391A" w:rsidRDefault="005A38D2" w:rsidP="0007407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91A">
        <w:rPr>
          <w:rFonts w:ascii="Times New Roman" w:hAnsi="Times New Roman" w:cs="Times New Roman"/>
          <w:b/>
          <w:bCs/>
          <w:sz w:val="20"/>
          <w:szCs w:val="20"/>
        </w:rPr>
        <w:t>Interpretation</w:t>
      </w:r>
      <w:r w:rsidRPr="00F6391A">
        <w:rPr>
          <w:rFonts w:ascii="Times New Roman" w:hAnsi="Times New Roman" w:cs="Times New Roman"/>
          <w:sz w:val="20"/>
          <w:szCs w:val="20"/>
        </w:rPr>
        <w:t xml:space="preserve">: </w:t>
      </w:r>
      <w:r w:rsidR="0003686E" w:rsidRPr="00F6391A">
        <w:rPr>
          <w:rFonts w:ascii="Times New Roman" w:hAnsi="Times New Roman" w:cs="Times New Roman"/>
          <w:sz w:val="20"/>
          <w:szCs w:val="20"/>
        </w:rPr>
        <w:t>The</w:t>
      </w:r>
      <w:r w:rsidRPr="00F6391A">
        <w:rPr>
          <w:rFonts w:ascii="Times New Roman" w:hAnsi="Times New Roman" w:cs="Times New Roman"/>
          <w:sz w:val="20"/>
          <w:szCs w:val="20"/>
        </w:rPr>
        <w:t xml:space="preserve"> current ratio below 1 indicates that Apple may not have enough current assets to cover its short-term liabilities. </w:t>
      </w:r>
    </w:p>
    <w:p w14:paraId="7A95592D" w14:textId="4A9B9869" w:rsidR="005A38D2" w:rsidRPr="005A38D2" w:rsidRDefault="005A38D2" w:rsidP="0007407D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5A38D2">
        <w:rPr>
          <w:rFonts w:ascii="Times New Roman" w:hAnsi="Times New Roman" w:cs="Times New Roman"/>
          <w:b/>
          <w:bCs/>
          <w:sz w:val="20"/>
          <w:szCs w:val="20"/>
        </w:rPr>
        <w:t>Apple’s 202</w:t>
      </w:r>
      <w:r w:rsidR="0003686E" w:rsidRPr="00F6391A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5A38D2">
        <w:rPr>
          <w:rFonts w:ascii="Times New Roman" w:hAnsi="Times New Roman" w:cs="Times New Roman"/>
          <w:b/>
          <w:bCs/>
          <w:sz w:val="20"/>
          <w:szCs w:val="20"/>
        </w:rPr>
        <w:t xml:space="preserve"> Quick Ratio</w:t>
      </w:r>
      <w:r w:rsidRPr="005A38D2">
        <w:rPr>
          <w:rFonts w:ascii="Times New Roman" w:hAnsi="Times New Roman" w:cs="Times New Roman"/>
          <w:sz w:val="20"/>
          <w:szCs w:val="20"/>
        </w:rPr>
        <w:t>: 0.85</w:t>
      </w:r>
    </w:p>
    <w:p w14:paraId="3F9E67B4" w14:textId="77777777" w:rsidR="0003686E" w:rsidRPr="00F6391A" w:rsidRDefault="005A38D2" w:rsidP="0007407D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6391A">
        <w:rPr>
          <w:rFonts w:ascii="Times New Roman" w:hAnsi="Times New Roman" w:cs="Times New Roman"/>
          <w:b/>
          <w:bCs/>
          <w:sz w:val="20"/>
          <w:szCs w:val="20"/>
        </w:rPr>
        <w:t>Interpretation</w:t>
      </w:r>
      <w:r w:rsidRPr="00F6391A">
        <w:rPr>
          <w:rFonts w:ascii="Times New Roman" w:hAnsi="Times New Roman" w:cs="Times New Roman"/>
          <w:sz w:val="20"/>
          <w:szCs w:val="20"/>
        </w:rPr>
        <w:t xml:space="preserve">: </w:t>
      </w:r>
      <w:r w:rsidR="0003686E" w:rsidRPr="00F6391A">
        <w:rPr>
          <w:rFonts w:ascii="Times New Roman" w:hAnsi="Times New Roman" w:cs="Times New Roman"/>
          <w:sz w:val="20"/>
          <w:szCs w:val="20"/>
        </w:rPr>
        <w:t xml:space="preserve">The </w:t>
      </w:r>
      <w:r w:rsidRPr="00F6391A">
        <w:rPr>
          <w:rFonts w:ascii="Times New Roman" w:hAnsi="Times New Roman" w:cs="Times New Roman"/>
          <w:sz w:val="20"/>
          <w:szCs w:val="20"/>
        </w:rPr>
        <w:t>current ratio</w:t>
      </w:r>
      <w:r w:rsidR="0003686E" w:rsidRPr="00F6391A">
        <w:rPr>
          <w:rFonts w:ascii="Times New Roman" w:hAnsi="Times New Roman" w:cs="Times New Roman"/>
          <w:sz w:val="20"/>
          <w:szCs w:val="20"/>
        </w:rPr>
        <w:t xml:space="preserve"> is below 1 indicating that Apple doesn't have enough quick assets to meet all its short-term obligations. If it suffers an interruption, it may find it difficult to raise the cash to pay its creditors.</w:t>
      </w:r>
    </w:p>
    <w:p w14:paraId="66AF468E" w14:textId="77777777" w:rsidR="00C602EE" w:rsidRPr="00F6391A" w:rsidRDefault="00C602EE" w:rsidP="00C602EE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96C6411" w14:textId="4DD7D556" w:rsidR="0007407D" w:rsidRPr="00F6391A" w:rsidRDefault="00C602EE" w:rsidP="00F6391A">
      <w:pPr>
        <w:pStyle w:val="Heading1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F6391A">
        <w:rPr>
          <w:rFonts w:ascii="Times New Roman" w:hAnsi="Times New Roman" w:cs="Times New Roman"/>
          <w:b/>
          <w:bCs/>
          <w:color w:val="auto"/>
          <w:sz w:val="20"/>
          <w:szCs w:val="20"/>
        </w:rPr>
        <w:t>4</w:t>
      </w:r>
      <w:r w:rsidR="0007407D" w:rsidRPr="00F6391A">
        <w:rPr>
          <w:rFonts w:ascii="Times New Roman" w:hAnsi="Times New Roman" w:cs="Times New Roman"/>
          <w:b/>
          <w:bCs/>
          <w:color w:val="auto"/>
          <w:sz w:val="20"/>
          <w:szCs w:val="20"/>
        </w:rPr>
        <w:t>. Profitability Ratios</w:t>
      </w:r>
    </w:p>
    <w:p w14:paraId="4E47D823" w14:textId="4ED026D1" w:rsidR="0007407D" w:rsidRPr="00F6391A" w:rsidRDefault="0007407D" w:rsidP="0007407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38D2">
        <w:rPr>
          <w:rFonts w:ascii="Times New Roman" w:hAnsi="Times New Roman" w:cs="Times New Roman"/>
          <w:sz w:val="20"/>
          <w:szCs w:val="20"/>
        </w:rPr>
        <w:t>Profitability ratios assess a company's ability to generate income relative to its revenue, assets, and equity</w:t>
      </w:r>
      <w:r w:rsidRPr="00F6391A">
        <w:rPr>
          <w:rFonts w:ascii="Times New Roman" w:hAnsi="Times New Roman" w:cs="Times New Roman"/>
          <w:sz w:val="20"/>
          <w:szCs w:val="20"/>
        </w:rPr>
        <w:t xml:space="preserve"> with the following margins being considered as shown in the table and chart below: -</w:t>
      </w:r>
    </w:p>
    <w:p w14:paraId="73BF9B95" w14:textId="39D7A522" w:rsidR="00D808F0" w:rsidRPr="00F6391A" w:rsidRDefault="00D808F0" w:rsidP="00D808F0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F6391A">
        <w:rPr>
          <w:rFonts w:ascii="Times New Roman" w:hAnsi="Times New Roman" w:cs="Times New Roman"/>
          <w:b/>
          <w:bCs/>
          <w:sz w:val="20"/>
          <w:szCs w:val="20"/>
        </w:rPr>
        <w:t>Table 2 - Profitability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4943"/>
        <w:gridCol w:w="222"/>
        <w:gridCol w:w="1670"/>
        <w:gridCol w:w="1080"/>
        <w:gridCol w:w="1440"/>
      </w:tblGrid>
      <w:tr w:rsidR="00F6391A" w:rsidRPr="00F6391A" w14:paraId="2C4C0278" w14:textId="77777777" w:rsidTr="00265A85">
        <w:trPr>
          <w:trHeight w:val="290"/>
        </w:trPr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8936" w14:textId="77777777" w:rsidR="0007407D" w:rsidRPr="00000129" w:rsidRDefault="0007407D" w:rsidP="00265A8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012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Profitability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B5EE" w14:textId="77777777" w:rsidR="0007407D" w:rsidRPr="00000129" w:rsidRDefault="0007407D" w:rsidP="0026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012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5916" w14:textId="77777777" w:rsidR="0007407D" w:rsidRPr="00000129" w:rsidRDefault="0007407D" w:rsidP="0026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012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4A80" w14:textId="77777777" w:rsidR="0007407D" w:rsidRPr="00000129" w:rsidRDefault="0007407D" w:rsidP="0026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012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2022</w:t>
            </w:r>
          </w:p>
        </w:tc>
      </w:tr>
      <w:tr w:rsidR="00F6391A" w:rsidRPr="00F6391A" w14:paraId="151ECACB" w14:textId="77777777" w:rsidTr="00265A85">
        <w:trPr>
          <w:trHeight w:val="290"/>
        </w:trPr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73B5" w14:textId="77777777" w:rsidR="0007407D" w:rsidRPr="00000129" w:rsidRDefault="0007407D" w:rsidP="00265A8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01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Gross margin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D6D8" w14:textId="77777777" w:rsidR="0007407D" w:rsidRPr="00000129" w:rsidRDefault="0007407D" w:rsidP="0026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01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38.2%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127B" w14:textId="77777777" w:rsidR="0007407D" w:rsidRPr="00000129" w:rsidRDefault="0007407D" w:rsidP="0026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01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41.8%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D5BE" w14:textId="77777777" w:rsidR="0007407D" w:rsidRPr="00000129" w:rsidRDefault="0007407D" w:rsidP="0026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01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43.3%</w:t>
            </w:r>
          </w:p>
        </w:tc>
      </w:tr>
      <w:tr w:rsidR="00F6391A" w:rsidRPr="00F6391A" w14:paraId="5E50BDF9" w14:textId="77777777" w:rsidTr="00265A85">
        <w:trPr>
          <w:trHeight w:val="290"/>
        </w:trPr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8F62" w14:textId="77777777" w:rsidR="0007407D" w:rsidRPr="00000129" w:rsidRDefault="0007407D" w:rsidP="00265A8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01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EBITDA margin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80EF" w14:textId="77777777" w:rsidR="0007407D" w:rsidRPr="00000129" w:rsidRDefault="0007407D" w:rsidP="0026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01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24.1%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44F6" w14:textId="77777777" w:rsidR="0007407D" w:rsidRPr="00000129" w:rsidRDefault="0007407D" w:rsidP="0026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01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29.8%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8009" w14:textId="77777777" w:rsidR="0007407D" w:rsidRPr="00000129" w:rsidRDefault="0007407D" w:rsidP="0026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01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30.3%</w:t>
            </w:r>
          </w:p>
        </w:tc>
      </w:tr>
      <w:tr w:rsidR="00F6391A" w:rsidRPr="00F6391A" w14:paraId="4C8E3B5C" w14:textId="77777777" w:rsidTr="00265A85">
        <w:trPr>
          <w:trHeight w:val="290"/>
        </w:trPr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D817" w14:textId="77777777" w:rsidR="0007407D" w:rsidRPr="00000129" w:rsidRDefault="0007407D" w:rsidP="00265A8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01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EBITDA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D402" w14:textId="77777777" w:rsidR="0007407D" w:rsidRPr="00000129" w:rsidRDefault="0007407D" w:rsidP="0026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01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66,288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088D" w14:textId="77777777" w:rsidR="0007407D" w:rsidRPr="00000129" w:rsidRDefault="0007407D" w:rsidP="0026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01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108,949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C90F" w14:textId="77777777" w:rsidR="0007407D" w:rsidRPr="00000129" w:rsidRDefault="0007407D" w:rsidP="0026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01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119,437</w:t>
            </w:r>
          </w:p>
        </w:tc>
      </w:tr>
      <w:tr w:rsidR="00F6391A" w:rsidRPr="00F6391A" w14:paraId="3D169695" w14:textId="77777777" w:rsidTr="00265A85">
        <w:trPr>
          <w:trHeight w:val="290"/>
        </w:trPr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1C74" w14:textId="77777777" w:rsidR="0007407D" w:rsidRPr="00000129" w:rsidRDefault="0007407D" w:rsidP="00265A8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01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EBIT margin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546D" w14:textId="77777777" w:rsidR="0007407D" w:rsidRPr="00000129" w:rsidRDefault="0007407D" w:rsidP="0026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01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24.4%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9B9C" w14:textId="77777777" w:rsidR="0007407D" w:rsidRPr="00000129" w:rsidRDefault="0007407D" w:rsidP="0026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01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29.9%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8A7C" w14:textId="77777777" w:rsidR="0007407D" w:rsidRPr="00000129" w:rsidRDefault="0007407D" w:rsidP="0026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01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30.2%</w:t>
            </w:r>
          </w:p>
        </w:tc>
      </w:tr>
      <w:tr w:rsidR="00F6391A" w:rsidRPr="00F6391A" w14:paraId="2CD7AA27" w14:textId="77777777" w:rsidTr="00265A85">
        <w:trPr>
          <w:trHeight w:val="300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9C4F" w14:textId="77777777" w:rsidR="0007407D" w:rsidRPr="00000129" w:rsidRDefault="0007407D" w:rsidP="00265A8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01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EBIT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55CC" w14:textId="77777777" w:rsidR="0007407D" w:rsidRPr="00000129" w:rsidRDefault="0007407D" w:rsidP="00265A85">
            <w:pPr>
              <w:spacing w:after="0" w:line="276" w:lineRule="auto"/>
              <w:ind w:firstLineChars="200" w:firstLine="4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3772" w14:textId="77777777" w:rsidR="0007407D" w:rsidRPr="00000129" w:rsidRDefault="0007407D" w:rsidP="0026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01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67,091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DD10" w14:textId="77777777" w:rsidR="0007407D" w:rsidRPr="00000129" w:rsidRDefault="0007407D" w:rsidP="0026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01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109,207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A80D" w14:textId="77777777" w:rsidR="0007407D" w:rsidRPr="00000129" w:rsidRDefault="0007407D" w:rsidP="0026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01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119,103</w:t>
            </w:r>
          </w:p>
        </w:tc>
      </w:tr>
      <w:tr w:rsidR="00F6391A" w:rsidRPr="00F6391A" w14:paraId="59135116" w14:textId="77777777" w:rsidTr="00265A85">
        <w:trPr>
          <w:trHeight w:val="300"/>
        </w:trPr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732E" w14:textId="77777777" w:rsidR="0007407D" w:rsidRPr="00000129" w:rsidRDefault="0007407D" w:rsidP="00265A85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01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Net margin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A3D1" w14:textId="77777777" w:rsidR="0007407D" w:rsidRPr="00000129" w:rsidRDefault="0007407D" w:rsidP="0026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01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20.9%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8FA5" w14:textId="77777777" w:rsidR="0007407D" w:rsidRPr="00000129" w:rsidRDefault="0007407D" w:rsidP="0026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01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25.9%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9D8F" w14:textId="77777777" w:rsidR="0007407D" w:rsidRPr="00000129" w:rsidRDefault="0007407D" w:rsidP="00265A8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0012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25.3%</w:t>
            </w:r>
          </w:p>
        </w:tc>
      </w:tr>
    </w:tbl>
    <w:p w14:paraId="2DF6BEA0" w14:textId="77777777" w:rsidR="0007407D" w:rsidRDefault="0007407D" w:rsidP="0007407D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A45688E" w14:textId="77777777" w:rsidR="00F6391A" w:rsidRDefault="00F6391A" w:rsidP="0007407D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E3F85CE" w14:textId="77777777" w:rsidR="00F6391A" w:rsidRPr="00F6391A" w:rsidRDefault="00F6391A" w:rsidP="0007407D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65AE05B" w14:textId="2FED9AE9" w:rsidR="0007407D" w:rsidRPr="005A38D2" w:rsidRDefault="0007407D" w:rsidP="0007407D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5A38D2">
        <w:rPr>
          <w:rFonts w:ascii="Times New Roman" w:hAnsi="Times New Roman" w:cs="Times New Roman"/>
          <w:b/>
          <w:bCs/>
          <w:sz w:val="20"/>
          <w:szCs w:val="20"/>
        </w:rPr>
        <w:lastRenderedPageBreak/>
        <w:t>Apple’s 202</w:t>
      </w:r>
      <w:r w:rsidRPr="00F6391A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5A38D2">
        <w:rPr>
          <w:rFonts w:ascii="Times New Roman" w:hAnsi="Times New Roman" w:cs="Times New Roman"/>
          <w:b/>
          <w:bCs/>
          <w:sz w:val="20"/>
          <w:szCs w:val="20"/>
        </w:rPr>
        <w:t xml:space="preserve"> Gross Margin</w:t>
      </w:r>
      <w:r w:rsidRPr="005A38D2">
        <w:rPr>
          <w:rFonts w:ascii="Times New Roman" w:hAnsi="Times New Roman" w:cs="Times New Roman"/>
          <w:sz w:val="20"/>
          <w:szCs w:val="20"/>
        </w:rPr>
        <w:t>: 43</w:t>
      </w:r>
      <w:r w:rsidR="00C602EE" w:rsidRPr="00F6391A">
        <w:rPr>
          <w:rFonts w:ascii="Times New Roman" w:hAnsi="Times New Roman" w:cs="Times New Roman"/>
          <w:sz w:val="20"/>
          <w:szCs w:val="20"/>
        </w:rPr>
        <w:t>.3</w:t>
      </w:r>
      <w:r w:rsidRPr="005A38D2">
        <w:rPr>
          <w:rFonts w:ascii="Times New Roman" w:hAnsi="Times New Roman" w:cs="Times New Roman"/>
          <w:sz w:val="20"/>
          <w:szCs w:val="20"/>
        </w:rPr>
        <w:t>%</w:t>
      </w:r>
    </w:p>
    <w:p w14:paraId="275DE717" w14:textId="77777777" w:rsidR="0007407D" w:rsidRPr="00F6391A" w:rsidRDefault="0007407D" w:rsidP="00C602E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91A">
        <w:rPr>
          <w:rFonts w:ascii="Times New Roman" w:hAnsi="Times New Roman" w:cs="Times New Roman"/>
          <w:b/>
          <w:bCs/>
          <w:sz w:val="20"/>
          <w:szCs w:val="20"/>
        </w:rPr>
        <w:t>Interpretation</w:t>
      </w:r>
      <w:r w:rsidRPr="00F6391A">
        <w:rPr>
          <w:rFonts w:ascii="Times New Roman" w:hAnsi="Times New Roman" w:cs="Times New Roman"/>
          <w:sz w:val="20"/>
          <w:szCs w:val="20"/>
        </w:rPr>
        <w:t>: A high gross profit margin indicates that Apple generates a significant portion of revenue after covering production costs, reflecting strong pricing power and efficient cost management.</w:t>
      </w:r>
    </w:p>
    <w:p w14:paraId="5EEBED41" w14:textId="77777777" w:rsidR="00C602EE" w:rsidRPr="00F6391A" w:rsidRDefault="00C602EE" w:rsidP="00C602EE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D9F0C96" w14:textId="317FA7A4" w:rsidR="0007407D" w:rsidRPr="005A38D2" w:rsidRDefault="0007407D" w:rsidP="00C602E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5A38D2">
        <w:rPr>
          <w:rFonts w:ascii="Times New Roman" w:hAnsi="Times New Roman" w:cs="Times New Roman"/>
          <w:b/>
          <w:bCs/>
          <w:sz w:val="20"/>
          <w:szCs w:val="20"/>
        </w:rPr>
        <w:t>Apple’s 202</w:t>
      </w:r>
      <w:r w:rsidRPr="00F6391A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5A38D2">
        <w:rPr>
          <w:rFonts w:ascii="Times New Roman" w:hAnsi="Times New Roman" w:cs="Times New Roman"/>
          <w:b/>
          <w:bCs/>
          <w:sz w:val="20"/>
          <w:szCs w:val="20"/>
        </w:rPr>
        <w:t xml:space="preserve"> Net Margin</w:t>
      </w:r>
      <w:r w:rsidRPr="005A38D2">
        <w:rPr>
          <w:rFonts w:ascii="Times New Roman" w:hAnsi="Times New Roman" w:cs="Times New Roman"/>
          <w:sz w:val="20"/>
          <w:szCs w:val="20"/>
        </w:rPr>
        <w:t xml:space="preserve">: </w:t>
      </w:r>
      <w:r w:rsidR="00C602EE" w:rsidRPr="00F6391A">
        <w:rPr>
          <w:rFonts w:ascii="Times New Roman" w:hAnsi="Times New Roman" w:cs="Times New Roman"/>
          <w:sz w:val="20"/>
          <w:szCs w:val="20"/>
        </w:rPr>
        <w:t>25.3</w:t>
      </w:r>
      <w:r w:rsidRPr="005A38D2">
        <w:rPr>
          <w:rFonts w:ascii="Times New Roman" w:hAnsi="Times New Roman" w:cs="Times New Roman"/>
          <w:sz w:val="20"/>
          <w:szCs w:val="20"/>
        </w:rPr>
        <w:t>%</w:t>
      </w:r>
    </w:p>
    <w:p w14:paraId="09B2D7AC" w14:textId="14F86FB8" w:rsidR="0007407D" w:rsidRPr="00F6391A" w:rsidRDefault="0007407D" w:rsidP="00C602EE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6391A">
        <w:rPr>
          <w:rFonts w:ascii="Times New Roman" w:hAnsi="Times New Roman" w:cs="Times New Roman"/>
          <w:b/>
          <w:bCs/>
          <w:sz w:val="20"/>
          <w:szCs w:val="20"/>
        </w:rPr>
        <w:t>Interpretation</w:t>
      </w:r>
      <w:r w:rsidRPr="00F6391A">
        <w:rPr>
          <w:rFonts w:ascii="Times New Roman" w:hAnsi="Times New Roman" w:cs="Times New Roman"/>
          <w:sz w:val="20"/>
          <w:szCs w:val="20"/>
        </w:rPr>
        <w:t>: Apple’s ability to retain 2</w:t>
      </w:r>
      <w:r w:rsidR="00C602EE" w:rsidRPr="00F6391A">
        <w:rPr>
          <w:rFonts w:ascii="Times New Roman" w:hAnsi="Times New Roman" w:cs="Times New Roman"/>
          <w:sz w:val="20"/>
          <w:szCs w:val="20"/>
        </w:rPr>
        <w:t>5.3</w:t>
      </w:r>
      <w:r w:rsidRPr="00F6391A">
        <w:rPr>
          <w:rFonts w:ascii="Times New Roman" w:hAnsi="Times New Roman" w:cs="Times New Roman"/>
          <w:sz w:val="20"/>
          <w:szCs w:val="20"/>
        </w:rPr>
        <w:t>% of its revenue as net profit is indicative of its operational efficiency and effective cost control.</w:t>
      </w:r>
    </w:p>
    <w:p w14:paraId="2D089AA8" w14:textId="09D2367D" w:rsidR="0007407D" w:rsidRPr="00F6391A" w:rsidRDefault="0007407D" w:rsidP="0007407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6391A">
        <w:rPr>
          <w:rFonts w:ascii="Times New Roman" w:hAnsi="Times New Roman" w:cs="Times New Roman"/>
          <w:b/>
          <w:bCs/>
          <w:sz w:val="20"/>
          <w:szCs w:val="20"/>
        </w:rPr>
        <w:t>Chart 2</w:t>
      </w:r>
      <w:r w:rsidR="00D808F0" w:rsidRPr="00F6391A">
        <w:rPr>
          <w:rFonts w:ascii="Times New Roman" w:hAnsi="Times New Roman" w:cs="Times New Roman"/>
          <w:b/>
          <w:bCs/>
          <w:sz w:val="20"/>
          <w:szCs w:val="20"/>
        </w:rPr>
        <w:t xml:space="preserve"> – Profitability </w:t>
      </w:r>
    </w:p>
    <w:p w14:paraId="62EC1DAB" w14:textId="173B0E21" w:rsidR="00287E6E" w:rsidRPr="00F6391A" w:rsidRDefault="0007407D" w:rsidP="0007407D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6391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5FC8FB7" wp14:editId="352223D1">
            <wp:extent cx="6092740" cy="3114675"/>
            <wp:effectExtent l="0" t="0" r="3810" b="9525"/>
            <wp:docPr id="204190714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02740CF-5210-4826-A90D-8FCB294605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6DF1FBB" w14:textId="77777777" w:rsidR="00287E6E" w:rsidRPr="00F6391A" w:rsidRDefault="00287E6E" w:rsidP="0007407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6EB9816" w14:textId="4FBAAC6A" w:rsidR="005A38D2" w:rsidRPr="00F6391A" w:rsidRDefault="005A38D2" w:rsidP="00F6391A">
      <w:pPr>
        <w:pStyle w:val="Heading1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F6391A">
        <w:rPr>
          <w:rFonts w:ascii="Times New Roman" w:hAnsi="Times New Roman" w:cs="Times New Roman"/>
          <w:b/>
          <w:bCs/>
          <w:color w:val="auto"/>
          <w:sz w:val="20"/>
          <w:szCs w:val="20"/>
        </w:rPr>
        <w:t>5. Solvency Ratios</w:t>
      </w:r>
    </w:p>
    <w:p w14:paraId="27365CC9" w14:textId="14736049" w:rsidR="005A38D2" w:rsidRPr="00F6391A" w:rsidRDefault="005A38D2" w:rsidP="0007407D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5A38D2">
        <w:rPr>
          <w:rFonts w:ascii="Times New Roman" w:hAnsi="Times New Roman" w:cs="Times New Roman"/>
          <w:sz w:val="20"/>
          <w:szCs w:val="20"/>
        </w:rPr>
        <w:t>Solvency ratios assess Apple’s long-term financial stability and its ability to meet long-term obligations</w:t>
      </w:r>
      <w:r w:rsidR="00D808F0" w:rsidRPr="00F6391A">
        <w:rPr>
          <w:rFonts w:ascii="Times New Roman" w:hAnsi="Times New Roman" w:cs="Times New Roman"/>
          <w:sz w:val="20"/>
          <w:szCs w:val="20"/>
        </w:rPr>
        <w:t xml:space="preserve"> with the following </w:t>
      </w:r>
      <w:r w:rsidR="00287E6E" w:rsidRPr="00F6391A">
        <w:rPr>
          <w:rFonts w:ascii="Times New Roman" w:hAnsi="Times New Roman" w:cs="Times New Roman"/>
          <w:sz w:val="20"/>
          <w:szCs w:val="20"/>
        </w:rPr>
        <w:t>ratios</w:t>
      </w:r>
      <w:r w:rsidR="00D808F0" w:rsidRPr="00F6391A">
        <w:rPr>
          <w:rFonts w:ascii="Times New Roman" w:hAnsi="Times New Roman" w:cs="Times New Roman"/>
          <w:sz w:val="20"/>
          <w:szCs w:val="20"/>
        </w:rPr>
        <w:t xml:space="preserve"> being considered as shown in the table and chart below: -</w:t>
      </w:r>
    </w:p>
    <w:p w14:paraId="0C51202C" w14:textId="1C282AF0" w:rsidR="00287E6E" w:rsidRPr="00F6391A" w:rsidRDefault="00287E6E" w:rsidP="00287E6E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F6391A">
        <w:rPr>
          <w:rFonts w:ascii="Times New Roman" w:hAnsi="Times New Roman" w:cs="Times New Roman"/>
          <w:b/>
          <w:bCs/>
          <w:sz w:val="20"/>
          <w:szCs w:val="20"/>
        </w:rPr>
        <w:t xml:space="preserve">Table 3 – Solvency 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1060"/>
        <w:gridCol w:w="1320"/>
        <w:gridCol w:w="1060"/>
      </w:tblGrid>
      <w:tr w:rsidR="00F6391A" w:rsidRPr="00F6391A" w14:paraId="0D84CA43" w14:textId="77777777" w:rsidTr="00287E6E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16F1AF6E" w14:textId="77777777" w:rsidR="00287E6E" w:rsidRPr="00287E6E" w:rsidRDefault="00287E6E" w:rsidP="00287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7E6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Solvency/ debt management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E3CF2C" w14:textId="77777777" w:rsidR="00287E6E" w:rsidRPr="00287E6E" w:rsidRDefault="00287E6E" w:rsidP="00287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7E6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E8FBE60" w14:textId="77777777" w:rsidR="00287E6E" w:rsidRPr="00287E6E" w:rsidRDefault="00287E6E" w:rsidP="00287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7E6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873839" w14:textId="77777777" w:rsidR="00287E6E" w:rsidRPr="00287E6E" w:rsidRDefault="00287E6E" w:rsidP="00287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7E6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2022</w:t>
            </w:r>
          </w:p>
        </w:tc>
      </w:tr>
      <w:tr w:rsidR="00F6391A" w:rsidRPr="00F6391A" w14:paraId="5D38D53B" w14:textId="77777777" w:rsidTr="00287E6E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3A502104" w14:textId="77777777" w:rsidR="00287E6E" w:rsidRPr="00287E6E" w:rsidRDefault="00287E6E" w:rsidP="00287E6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87E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Debt to equity (D/E)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0F6488" w14:textId="77777777" w:rsidR="00287E6E" w:rsidRPr="00287E6E" w:rsidRDefault="00287E6E" w:rsidP="00287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87E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3.96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C907338" w14:textId="77777777" w:rsidR="00287E6E" w:rsidRPr="00287E6E" w:rsidRDefault="00287E6E" w:rsidP="00287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87E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4.56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A125ED" w14:textId="77777777" w:rsidR="00287E6E" w:rsidRPr="00287E6E" w:rsidRDefault="00287E6E" w:rsidP="00287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87E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5.96</w:t>
            </w:r>
          </w:p>
        </w:tc>
      </w:tr>
      <w:tr w:rsidR="00F6391A" w:rsidRPr="00F6391A" w14:paraId="3B99BD69" w14:textId="77777777" w:rsidTr="00287E6E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685913FE" w14:textId="77777777" w:rsidR="00287E6E" w:rsidRPr="00287E6E" w:rsidRDefault="00287E6E" w:rsidP="00287E6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87E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Debt to total assets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60F621" w14:textId="77777777" w:rsidR="00287E6E" w:rsidRPr="00287E6E" w:rsidRDefault="00287E6E" w:rsidP="00287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87E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0.80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ECF1751" w14:textId="77777777" w:rsidR="00287E6E" w:rsidRPr="00287E6E" w:rsidRDefault="00287E6E" w:rsidP="00287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87E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0.82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BE7BA2" w14:textId="77777777" w:rsidR="00287E6E" w:rsidRPr="00287E6E" w:rsidRDefault="00287E6E" w:rsidP="00287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87E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0.86</w:t>
            </w:r>
          </w:p>
        </w:tc>
      </w:tr>
      <w:tr w:rsidR="00F6391A" w:rsidRPr="00F6391A" w14:paraId="191D72B3" w14:textId="77777777" w:rsidTr="00287E6E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14042A88" w14:textId="77777777" w:rsidR="00287E6E" w:rsidRPr="00287E6E" w:rsidRDefault="00287E6E" w:rsidP="00287E6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87E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Long-term debt to capital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E05E85" w14:textId="77777777" w:rsidR="00287E6E" w:rsidRPr="00287E6E" w:rsidRDefault="00287E6E" w:rsidP="00287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87E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1.51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0972096" w14:textId="77777777" w:rsidR="00287E6E" w:rsidRPr="00287E6E" w:rsidRDefault="00287E6E" w:rsidP="00287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87E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1.73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C9CF2B" w14:textId="77777777" w:rsidR="00287E6E" w:rsidRPr="00287E6E" w:rsidRDefault="00287E6E" w:rsidP="00287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87E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1.95</w:t>
            </w:r>
          </w:p>
        </w:tc>
      </w:tr>
      <w:tr w:rsidR="00F6391A" w:rsidRPr="00F6391A" w14:paraId="40265F64" w14:textId="77777777" w:rsidTr="00287E6E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19C6064F" w14:textId="77777777" w:rsidR="00287E6E" w:rsidRPr="00287E6E" w:rsidRDefault="00287E6E" w:rsidP="00287E6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87E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Times interest earned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ECD0E6" w14:textId="77777777" w:rsidR="00287E6E" w:rsidRPr="00287E6E" w:rsidRDefault="00287E6E" w:rsidP="00287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87E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22.35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416FD59" w14:textId="77777777" w:rsidR="00287E6E" w:rsidRPr="00287E6E" w:rsidRDefault="00287E6E" w:rsidP="00287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87E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40.64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01E121" w14:textId="77777777" w:rsidR="00287E6E" w:rsidRPr="00287E6E" w:rsidRDefault="00287E6E" w:rsidP="00287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87E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41.57</w:t>
            </w:r>
          </w:p>
        </w:tc>
      </w:tr>
      <w:tr w:rsidR="00F6391A" w:rsidRPr="00F6391A" w14:paraId="7551B907" w14:textId="77777777" w:rsidTr="00287E6E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1B266635" w14:textId="77777777" w:rsidR="00287E6E" w:rsidRPr="00287E6E" w:rsidRDefault="00287E6E" w:rsidP="00287E6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87E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Debt coverage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2BCD41" w14:textId="77777777" w:rsidR="00287E6E" w:rsidRPr="00287E6E" w:rsidRDefault="00287E6E" w:rsidP="00287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87E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4.82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A6E13D3" w14:textId="77777777" w:rsidR="00287E6E" w:rsidRPr="00287E6E" w:rsidRDefault="00287E6E" w:rsidP="00287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87E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6.79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FB5DFD" w14:textId="77777777" w:rsidR="00287E6E" w:rsidRPr="00287E6E" w:rsidRDefault="00287E6E" w:rsidP="00287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87E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7.14</w:t>
            </w:r>
          </w:p>
        </w:tc>
      </w:tr>
      <w:tr w:rsidR="00F6391A" w:rsidRPr="00F6391A" w14:paraId="7C607724" w14:textId="77777777" w:rsidTr="00287E6E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5B344724" w14:textId="77777777" w:rsidR="00287E6E" w:rsidRPr="00287E6E" w:rsidRDefault="00287E6E" w:rsidP="00287E6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87E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Free cash flow (FCFE) per share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9A04D2" w14:textId="77777777" w:rsidR="00287E6E" w:rsidRPr="00287E6E" w:rsidRDefault="00287E6E" w:rsidP="00287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87E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0.40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2B7D6D6" w14:textId="77777777" w:rsidR="00287E6E" w:rsidRPr="00287E6E" w:rsidRDefault="00287E6E" w:rsidP="00287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87E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0.44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B9B4F8" w14:textId="77777777" w:rsidR="00287E6E" w:rsidRPr="00287E6E" w:rsidRDefault="00287E6E" w:rsidP="00287E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287E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0.72</w:t>
            </w:r>
          </w:p>
        </w:tc>
      </w:tr>
    </w:tbl>
    <w:p w14:paraId="668BCEF4" w14:textId="77777777" w:rsidR="00D808F0" w:rsidRPr="00F6391A" w:rsidRDefault="00D808F0" w:rsidP="0007407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B03FBAA" w14:textId="77777777" w:rsidR="00287E6E" w:rsidRDefault="00287E6E" w:rsidP="0007407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A41AD86" w14:textId="77777777" w:rsidR="00F6391A" w:rsidRPr="00F6391A" w:rsidRDefault="00F6391A" w:rsidP="0007407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83D864C" w14:textId="67175552" w:rsidR="00287E6E" w:rsidRPr="00F6391A" w:rsidRDefault="00287E6E" w:rsidP="00287E6E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F6391A">
        <w:rPr>
          <w:rFonts w:ascii="Times New Roman" w:hAnsi="Times New Roman" w:cs="Times New Roman"/>
          <w:b/>
          <w:bCs/>
          <w:sz w:val="20"/>
          <w:szCs w:val="20"/>
        </w:rPr>
        <w:t xml:space="preserve">Chart 3 – Solvency </w:t>
      </w:r>
    </w:p>
    <w:p w14:paraId="0CE3DA23" w14:textId="4D1C8D1F" w:rsidR="00D808F0" w:rsidRPr="005A38D2" w:rsidRDefault="00D808F0" w:rsidP="0007407D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6391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636ED13" wp14:editId="015D6BCD">
            <wp:extent cx="6102350" cy="2743200"/>
            <wp:effectExtent l="0" t="0" r="12700" b="0"/>
            <wp:docPr id="20222137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FBA425F-B1DE-4681-8B41-F83CF925342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7EE15FF" w14:textId="46B9C98E" w:rsidR="005A38D2" w:rsidRPr="005A38D2" w:rsidRDefault="005A38D2" w:rsidP="00287E6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5A38D2">
        <w:rPr>
          <w:rFonts w:ascii="Times New Roman" w:hAnsi="Times New Roman" w:cs="Times New Roman"/>
          <w:b/>
          <w:bCs/>
          <w:sz w:val="20"/>
          <w:szCs w:val="20"/>
        </w:rPr>
        <w:t>Apple’s 202</w:t>
      </w:r>
      <w:r w:rsidR="00CA0EA0" w:rsidRPr="00F6391A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5A38D2">
        <w:rPr>
          <w:rFonts w:ascii="Times New Roman" w:hAnsi="Times New Roman" w:cs="Times New Roman"/>
          <w:b/>
          <w:bCs/>
          <w:sz w:val="20"/>
          <w:szCs w:val="20"/>
        </w:rPr>
        <w:t xml:space="preserve"> Debt-to-Equity Ratio</w:t>
      </w:r>
      <w:r w:rsidRPr="005A38D2">
        <w:rPr>
          <w:rFonts w:ascii="Times New Roman" w:hAnsi="Times New Roman" w:cs="Times New Roman"/>
          <w:sz w:val="20"/>
          <w:szCs w:val="20"/>
        </w:rPr>
        <w:t xml:space="preserve">: </w:t>
      </w:r>
      <w:r w:rsidR="00287E6E" w:rsidRPr="00F6391A">
        <w:rPr>
          <w:rFonts w:ascii="Times New Roman" w:hAnsi="Times New Roman" w:cs="Times New Roman"/>
          <w:sz w:val="20"/>
          <w:szCs w:val="20"/>
        </w:rPr>
        <w:t>5</w:t>
      </w:r>
      <w:r w:rsidRPr="005A38D2">
        <w:rPr>
          <w:rFonts w:ascii="Times New Roman" w:hAnsi="Times New Roman" w:cs="Times New Roman"/>
          <w:sz w:val="20"/>
          <w:szCs w:val="20"/>
        </w:rPr>
        <w:t>.</w:t>
      </w:r>
      <w:r w:rsidR="00287E6E" w:rsidRPr="00F6391A">
        <w:rPr>
          <w:rFonts w:ascii="Times New Roman" w:hAnsi="Times New Roman" w:cs="Times New Roman"/>
          <w:sz w:val="20"/>
          <w:szCs w:val="20"/>
        </w:rPr>
        <w:t>96</w:t>
      </w:r>
    </w:p>
    <w:p w14:paraId="755A0F0C" w14:textId="4463C7BA" w:rsidR="005A38D2" w:rsidRPr="00F6391A" w:rsidRDefault="005A38D2" w:rsidP="00AE413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91A">
        <w:rPr>
          <w:rFonts w:ascii="Times New Roman" w:hAnsi="Times New Roman" w:cs="Times New Roman"/>
          <w:b/>
          <w:bCs/>
          <w:sz w:val="20"/>
          <w:szCs w:val="20"/>
        </w:rPr>
        <w:t>Interpretation</w:t>
      </w:r>
      <w:r w:rsidRPr="00F6391A">
        <w:rPr>
          <w:rFonts w:ascii="Times New Roman" w:hAnsi="Times New Roman" w:cs="Times New Roman"/>
          <w:sz w:val="20"/>
          <w:szCs w:val="20"/>
        </w:rPr>
        <w:t>: Apple has a significant amount of debt relative to its equity. However, given its high profitability and consistent cash flows, the company appears to be leveraging debt effectively to enhance shareholder returns.</w:t>
      </w:r>
    </w:p>
    <w:p w14:paraId="1B002EEE" w14:textId="4622D50D" w:rsidR="005A38D2" w:rsidRPr="00F6391A" w:rsidRDefault="005A38D2" w:rsidP="00F6391A">
      <w:pPr>
        <w:pStyle w:val="Heading1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F6391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6. </w:t>
      </w:r>
      <w:r w:rsidR="00CA0EA0" w:rsidRPr="00F6391A">
        <w:rPr>
          <w:rFonts w:ascii="Times New Roman" w:hAnsi="Times New Roman" w:cs="Times New Roman"/>
          <w:b/>
          <w:bCs/>
          <w:color w:val="auto"/>
          <w:sz w:val="20"/>
          <w:szCs w:val="20"/>
        </w:rPr>
        <w:t>Asset Utilization Ratios</w:t>
      </w:r>
    </w:p>
    <w:p w14:paraId="016311AF" w14:textId="77777777" w:rsidR="00CA0EA0" w:rsidRPr="00F6391A" w:rsidRDefault="00CA0EA0" w:rsidP="00AE413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91A">
        <w:rPr>
          <w:rFonts w:ascii="Times New Roman" w:hAnsi="Times New Roman" w:cs="Times New Roman"/>
          <w:sz w:val="20"/>
          <w:szCs w:val="20"/>
        </w:rPr>
        <w:t>Asset utilization is a key financial metric that measures how efficiently a company uses its assets to generate revenue with the following ratios being considered as shown in the table and chart below: -</w:t>
      </w:r>
    </w:p>
    <w:p w14:paraId="723E144D" w14:textId="1ECE6F3A" w:rsidR="00CA0EA0" w:rsidRPr="00F6391A" w:rsidRDefault="00CA0EA0" w:rsidP="00CA0EA0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F6391A">
        <w:rPr>
          <w:rFonts w:ascii="Times New Roman" w:hAnsi="Times New Roman" w:cs="Times New Roman"/>
          <w:b/>
          <w:bCs/>
          <w:sz w:val="20"/>
          <w:szCs w:val="20"/>
        </w:rPr>
        <w:t>Table 4 – Asset Utilization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1060"/>
        <w:gridCol w:w="1320"/>
        <w:gridCol w:w="1060"/>
      </w:tblGrid>
      <w:tr w:rsidR="00F6391A" w:rsidRPr="00F6391A" w14:paraId="6B8B1781" w14:textId="77777777" w:rsidTr="00CA0EA0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754EA8A8" w14:textId="77777777" w:rsidR="00CA0EA0" w:rsidRPr="00CA0EA0" w:rsidRDefault="00CA0EA0" w:rsidP="00CA0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A0EA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Asset utilization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A92E90" w14:textId="77777777" w:rsidR="00CA0EA0" w:rsidRPr="00CA0EA0" w:rsidRDefault="00CA0EA0" w:rsidP="00CA0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A0EA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66C3C21" w14:textId="77777777" w:rsidR="00CA0EA0" w:rsidRPr="00CA0EA0" w:rsidRDefault="00CA0EA0" w:rsidP="00CA0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A0EA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4B9475" w14:textId="77777777" w:rsidR="00CA0EA0" w:rsidRPr="00CA0EA0" w:rsidRDefault="00CA0EA0" w:rsidP="00CA0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A0EA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2022</w:t>
            </w:r>
          </w:p>
        </w:tc>
      </w:tr>
      <w:tr w:rsidR="00F6391A" w:rsidRPr="00F6391A" w14:paraId="060F5501" w14:textId="77777777" w:rsidTr="00CA0EA0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5211A93F" w14:textId="77777777" w:rsidR="00CA0EA0" w:rsidRPr="00CA0EA0" w:rsidRDefault="00CA0EA0" w:rsidP="00CA0EA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A0E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Total asset turnover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96B99F" w14:textId="77777777" w:rsidR="00CA0EA0" w:rsidRPr="00CA0EA0" w:rsidRDefault="00CA0EA0" w:rsidP="00CA0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A0E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0.85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35BB32C" w14:textId="77777777" w:rsidR="00CA0EA0" w:rsidRPr="00CA0EA0" w:rsidRDefault="00CA0EA0" w:rsidP="00CA0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A0E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1.04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F5717A" w14:textId="77777777" w:rsidR="00CA0EA0" w:rsidRPr="00CA0EA0" w:rsidRDefault="00CA0EA0" w:rsidP="00CA0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A0E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</w:tr>
      <w:tr w:rsidR="00F6391A" w:rsidRPr="00F6391A" w14:paraId="68A4B5B6" w14:textId="77777777" w:rsidTr="00CA0EA0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153CA842" w14:textId="55FCFAFD" w:rsidR="00CA0EA0" w:rsidRPr="00CA0EA0" w:rsidRDefault="00F6391A" w:rsidP="00CA0EA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</w:t>
            </w:r>
            <w:r w:rsidR="00CA0EA0" w:rsidRPr="00CA0E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Fixed</w:t>
            </w:r>
            <w:proofErr w:type="spellEnd"/>
            <w:r w:rsidR="00CA0EA0" w:rsidRPr="00CA0E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asset turnover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0FBBD9" w14:textId="77777777" w:rsidR="00CA0EA0" w:rsidRPr="00CA0EA0" w:rsidRDefault="00CA0EA0" w:rsidP="00CA0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A0E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1.52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DA665CD" w14:textId="77777777" w:rsidR="00CA0EA0" w:rsidRPr="00CA0EA0" w:rsidRDefault="00CA0EA0" w:rsidP="00CA0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A0E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1.69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9C2784" w14:textId="77777777" w:rsidR="00CA0EA0" w:rsidRPr="00CA0EA0" w:rsidRDefault="00CA0EA0" w:rsidP="00CA0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A0E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1.81</w:t>
            </w:r>
          </w:p>
        </w:tc>
      </w:tr>
      <w:tr w:rsidR="00F6391A" w:rsidRPr="00F6391A" w14:paraId="664421D4" w14:textId="77777777" w:rsidTr="00CA0EA0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11DC0141" w14:textId="77777777" w:rsidR="00CA0EA0" w:rsidRPr="00CA0EA0" w:rsidRDefault="00CA0EA0" w:rsidP="00CA0EA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A0E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Inventory turnover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28D0F0" w14:textId="77777777" w:rsidR="00CA0EA0" w:rsidRPr="00CA0EA0" w:rsidRDefault="00CA0EA0" w:rsidP="00CA0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A0E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41.75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8E4551C" w14:textId="77777777" w:rsidR="00CA0EA0" w:rsidRPr="00CA0EA0" w:rsidRDefault="00CA0EA0" w:rsidP="00CA0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A0E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32.37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A20FC6" w14:textId="77777777" w:rsidR="00CA0EA0" w:rsidRPr="00CA0EA0" w:rsidRDefault="00CA0EA0" w:rsidP="00CA0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A0E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45.20</w:t>
            </w:r>
          </w:p>
        </w:tc>
      </w:tr>
      <w:tr w:rsidR="00F6391A" w:rsidRPr="00F6391A" w14:paraId="0AC7281E" w14:textId="77777777" w:rsidTr="00CA0EA0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5ED2A85E" w14:textId="77777777" w:rsidR="00CA0EA0" w:rsidRPr="00CA0EA0" w:rsidRDefault="00CA0EA0" w:rsidP="00CA0EA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A0E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Return on assets (ROA)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91FCA2" w14:textId="77777777" w:rsidR="00CA0EA0" w:rsidRPr="00CA0EA0" w:rsidRDefault="00CA0EA0" w:rsidP="00CA0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A0E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595AE90" w14:textId="77777777" w:rsidR="00CA0EA0" w:rsidRPr="00CA0EA0" w:rsidRDefault="00CA0EA0" w:rsidP="00CA0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A0E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56B0BE" w14:textId="77777777" w:rsidR="00CA0EA0" w:rsidRPr="00CA0EA0" w:rsidRDefault="00CA0EA0" w:rsidP="00CA0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A0EA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</w:tr>
    </w:tbl>
    <w:p w14:paraId="6CE2FF80" w14:textId="50AA1734" w:rsidR="00CA0EA0" w:rsidRPr="00F6391A" w:rsidRDefault="00CA0EA0" w:rsidP="00CA0EA0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0C81E7B" w14:textId="0E159036" w:rsidR="00AE4137" w:rsidRPr="005A38D2" w:rsidRDefault="00AE4137" w:rsidP="00AE4137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5A38D2">
        <w:rPr>
          <w:rFonts w:ascii="Times New Roman" w:hAnsi="Times New Roman" w:cs="Times New Roman"/>
          <w:b/>
          <w:bCs/>
          <w:sz w:val="20"/>
          <w:szCs w:val="20"/>
        </w:rPr>
        <w:t>Apple’s 202</w:t>
      </w:r>
      <w:r w:rsidRPr="00F6391A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5A38D2">
        <w:rPr>
          <w:rFonts w:ascii="Times New Roman" w:hAnsi="Times New Roman" w:cs="Times New Roman"/>
          <w:b/>
          <w:bCs/>
          <w:sz w:val="20"/>
          <w:szCs w:val="20"/>
        </w:rPr>
        <w:t xml:space="preserve"> Asset Turnover Ratio</w:t>
      </w:r>
      <w:r w:rsidRPr="005A38D2">
        <w:rPr>
          <w:rFonts w:ascii="Times New Roman" w:hAnsi="Times New Roman" w:cs="Times New Roman"/>
          <w:sz w:val="20"/>
          <w:szCs w:val="20"/>
        </w:rPr>
        <w:t xml:space="preserve">: </w:t>
      </w:r>
      <w:r w:rsidR="00F6391A" w:rsidRPr="00F6391A">
        <w:rPr>
          <w:rFonts w:ascii="Times New Roman" w:hAnsi="Times New Roman" w:cs="Times New Roman"/>
          <w:sz w:val="20"/>
          <w:szCs w:val="20"/>
        </w:rPr>
        <w:t>1.12</w:t>
      </w:r>
    </w:p>
    <w:p w14:paraId="5838B1FB" w14:textId="04AAD9BF" w:rsidR="00AE4137" w:rsidRPr="00F6391A" w:rsidRDefault="00AE4137" w:rsidP="008C558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91A">
        <w:rPr>
          <w:rFonts w:ascii="Times New Roman" w:hAnsi="Times New Roman" w:cs="Times New Roman"/>
          <w:b/>
          <w:bCs/>
          <w:sz w:val="20"/>
          <w:szCs w:val="20"/>
        </w:rPr>
        <w:t>Interpretation</w:t>
      </w:r>
      <w:r w:rsidRPr="00F6391A">
        <w:rPr>
          <w:rFonts w:ascii="Times New Roman" w:hAnsi="Times New Roman" w:cs="Times New Roman"/>
          <w:sz w:val="20"/>
          <w:szCs w:val="20"/>
        </w:rPr>
        <w:t>: Apple generates $</w:t>
      </w:r>
      <w:r w:rsidR="00F6391A" w:rsidRPr="00F6391A">
        <w:rPr>
          <w:rFonts w:ascii="Times New Roman" w:hAnsi="Times New Roman" w:cs="Times New Roman"/>
          <w:sz w:val="20"/>
          <w:szCs w:val="20"/>
        </w:rPr>
        <w:t>1</w:t>
      </w:r>
      <w:r w:rsidRPr="00F6391A">
        <w:rPr>
          <w:rFonts w:ascii="Times New Roman" w:hAnsi="Times New Roman" w:cs="Times New Roman"/>
          <w:sz w:val="20"/>
          <w:szCs w:val="20"/>
        </w:rPr>
        <w:t>.</w:t>
      </w:r>
      <w:r w:rsidR="00F6391A" w:rsidRPr="00F6391A">
        <w:rPr>
          <w:rFonts w:ascii="Times New Roman" w:hAnsi="Times New Roman" w:cs="Times New Roman"/>
          <w:sz w:val="20"/>
          <w:szCs w:val="20"/>
        </w:rPr>
        <w:t>12</w:t>
      </w:r>
      <w:r w:rsidRPr="00F6391A">
        <w:rPr>
          <w:rFonts w:ascii="Times New Roman" w:hAnsi="Times New Roman" w:cs="Times New Roman"/>
          <w:sz w:val="20"/>
          <w:szCs w:val="20"/>
        </w:rPr>
        <w:t xml:space="preserve"> in revenue for every dollar of assets, reflecting its efficiency in using assets to drive sales.</w:t>
      </w:r>
      <w:r w:rsidR="00F6391A" w:rsidRPr="00F6391A">
        <w:rPr>
          <w:rFonts w:ascii="Times New Roman" w:hAnsi="Times New Roman" w:cs="Times New Roman"/>
          <w:sz w:val="20"/>
          <w:szCs w:val="20"/>
        </w:rPr>
        <w:t xml:space="preserve"> Apple’s asset turnover ratio has remained consistent, slightly improving in from 202 to 2022 due to strong revenue growth without proportional growth in asset base.</w:t>
      </w:r>
    </w:p>
    <w:p w14:paraId="3EF4BED0" w14:textId="5626ED53" w:rsidR="00F6391A" w:rsidRPr="005A38D2" w:rsidRDefault="00F6391A" w:rsidP="00F6391A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5A38D2">
        <w:rPr>
          <w:rFonts w:ascii="Times New Roman" w:hAnsi="Times New Roman" w:cs="Times New Roman"/>
          <w:b/>
          <w:bCs/>
          <w:sz w:val="20"/>
          <w:szCs w:val="20"/>
        </w:rPr>
        <w:t>Apple’s 202</w:t>
      </w:r>
      <w:r w:rsidRPr="00F6391A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5A38D2">
        <w:rPr>
          <w:rFonts w:ascii="Times New Roman" w:hAnsi="Times New Roman" w:cs="Times New Roman"/>
          <w:b/>
          <w:bCs/>
          <w:sz w:val="20"/>
          <w:szCs w:val="20"/>
        </w:rPr>
        <w:t xml:space="preserve"> Inventory Turnover Ratio</w:t>
      </w:r>
      <w:r w:rsidRPr="005A38D2">
        <w:rPr>
          <w:rFonts w:ascii="Times New Roman" w:hAnsi="Times New Roman" w:cs="Times New Roman"/>
          <w:sz w:val="20"/>
          <w:szCs w:val="20"/>
        </w:rPr>
        <w:t xml:space="preserve">: </w:t>
      </w:r>
      <w:r w:rsidRPr="00F6391A">
        <w:rPr>
          <w:rFonts w:ascii="Times New Roman" w:hAnsi="Times New Roman" w:cs="Times New Roman"/>
          <w:sz w:val="20"/>
          <w:szCs w:val="20"/>
        </w:rPr>
        <w:t>45.20</w:t>
      </w:r>
    </w:p>
    <w:p w14:paraId="50BC2652" w14:textId="112DF6AC" w:rsidR="00F6391A" w:rsidRDefault="00F6391A" w:rsidP="00F6391A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91A">
        <w:rPr>
          <w:rFonts w:ascii="Times New Roman" w:hAnsi="Times New Roman" w:cs="Times New Roman"/>
          <w:b/>
          <w:bCs/>
          <w:sz w:val="20"/>
          <w:szCs w:val="20"/>
        </w:rPr>
        <w:t>Interpretation</w:t>
      </w:r>
      <w:r w:rsidRPr="00F6391A">
        <w:rPr>
          <w:rFonts w:ascii="Times New Roman" w:hAnsi="Times New Roman" w:cs="Times New Roman"/>
          <w:sz w:val="20"/>
          <w:szCs w:val="20"/>
        </w:rPr>
        <w:t>: A high inventory turnover ratio implies that Apple efficiently manages its inventory, minimizing holding costs and keeping inventory levels in line with demand.</w:t>
      </w:r>
    </w:p>
    <w:p w14:paraId="255138F8" w14:textId="77777777" w:rsidR="00F6391A" w:rsidRPr="00F6391A" w:rsidRDefault="00F6391A" w:rsidP="00F6391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AD633A" w14:textId="721E5010" w:rsidR="00F6391A" w:rsidRPr="00F6391A" w:rsidRDefault="00F6391A" w:rsidP="00F6391A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F6391A">
        <w:rPr>
          <w:rFonts w:ascii="Times New Roman" w:hAnsi="Times New Roman" w:cs="Times New Roman"/>
          <w:b/>
          <w:bCs/>
          <w:sz w:val="20"/>
          <w:szCs w:val="20"/>
        </w:rPr>
        <w:lastRenderedPageBreak/>
        <w:t>Chart 4- Asset Utilization</w:t>
      </w:r>
    </w:p>
    <w:p w14:paraId="600F9F71" w14:textId="1E91F5C9" w:rsidR="005A38D2" w:rsidRPr="005A38D2" w:rsidRDefault="00AE4137" w:rsidP="0007407D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6391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ADE719A" wp14:editId="1625E61B">
            <wp:extent cx="5809129" cy="2743200"/>
            <wp:effectExtent l="0" t="0" r="1270" b="0"/>
            <wp:docPr id="70382539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614DF0A-82D9-4EF9-A838-AF13BA0F75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5A38D2" w:rsidRPr="005A38D2">
        <w:rPr>
          <w:rFonts w:ascii="Times New Roman" w:hAnsi="Times New Roman" w:cs="Times New Roman"/>
          <w:sz w:val="20"/>
          <w:szCs w:val="20"/>
        </w:rPr>
        <w:t>​</w:t>
      </w:r>
    </w:p>
    <w:p w14:paraId="187207BD" w14:textId="5285955E" w:rsidR="005A38D2" w:rsidRDefault="001C57E2" w:rsidP="00F6391A">
      <w:pPr>
        <w:pStyle w:val="Heading1"/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Investor/Market Ratio</w:t>
      </w:r>
    </w:p>
    <w:p w14:paraId="01828664" w14:textId="2A718AA6" w:rsidR="001C57E2" w:rsidRPr="00F6391A" w:rsidRDefault="001C57E2" w:rsidP="001C57E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57E2">
        <w:rPr>
          <w:rFonts w:ascii="Times New Roman" w:hAnsi="Times New Roman" w:cs="Times New Roman"/>
          <w:sz w:val="20"/>
          <w:szCs w:val="20"/>
        </w:rPr>
        <w:t>Investor/Market ratios offer insights into a company's market performance, providing potential investors with key information to evaluate the attractiveness of investing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6391A">
        <w:rPr>
          <w:rFonts w:ascii="Times New Roman" w:hAnsi="Times New Roman" w:cs="Times New Roman"/>
          <w:sz w:val="20"/>
          <w:szCs w:val="20"/>
        </w:rPr>
        <w:t>with the following ratios being considered as shown in the table and chart below: -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1066"/>
        <w:gridCol w:w="1320"/>
        <w:gridCol w:w="1066"/>
      </w:tblGrid>
      <w:tr w:rsidR="001C57E2" w:rsidRPr="001C57E2" w14:paraId="7F997B4B" w14:textId="77777777" w:rsidTr="001C57E2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767830AD" w14:textId="77777777" w:rsidR="001C57E2" w:rsidRPr="001C57E2" w:rsidRDefault="001C57E2" w:rsidP="001C5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Investor/market ratios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F0442C" w14:textId="77777777" w:rsidR="001C57E2" w:rsidRPr="001C57E2" w:rsidRDefault="001C57E2" w:rsidP="001C5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2020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B743868" w14:textId="77777777" w:rsidR="001C57E2" w:rsidRPr="001C57E2" w:rsidRDefault="001C57E2" w:rsidP="001C5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A4C154" w14:textId="77777777" w:rsidR="001C57E2" w:rsidRPr="001C57E2" w:rsidRDefault="001C57E2" w:rsidP="001C5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</w:tr>
      <w:tr w:rsidR="001C57E2" w:rsidRPr="001C57E2" w14:paraId="4C33FA13" w14:textId="77777777" w:rsidTr="001C57E2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3E1BECE6" w14:textId="77777777" w:rsidR="001C57E2" w:rsidRPr="001C57E2" w:rsidRDefault="001C57E2" w:rsidP="001C57E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Price to equity (P/E)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5C08BF" w14:textId="77777777" w:rsidR="001C57E2" w:rsidRPr="001C57E2" w:rsidRDefault="001C57E2" w:rsidP="001C5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67.83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5C87561" w14:textId="77777777" w:rsidR="001C57E2" w:rsidRPr="001C57E2" w:rsidRDefault="001C57E2" w:rsidP="001C5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39.60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4BFCF5" w14:textId="77777777" w:rsidR="001C57E2" w:rsidRPr="001C57E2" w:rsidRDefault="001C57E2" w:rsidP="001C5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36.51</w:t>
            </w:r>
          </w:p>
        </w:tc>
      </w:tr>
      <w:tr w:rsidR="001C57E2" w:rsidRPr="001C57E2" w14:paraId="69F92991" w14:textId="77777777" w:rsidTr="001C57E2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010D9827" w14:textId="77777777" w:rsidR="001C57E2" w:rsidRPr="001C57E2" w:rsidRDefault="001C57E2" w:rsidP="001C57E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Earnings per share (EPS)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92BD34" w14:textId="77777777" w:rsidR="001C57E2" w:rsidRPr="001C57E2" w:rsidRDefault="001C57E2" w:rsidP="001C5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5712DBC" w14:textId="77777777" w:rsidR="001C57E2" w:rsidRPr="001C57E2" w:rsidRDefault="001C57E2" w:rsidP="001C5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1F47354" w14:textId="77777777" w:rsidR="001C57E2" w:rsidRPr="001C57E2" w:rsidRDefault="001C57E2" w:rsidP="001C5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0.01</w:t>
            </w:r>
          </w:p>
        </w:tc>
      </w:tr>
      <w:tr w:rsidR="001C57E2" w:rsidRPr="001C57E2" w14:paraId="2F14F178" w14:textId="77777777" w:rsidTr="001C57E2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16BC8787" w14:textId="77777777" w:rsidR="001C57E2" w:rsidRPr="001C57E2" w:rsidRDefault="001C57E2" w:rsidP="001C57E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Price to book value (PBV)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9A81671" w14:textId="77777777" w:rsidR="001C57E2" w:rsidRPr="001C57E2" w:rsidRDefault="001C57E2" w:rsidP="001C5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174.50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071C312" w14:textId="77777777" w:rsidR="001C57E2" w:rsidRPr="001C57E2" w:rsidRDefault="001C57E2" w:rsidP="001C5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     204.16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555118" w14:textId="77777777" w:rsidR="001C57E2" w:rsidRPr="001C57E2" w:rsidRDefault="001C57E2" w:rsidP="001C5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     287.35 </w:t>
            </w:r>
          </w:p>
        </w:tc>
      </w:tr>
      <w:tr w:rsidR="001C57E2" w:rsidRPr="001C57E2" w14:paraId="21866708" w14:textId="77777777" w:rsidTr="001C57E2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518043B6" w14:textId="77777777" w:rsidR="001C57E2" w:rsidRPr="001C57E2" w:rsidRDefault="001C57E2" w:rsidP="001C57E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Book value per share (BV)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B28305" w14:textId="77777777" w:rsidR="001C57E2" w:rsidRPr="001C57E2" w:rsidRDefault="001C57E2" w:rsidP="001C5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1.29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B5931DB" w14:textId="77777777" w:rsidR="001C57E2" w:rsidRPr="001C57E2" w:rsidRDefault="001C57E2" w:rsidP="001C5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7DA6CA2" w14:textId="77777777" w:rsidR="001C57E2" w:rsidRPr="001C57E2" w:rsidRDefault="001C57E2" w:rsidP="001C5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0.78</w:t>
            </w:r>
          </w:p>
        </w:tc>
      </w:tr>
      <w:tr w:rsidR="001C57E2" w:rsidRPr="001C57E2" w14:paraId="0B3FD209" w14:textId="77777777" w:rsidTr="001C57E2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3C2B7220" w14:textId="77777777" w:rsidR="001C57E2" w:rsidRPr="001C57E2" w:rsidRDefault="001C57E2" w:rsidP="001C57E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Dividend payout ratio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9C615C1" w14:textId="77777777" w:rsidR="001C57E2" w:rsidRPr="001C57E2" w:rsidRDefault="001C57E2" w:rsidP="001C5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-0.25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F3D8F09" w14:textId="77777777" w:rsidR="001C57E2" w:rsidRPr="001C57E2" w:rsidRDefault="001C57E2" w:rsidP="001C5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-0.15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A54B20" w14:textId="77777777" w:rsidR="001C57E2" w:rsidRPr="001C57E2" w:rsidRDefault="001C57E2" w:rsidP="001C5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-0.15</w:t>
            </w:r>
          </w:p>
        </w:tc>
      </w:tr>
      <w:tr w:rsidR="001C57E2" w:rsidRPr="001C57E2" w14:paraId="20E79031" w14:textId="77777777" w:rsidTr="001C57E2">
        <w:trPr>
          <w:trHeight w:val="30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2A695AB8" w14:textId="77777777" w:rsidR="001C57E2" w:rsidRPr="001C57E2" w:rsidRDefault="001C57E2" w:rsidP="001C57E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Dividend per share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6CA0835" w14:textId="77777777" w:rsidR="001C57E2" w:rsidRPr="001C57E2" w:rsidRDefault="001C57E2" w:rsidP="001C5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FA9980C" w14:textId="77777777" w:rsidR="001C57E2" w:rsidRPr="001C57E2" w:rsidRDefault="001C57E2" w:rsidP="001C5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83AC014" w14:textId="77777777" w:rsidR="001C57E2" w:rsidRPr="001C57E2" w:rsidRDefault="001C57E2" w:rsidP="001C5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0.00</w:t>
            </w:r>
          </w:p>
        </w:tc>
      </w:tr>
      <w:tr w:rsidR="001C57E2" w:rsidRPr="001C57E2" w14:paraId="089240EB" w14:textId="77777777" w:rsidTr="001C57E2">
        <w:trPr>
          <w:trHeight w:val="30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6E9361DE" w14:textId="77777777" w:rsidR="001C57E2" w:rsidRPr="001C57E2" w:rsidRDefault="001C57E2" w:rsidP="001C57E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Dividend yield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1E7916" w14:textId="77777777" w:rsidR="001C57E2" w:rsidRPr="001C57E2" w:rsidRDefault="001C57E2" w:rsidP="001C5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-61.75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7180926" w14:textId="77777777" w:rsidR="001C57E2" w:rsidRPr="001C57E2" w:rsidRDefault="001C57E2" w:rsidP="001C5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-63.44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23CD92" w14:textId="77777777" w:rsidR="001C57E2" w:rsidRPr="001C57E2" w:rsidRDefault="001C57E2" w:rsidP="001C5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-65.08</w:t>
            </w:r>
          </w:p>
        </w:tc>
      </w:tr>
      <w:tr w:rsidR="001C57E2" w:rsidRPr="001C57E2" w14:paraId="32851BEB" w14:textId="77777777" w:rsidTr="001C57E2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6DD139E8" w14:textId="77777777" w:rsidR="001C57E2" w:rsidRPr="001C57E2" w:rsidRDefault="001C57E2" w:rsidP="001C57E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Return on equity (ROE)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EA75E83" w14:textId="77777777" w:rsidR="001C57E2" w:rsidRPr="001C57E2" w:rsidRDefault="001C57E2" w:rsidP="001C5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0.88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5E18A5A" w14:textId="77777777" w:rsidR="001C57E2" w:rsidRPr="001C57E2" w:rsidRDefault="001C57E2" w:rsidP="001C5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1.50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8857276" w14:textId="77777777" w:rsidR="001C57E2" w:rsidRPr="001C57E2" w:rsidRDefault="001C57E2" w:rsidP="001C5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1.97</w:t>
            </w:r>
          </w:p>
        </w:tc>
      </w:tr>
      <w:tr w:rsidR="001C57E2" w:rsidRPr="001C57E2" w14:paraId="4308287C" w14:textId="77777777" w:rsidTr="001C57E2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378CD45F" w14:textId="77777777" w:rsidR="001C57E2" w:rsidRPr="001C57E2" w:rsidRDefault="001C57E2" w:rsidP="001C57E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Return on capital employed (ROCE)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0BC1DB9" w14:textId="77777777" w:rsidR="001C57E2" w:rsidRPr="001C57E2" w:rsidRDefault="001C57E2" w:rsidP="001C5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BCD1A8C" w14:textId="77777777" w:rsidR="001C57E2" w:rsidRPr="001C57E2" w:rsidRDefault="001C57E2" w:rsidP="001C5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804C9E" w14:textId="77777777" w:rsidR="001C57E2" w:rsidRPr="001C57E2" w:rsidRDefault="001C57E2" w:rsidP="001C5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2.35</w:t>
            </w:r>
          </w:p>
        </w:tc>
      </w:tr>
      <w:tr w:rsidR="001C57E2" w:rsidRPr="001C57E2" w14:paraId="2231ABEE" w14:textId="77777777" w:rsidTr="001C57E2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2B05E3C8" w14:textId="77777777" w:rsidR="001C57E2" w:rsidRPr="001C57E2" w:rsidRDefault="001C57E2" w:rsidP="001C57E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Return on assets (ROA)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C00351E" w14:textId="77777777" w:rsidR="001C57E2" w:rsidRPr="001C57E2" w:rsidRDefault="001C57E2" w:rsidP="001C5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F0281FC" w14:textId="77777777" w:rsidR="001C57E2" w:rsidRPr="001C57E2" w:rsidRDefault="001C57E2" w:rsidP="001C5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E418254" w14:textId="77777777" w:rsidR="001C57E2" w:rsidRPr="001C57E2" w:rsidRDefault="001C57E2" w:rsidP="001C5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0.28</w:t>
            </w:r>
          </w:p>
        </w:tc>
      </w:tr>
      <w:tr w:rsidR="001C57E2" w:rsidRPr="001C57E2" w14:paraId="53AEFC49" w14:textId="77777777" w:rsidTr="001C57E2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669D9403" w14:textId="77777777" w:rsidR="001C57E2" w:rsidRPr="001C57E2" w:rsidRDefault="001C57E2" w:rsidP="001C57E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Enterprise value to EBITDA (EV/EBITDA)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6442D07" w14:textId="77777777" w:rsidR="001C57E2" w:rsidRPr="001C57E2" w:rsidRDefault="001C57E2" w:rsidP="001C5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1.68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0803BA3" w14:textId="77777777" w:rsidR="001C57E2" w:rsidRPr="001C57E2" w:rsidRDefault="001C57E2" w:rsidP="001C5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1.21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27CAABE" w14:textId="77777777" w:rsidR="001C57E2" w:rsidRPr="001C57E2" w:rsidRDefault="001C57E2" w:rsidP="001C5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1.17</w:t>
            </w:r>
          </w:p>
        </w:tc>
      </w:tr>
      <w:tr w:rsidR="001C57E2" w:rsidRPr="001C57E2" w14:paraId="603B422E" w14:textId="77777777" w:rsidTr="001C57E2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7B115E5F" w14:textId="77777777" w:rsidR="001C57E2" w:rsidRPr="001C57E2" w:rsidRDefault="001C57E2" w:rsidP="001C57E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Enterprise value (EV)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45E6B41" w14:textId="77777777" w:rsidR="001C57E2" w:rsidRPr="001C57E2" w:rsidRDefault="001C57E2" w:rsidP="001C5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111430.00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545897D" w14:textId="77777777" w:rsidR="001C57E2" w:rsidRPr="001C57E2" w:rsidRDefault="001C57E2" w:rsidP="001C5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131531.00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7B830F7" w14:textId="77777777" w:rsidR="001C57E2" w:rsidRPr="001C57E2" w:rsidRDefault="001C57E2" w:rsidP="001C57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C57E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140162.00</w:t>
            </w:r>
          </w:p>
        </w:tc>
      </w:tr>
    </w:tbl>
    <w:p w14:paraId="20702644" w14:textId="076A5CC2" w:rsidR="00F6391A" w:rsidRDefault="00F6391A" w:rsidP="00F6391A">
      <w:pPr>
        <w:rPr>
          <w:rFonts w:ascii="Times New Roman" w:hAnsi="Times New Roman" w:cs="Times New Roman"/>
          <w:sz w:val="20"/>
          <w:szCs w:val="20"/>
        </w:rPr>
      </w:pPr>
    </w:p>
    <w:p w14:paraId="511CAF4C" w14:textId="5C7A6EF2" w:rsidR="00FE0F9B" w:rsidRPr="00FE0F9B" w:rsidRDefault="00FE0F9B" w:rsidP="00FE0F9B">
      <w:pPr>
        <w:rPr>
          <w:rFonts w:ascii="Times New Roman" w:hAnsi="Times New Roman" w:cs="Times New Roman"/>
          <w:sz w:val="20"/>
          <w:szCs w:val="20"/>
        </w:rPr>
      </w:pPr>
      <w:r w:rsidRPr="00FE0F9B">
        <w:rPr>
          <w:rFonts w:ascii="Times New Roman" w:hAnsi="Times New Roman" w:cs="Times New Roman"/>
          <w:b/>
          <w:bCs/>
          <w:sz w:val="20"/>
          <w:szCs w:val="20"/>
        </w:rPr>
        <w:t>Apple's Current P/E Ratio</w:t>
      </w:r>
      <w:r w:rsidRPr="00FE0F9B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36.51</w:t>
      </w:r>
    </w:p>
    <w:p w14:paraId="0C754D36" w14:textId="20B6FFF4" w:rsidR="001C57E2" w:rsidRPr="005A085D" w:rsidRDefault="00FE0F9B" w:rsidP="00F6391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085D">
        <w:rPr>
          <w:rFonts w:ascii="Times New Roman" w:hAnsi="Times New Roman" w:cs="Times New Roman"/>
          <w:b/>
          <w:bCs/>
          <w:sz w:val="20"/>
          <w:szCs w:val="20"/>
        </w:rPr>
        <w:t>Analysis</w:t>
      </w:r>
      <w:r w:rsidRPr="005A085D">
        <w:rPr>
          <w:rFonts w:ascii="Times New Roman" w:hAnsi="Times New Roman" w:cs="Times New Roman"/>
          <w:sz w:val="20"/>
          <w:szCs w:val="20"/>
        </w:rPr>
        <w:t>: A higher-than-average P/E ratio could imply that investors are expecting higher future growth from Apple. However, it also means the stock could be overvalued relative to earnings, making it a pricier investment compared to other tech firms.</w:t>
      </w:r>
    </w:p>
    <w:p w14:paraId="661D4E57" w14:textId="02CC43E0" w:rsidR="00FE0F9B" w:rsidRPr="00FE0F9B" w:rsidRDefault="00FE0F9B" w:rsidP="00FE0F9B">
      <w:pPr>
        <w:jc w:val="both"/>
        <w:rPr>
          <w:rFonts w:ascii="Times New Roman" w:hAnsi="Times New Roman" w:cs="Times New Roman"/>
          <w:sz w:val="20"/>
          <w:szCs w:val="20"/>
        </w:rPr>
      </w:pPr>
      <w:r w:rsidRPr="00FE0F9B">
        <w:rPr>
          <w:rFonts w:ascii="Times New Roman" w:hAnsi="Times New Roman" w:cs="Times New Roman"/>
          <w:b/>
          <w:bCs/>
          <w:sz w:val="20"/>
          <w:szCs w:val="20"/>
        </w:rPr>
        <w:t>Apple’s P/B Ratio</w:t>
      </w:r>
      <w:r w:rsidRPr="00FE0F9B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  <w:r w:rsidR="000002A5">
        <w:rPr>
          <w:rFonts w:ascii="Times New Roman" w:hAnsi="Times New Roman" w:cs="Times New Roman"/>
          <w:sz w:val="20"/>
          <w:szCs w:val="20"/>
        </w:rPr>
        <w:t>87</w:t>
      </w:r>
      <w:r>
        <w:rPr>
          <w:rFonts w:ascii="Times New Roman" w:hAnsi="Times New Roman" w:cs="Times New Roman"/>
          <w:sz w:val="20"/>
          <w:szCs w:val="20"/>
        </w:rPr>
        <w:t>.</w:t>
      </w:r>
      <w:r w:rsidR="000002A5">
        <w:rPr>
          <w:rFonts w:ascii="Times New Roman" w:hAnsi="Times New Roman" w:cs="Times New Roman"/>
          <w:sz w:val="20"/>
          <w:szCs w:val="20"/>
        </w:rPr>
        <w:t>35</w:t>
      </w:r>
    </w:p>
    <w:p w14:paraId="4EFD42FF" w14:textId="77777777" w:rsidR="00FE0F9B" w:rsidRPr="00FE0F9B" w:rsidRDefault="00FE0F9B" w:rsidP="00FE0F9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E0F9B">
        <w:rPr>
          <w:rFonts w:ascii="Times New Roman" w:hAnsi="Times New Roman" w:cs="Times New Roman"/>
          <w:b/>
          <w:bCs/>
          <w:sz w:val="20"/>
          <w:szCs w:val="20"/>
        </w:rPr>
        <w:t>Analysis</w:t>
      </w:r>
      <w:r w:rsidRPr="00FE0F9B">
        <w:rPr>
          <w:rFonts w:ascii="Times New Roman" w:hAnsi="Times New Roman" w:cs="Times New Roman"/>
          <w:sz w:val="20"/>
          <w:szCs w:val="20"/>
        </w:rPr>
        <w:t>: A high P/B ratio indicates that investors are willing to pay significantly above the company's asset value due to the expectation of future growth and profitability.</w:t>
      </w:r>
    </w:p>
    <w:p w14:paraId="5B4B4E8E" w14:textId="77777777" w:rsidR="001C57E2" w:rsidRDefault="001C57E2" w:rsidP="00F6391A">
      <w:pPr>
        <w:rPr>
          <w:rFonts w:ascii="Times New Roman" w:hAnsi="Times New Roman" w:cs="Times New Roman"/>
          <w:sz w:val="20"/>
          <w:szCs w:val="20"/>
        </w:rPr>
      </w:pPr>
    </w:p>
    <w:p w14:paraId="0283A6BA" w14:textId="77777777" w:rsidR="001C57E2" w:rsidRDefault="001C57E2" w:rsidP="00F6391A">
      <w:pPr>
        <w:rPr>
          <w:rFonts w:ascii="Times New Roman" w:hAnsi="Times New Roman" w:cs="Times New Roman"/>
          <w:sz w:val="20"/>
          <w:szCs w:val="20"/>
        </w:rPr>
      </w:pPr>
    </w:p>
    <w:p w14:paraId="042A53CC" w14:textId="77777777" w:rsidR="001C57E2" w:rsidRDefault="001C57E2" w:rsidP="00F6391A">
      <w:pPr>
        <w:rPr>
          <w:rFonts w:ascii="Times New Roman" w:hAnsi="Times New Roman" w:cs="Times New Roman"/>
          <w:sz w:val="20"/>
          <w:szCs w:val="20"/>
        </w:rPr>
      </w:pPr>
    </w:p>
    <w:p w14:paraId="5526047C" w14:textId="77777777" w:rsidR="001C57E2" w:rsidRPr="001C57E2" w:rsidRDefault="001C57E2" w:rsidP="00F6391A">
      <w:pPr>
        <w:rPr>
          <w:rFonts w:ascii="Times New Roman" w:hAnsi="Times New Roman" w:cs="Times New Roman"/>
          <w:sz w:val="20"/>
          <w:szCs w:val="20"/>
        </w:rPr>
      </w:pPr>
    </w:p>
    <w:p w14:paraId="1642F75A" w14:textId="2A67FA49" w:rsidR="00F6391A" w:rsidRPr="00F6391A" w:rsidRDefault="00F6391A" w:rsidP="00F6391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6391A">
        <w:rPr>
          <w:rFonts w:ascii="Times New Roman" w:hAnsi="Times New Roman" w:cs="Times New Roman"/>
          <w:b/>
          <w:bCs/>
          <w:sz w:val="20"/>
          <w:szCs w:val="20"/>
        </w:rPr>
        <w:t>Conclusion</w:t>
      </w:r>
    </w:p>
    <w:p w14:paraId="699F9E9F" w14:textId="77777777" w:rsidR="005A38D2" w:rsidRPr="005A38D2" w:rsidRDefault="005A38D2" w:rsidP="00F6391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38D2">
        <w:rPr>
          <w:rFonts w:ascii="Times New Roman" w:hAnsi="Times New Roman" w:cs="Times New Roman"/>
          <w:sz w:val="20"/>
          <w:szCs w:val="20"/>
        </w:rPr>
        <w:t>Apple Inc. demonstrates strong profitability, with impressive gross and net profit margins and a stellar ROE. While its liquidity ratios may seem modest, the company’s robust cash flow and financial strategies likely mitigate short-term liquidity concerns. Apple leverages debt effectively, as indicated by its solvency ratios, and exhibits strong operational efficiency.</w:t>
      </w:r>
    </w:p>
    <w:p w14:paraId="2B95261C" w14:textId="6109E78D" w:rsidR="005A38D2" w:rsidRPr="005A38D2" w:rsidRDefault="005A38D2" w:rsidP="00F6391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38D2">
        <w:rPr>
          <w:rFonts w:ascii="Times New Roman" w:hAnsi="Times New Roman" w:cs="Times New Roman"/>
          <w:sz w:val="20"/>
          <w:szCs w:val="20"/>
        </w:rPr>
        <w:t>Investors can view Apple as a financially healthy company with solid performance metrics, making it an attractive long-term investment opportunity. However, its high dependence on leveraging should be monitored for any future changes in market conditions.</w:t>
      </w:r>
      <w:r w:rsidR="001C57E2">
        <w:rPr>
          <w:rFonts w:ascii="Times New Roman" w:hAnsi="Times New Roman" w:cs="Times New Roman"/>
          <w:sz w:val="20"/>
          <w:szCs w:val="20"/>
        </w:rPr>
        <w:t xml:space="preserve"> </w:t>
      </w:r>
      <w:r w:rsidR="001C57E2" w:rsidRPr="001C57E2">
        <w:rPr>
          <w:rFonts w:ascii="Times New Roman" w:hAnsi="Times New Roman" w:cs="Times New Roman"/>
          <w:sz w:val="20"/>
          <w:szCs w:val="20"/>
        </w:rPr>
        <w:t>Investors should view Apple’s asset utilization as a positive factor, indicating strong operational management, though ongoing monitoring of capital expenditures and external risks will be essential for long-term success.</w:t>
      </w:r>
    </w:p>
    <w:p w14:paraId="1E297C1F" w14:textId="77777777" w:rsidR="00F70E56" w:rsidRPr="00F6391A" w:rsidRDefault="00F70E56" w:rsidP="0007407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F70E56" w:rsidRPr="00F63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C41E7"/>
    <w:multiLevelType w:val="multilevel"/>
    <w:tmpl w:val="DADA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709D8"/>
    <w:multiLevelType w:val="multilevel"/>
    <w:tmpl w:val="3D32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C0BD5"/>
    <w:multiLevelType w:val="multilevel"/>
    <w:tmpl w:val="3D32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64274"/>
    <w:multiLevelType w:val="hybridMultilevel"/>
    <w:tmpl w:val="2ECA41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0778C"/>
    <w:multiLevelType w:val="multilevel"/>
    <w:tmpl w:val="3D32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7271D2"/>
    <w:multiLevelType w:val="multilevel"/>
    <w:tmpl w:val="9134E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3D4B51"/>
    <w:multiLevelType w:val="multilevel"/>
    <w:tmpl w:val="3D32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CC3FBE"/>
    <w:multiLevelType w:val="multilevel"/>
    <w:tmpl w:val="56E8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B264E5"/>
    <w:multiLevelType w:val="multilevel"/>
    <w:tmpl w:val="FBB0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5A493D"/>
    <w:multiLevelType w:val="hybridMultilevel"/>
    <w:tmpl w:val="965232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185651">
    <w:abstractNumId w:val="5"/>
  </w:num>
  <w:num w:numId="2" w16cid:durableId="416294421">
    <w:abstractNumId w:val="8"/>
  </w:num>
  <w:num w:numId="3" w16cid:durableId="578712900">
    <w:abstractNumId w:val="2"/>
  </w:num>
  <w:num w:numId="4" w16cid:durableId="1661734877">
    <w:abstractNumId w:val="0"/>
  </w:num>
  <w:num w:numId="5" w16cid:durableId="151412317">
    <w:abstractNumId w:val="7"/>
  </w:num>
  <w:num w:numId="6" w16cid:durableId="1226986962">
    <w:abstractNumId w:val="3"/>
  </w:num>
  <w:num w:numId="7" w16cid:durableId="41098454">
    <w:abstractNumId w:val="9"/>
  </w:num>
  <w:num w:numId="8" w16cid:durableId="858201242">
    <w:abstractNumId w:val="6"/>
  </w:num>
  <w:num w:numId="9" w16cid:durableId="1299654224">
    <w:abstractNumId w:val="1"/>
  </w:num>
  <w:num w:numId="10" w16cid:durableId="345056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D2"/>
    <w:rsid w:val="00000129"/>
    <w:rsid w:val="000002A5"/>
    <w:rsid w:val="0003686E"/>
    <w:rsid w:val="0007407D"/>
    <w:rsid w:val="00155866"/>
    <w:rsid w:val="001C57E2"/>
    <w:rsid w:val="00287E6E"/>
    <w:rsid w:val="002C1EE9"/>
    <w:rsid w:val="005A085D"/>
    <w:rsid w:val="005A38D2"/>
    <w:rsid w:val="005D3F5B"/>
    <w:rsid w:val="00600A07"/>
    <w:rsid w:val="00AE4137"/>
    <w:rsid w:val="00C602EE"/>
    <w:rsid w:val="00CA0EA0"/>
    <w:rsid w:val="00D808F0"/>
    <w:rsid w:val="00F47B8B"/>
    <w:rsid w:val="00F6391A"/>
    <w:rsid w:val="00F70E56"/>
    <w:rsid w:val="00FE0F9B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5D5C6"/>
  <w15:chartTrackingRefBased/>
  <w15:docId w15:val="{AC163DC7-EB18-438F-917F-6785AB27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8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8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8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8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8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8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3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3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3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38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38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38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8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38D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A38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wppshared-my.sharepoint.com/personal/chrispin_phiri_ogilvy_africa/Documents/Documents/AI/Investment%20Analysis/1709895946_Task%201%20Ratio%20Calculation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wppshared-my.sharepoint.com/personal/chrispin_phiri_ogilvy_africa/Documents/Documents/AI/Investment%20Analysis/1709895946_Task%201%20Ratio%20Calculation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wppshared-my.sharepoint.com/personal/chrispin_phiri_ogilvy_africa/Documents/Documents/AI/Investment%20Analysis/1709895946_Task%201%20Ratio%20Calculation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wppshared-my.sharepoint.com/personal/chrispin_phiri_ogilvy_africa/Documents/Documents/AI/Investment%20Analysis/1709895946_Task%201%20Ratio%20Calculation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600">
                <a:solidFill>
                  <a:sysClr val="windowText" lastClr="000000"/>
                </a:solidFill>
              </a:rPr>
              <a:t>LIQUIDITY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1"/>
          <c:order val="1"/>
          <c:tx>
            <c:strRef>
              <c:f>'Working Sheet'!$J$1:$J$3</c:f>
              <c:strCache>
                <c:ptCount val="3"/>
                <c:pt idx="0">
                  <c:v>Ratio Analysis</c:v>
                </c:pt>
                <c:pt idx="1">
                  <c:v>2020</c:v>
                </c:pt>
                <c:pt idx="2">
                  <c:v>Liquidity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'Working Sheet'!$H$4:$H$13</c:f>
              <c:strCache>
                <c:ptCount val="10"/>
                <c:pt idx="0">
                  <c:v>Current ratio</c:v>
                </c:pt>
                <c:pt idx="1">
                  <c:v>Quick Ratio</c:v>
                </c:pt>
                <c:pt idx="2">
                  <c:v>Cash Ratio</c:v>
                </c:pt>
                <c:pt idx="3">
                  <c:v>Defensive Interval</c:v>
                </c:pt>
                <c:pt idx="4">
                  <c:v>Inventory Days</c:v>
                </c:pt>
                <c:pt idx="5">
                  <c:v>Payable Days</c:v>
                </c:pt>
                <c:pt idx="6">
                  <c:v>Receivable Days</c:v>
                </c:pt>
                <c:pt idx="7">
                  <c:v>Net trading cycle</c:v>
                </c:pt>
                <c:pt idx="8">
                  <c:v>Working Capital as a % of Sales</c:v>
                </c:pt>
                <c:pt idx="9">
                  <c:v>Working Capital</c:v>
                </c:pt>
              </c:strCache>
            </c:strRef>
          </c:cat>
          <c:val>
            <c:numRef>
              <c:f>'Working Sheet'!$J$4:$J$13</c:f>
              <c:numCache>
                <c:formatCode>0.00</c:formatCode>
                <c:ptCount val="10"/>
                <c:pt idx="0">
                  <c:v>1.3636044481554577</c:v>
                </c:pt>
                <c:pt idx="1">
                  <c:v>1.325072111735236</c:v>
                </c:pt>
                <c:pt idx="2">
                  <c:v>0.36071049035979963</c:v>
                </c:pt>
                <c:pt idx="3" formatCode="0">
                  <c:v>1318.2212682321299</c:v>
                </c:pt>
                <c:pt idx="4" formatCode="0">
                  <c:v>8.7418833562358831</c:v>
                </c:pt>
                <c:pt idx="5" formatCode="0">
                  <c:v>91.048189715674184</c:v>
                </c:pt>
                <c:pt idx="6" formatCode="0">
                  <c:v>34.700605688875257</c:v>
                </c:pt>
                <c:pt idx="7" formatCode="0">
                  <c:v>-47.605700670563046</c:v>
                </c:pt>
                <c:pt idx="8" formatCode="0.0%">
                  <c:v>0.13959528623208203</c:v>
                </c:pt>
                <c:pt idx="9" formatCode="_(* #,##0_);_(* \(#,##0\);_(* &quot;-&quot;??_);_(@_)">
                  <c:v>38321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CB-42D6-AC80-E17D2A18C1F8}"/>
            </c:ext>
          </c:extLst>
        </c:ser>
        <c:ser>
          <c:idx val="2"/>
          <c:order val="2"/>
          <c:tx>
            <c:strRef>
              <c:f>'Working Sheet'!$K$1:$K$3</c:f>
              <c:strCache>
                <c:ptCount val="3"/>
                <c:pt idx="0">
                  <c:v>Ratio Analysis</c:v>
                </c:pt>
                <c:pt idx="1">
                  <c:v>2021</c:v>
                </c:pt>
                <c:pt idx="2">
                  <c:v>Liquidity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'Working Sheet'!$H$4:$H$13</c:f>
              <c:strCache>
                <c:ptCount val="10"/>
                <c:pt idx="0">
                  <c:v>Current ratio</c:v>
                </c:pt>
                <c:pt idx="1">
                  <c:v>Quick Ratio</c:v>
                </c:pt>
                <c:pt idx="2">
                  <c:v>Cash Ratio</c:v>
                </c:pt>
                <c:pt idx="3">
                  <c:v>Defensive Interval</c:v>
                </c:pt>
                <c:pt idx="4">
                  <c:v>Inventory Days</c:v>
                </c:pt>
                <c:pt idx="5">
                  <c:v>Payable Days</c:v>
                </c:pt>
                <c:pt idx="6">
                  <c:v>Receivable Days</c:v>
                </c:pt>
                <c:pt idx="7">
                  <c:v>Net trading cycle</c:v>
                </c:pt>
                <c:pt idx="8">
                  <c:v>Working Capital as a % of Sales</c:v>
                </c:pt>
                <c:pt idx="9">
                  <c:v>Working Capital</c:v>
                </c:pt>
              </c:strCache>
            </c:strRef>
          </c:cat>
          <c:val>
            <c:numRef>
              <c:f>'Working Sheet'!$K$4:$K$13</c:f>
              <c:numCache>
                <c:formatCode>0.00</c:formatCode>
                <c:ptCount val="10"/>
                <c:pt idx="0">
                  <c:v>1.0745531195957954</c:v>
                </c:pt>
                <c:pt idx="1">
                  <c:v>1.0221149018576519</c:v>
                </c:pt>
                <c:pt idx="2">
                  <c:v>0.27844853005634318</c:v>
                </c:pt>
                <c:pt idx="3" formatCode="0">
                  <c:v>1066.6812495727663</c:v>
                </c:pt>
                <c:pt idx="4" formatCode="0">
                  <c:v>11.27659274770989</c:v>
                </c:pt>
                <c:pt idx="5" formatCode="0">
                  <c:v>93.85107122231561</c:v>
                </c:pt>
                <c:pt idx="6" formatCode="0">
                  <c:v>45.034392739258429</c:v>
                </c:pt>
                <c:pt idx="7" formatCode="0">
                  <c:v>-37.54008573534729</c:v>
                </c:pt>
                <c:pt idx="8" formatCode="0.0%">
                  <c:v>2.557289573748623E-2</c:v>
                </c:pt>
                <c:pt idx="9" formatCode="_(* #,##0_);_(* \(#,##0\);_(* &quot;-&quot;??_);_(@_)">
                  <c:v>9355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CB-42D6-AC80-E17D2A18C1F8}"/>
            </c:ext>
          </c:extLst>
        </c:ser>
        <c:ser>
          <c:idx val="3"/>
          <c:order val="3"/>
          <c:tx>
            <c:strRef>
              <c:f>'Working Sheet'!$L$1:$L$3</c:f>
              <c:strCache>
                <c:ptCount val="3"/>
                <c:pt idx="0">
                  <c:v>Ratio Analysis</c:v>
                </c:pt>
                <c:pt idx="1">
                  <c:v>2022</c:v>
                </c:pt>
                <c:pt idx="2">
                  <c:v>Liquidity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'Working Sheet'!$H$4:$H$13</c:f>
              <c:strCache>
                <c:ptCount val="10"/>
                <c:pt idx="0">
                  <c:v>Current ratio</c:v>
                </c:pt>
                <c:pt idx="1">
                  <c:v>Quick Ratio</c:v>
                </c:pt>
                <c:pt idx="2">
                  <c:v>Cash Ratio</c:v>
                </c:pt>
                <c:pt idx="3">
                  <c:v>Defensive Interval</c:v>
                </c:pt>
                <c:pt idx="4">
                  <c:v>Inventory Days</c:v>
                </c:pt>
                <c:pt idx="5">
                  <c:v>Payable Days</c:v>
                </c:pt>
                <c:pt idx="6">
                  <c:v>Receivable Days</c:v>
                </c:pt>
                <c:pt idx="7">
                  <c:v>Net trading cycle</c:v>
                </c:pt>
                <c:pt idx="8">
                  <c:v>Working Capital as a % of Sales</c:v>
                </c:pt>
                <c:pt idx="9">
                  <c:v>Working Capital</c:v>
                </c:pt>
              </c:strCache>
            </c:strRef>
          </c:cat>
          <c:val>
            <c:numRef>
              <c:f>'Working Sheet'!$L$4:$L$13</c:f>
              <c:numCache>
                <c:formatCode>0.00</c:formatCode>
                <c:ptCount val="10"/>
                <c:pt idx="0">
                  <c:v>0.87935602862672257</c:v>
                </c:pt>
                <c:pt idx="1">
                  <c:v>0.84723539114961488</c:v>
                </c:pt>
                <c:pt idx="2">
                  <c:v>0.15356340351469652</c:v>
                </c:pt>
                <c:pt idx="3" formatCode="0">
                  <c:v>927.40354464894335</c:v>
                </c:pt>
                <c:pt idx="4" formatCode="0">
                  <c:v>8.0756980666171607</c:v>
                </c:pt>
                <c:pt idx="5" formatCode="0">
                  <c:v>104.68527730310539</c:v>
                </c:pt>
                <c:pt idx="6" formatCode="0">
                  <c:v>46.018090236461397</c:v>
                </c:pt>
                <c:pt idx="7" formatCode="0">
                  <c:v>-50.59148900002684</c:v>
                </c:pt>
                <c:pt idx="8" formatCode="0.0%">
                  <c:v>-4.711052727678481E-2</c:v>
                </c:pt>
                <c:pt idx="9" formatCode="_(* #,##0_);_(* \(#,##0\);_(* &quot;-&quot;??_);_(@_)">
                  <c:v>-18577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FCB-42D6-AC80-E17D2A18C1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00641919"/>
        <c:axId val="1400643359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'Working Sheet'!$I$1:$I$3</c15:sqref>
                        </c15:formulaRef>
                      </c:ext>
                    </c:extLst>
                    <c:strCache>
                      <c:ptCount val="3"/>
                      <c:pt idx="0">
                        <c:v>Ratio Analysis</c:v>
                      </c:pt>
                      <c:pt idx="2">
                        <c:v>Liquidity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'Working Sheet'!$H$4:$H$13</c15:sqref>
                        </c15:formulaRef>
                      </c:ext>
                    </c:extLst>
                    <c:strCache>
                      <c:ptCount val="10"/>
                      <c:pt idx="0">
                        <c:v>Current ratio</c:v>
                      </c:pt>
                      <c:pt idx="1">
                        <c:v>Quick Ratio</c:v>
                      </c:pt>
                      <c:pt idx="2">
                        <c:v>Cash Ratio</c:v>
                      </c:pt>
                      <c:pt idx="3">
                        <c:v>Defensive Interval</c:v>
                      </c:pt>
                      <c:pt idx="4">
                        <c:v>Inventory Days</c:v>
                      </c:pt>
                      <c:pt idx="5">
                        <c:v>Payable Days</c:v>
                      </c:pt>
                      <c:pt idx="6">
                        <c:v>Receivable Days</c:v>
                      </c:pt>
                      <c:pt idx="7">
                        <c:v>Net trading cycle</c:v>
                      </c:pt>
                      <c:pt idx="8">
                        <c:v>Working Capital as a % of Sales</c:v>
                      </c:pt>
                      <c:pt idx="9">
                        <c:v>Working Capital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'Working Sheet'!$I$4:$I$13</c15:sqref>
                        </c15:formulaRef>
                      </c:ext>
                    </c:extLst>
                    <c:numCache>
                      <c:formatCode>General</c:formatCode>
                      <c:ptCount val="10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AFCB-42D6-AC80-E17D2A18C1F8}"/>
                  </c:ext>
                </c:extLst>
              </c15:ser>
            </c15:filteredBarSeries>
          </c:ext>
        </c:extLst>
      </c:barChart>
      <c:catAx>
        <c:axId val="140064191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00643359"/>
        <c:crosses val="autoZero"/>
        <c:auto val="1"/>
        <c:lblAlgn val="ctr"/>
        <c:lblOffset val="100"/>
        <c:noMultiLvlLbl val="0"/>
      </c:catAx>
      <c:valAx>
        <c:axId val="1400643359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00641919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PROFITABILITY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1"/>
          <c:order val="1"/>
          <c:tx>
            <c:strRef>
              <c:f>'Working Sheet'!$J$15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'Working Sheet'!$H$16:$H$21</c:f>
              <c:strCache>
                <c:ptCount val="6"/>
                <c:pt idx="0">
                  <c:v>Gross margin</c:v>
                </c:pt>
                <c:pt idx="1">
                  <c:v>EBITDA margin</c:v>
                </c:pt>
                <c:pt idx="2">
                  <c:v>EBITDA</c:v>
                </c:pt>
                <c:pt idx="3">
                  <c:v>EBIT margin</c:v>
                </c:pt>
                <c:pt idx="4">
                  <c:v>EBIT</c:v>
                </c:pt>
                <c:pt idx="5">
                  <c:v>Net margin</c:v>
                </c:pt>
              </c:strCache>
            </c:strRef>
          </c:cat>
          <c:val>
            <c:numRef>
              <c:f>'Working Sheet'!$J$16:$J$21</c:f>
              <c:numCache>
                <c:formatCode>0.0%</c:formatCode>
                <c:ptCount val="6"/>
                <c:pt idx="0">
                  <c:v>0.38233247727810865</c:v>
                </c:pt>
                <c:pt idx="1">
                  <c:v>0.24147314354406862</c:v>
                </c:pt>
                <c:pt idx="2" formatCode="_(* #,##0_);_(* \(#,##0\);_(* &quot;-&quot;??_);_(@_)">
                  <c:v>66288</c:v>
                </c:pt>
                <c:pt idx="3">
                  <c:v>0.24439830246070343</c:v>
                </c:pt>
                <c:pt idx="4" formatCode="_(* #,##0_);_(* \(#,##0\);_(* &quot;-&quot;??_);_(@_)">
                  <c:v>67091</c:v>
                </c:pt>
                <c:pt idx="5">
                  <c:v>0.20913611278072236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FE-4DD3-BCE1-73505CAA8F19}"/>
            </c:ext>
          </c:extLst>
        </c:ser>
        <c:ser>
          <c:idx val="2"/>
          <c:order val="2"/>
          <c:tx>
            <c:strRef>
              <c:f>'Working Sheet'!$K$15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'Working Sheet'!$H$16:$H$21</c:f>
              <c:strCache>
                <c:ptCount val="6"/>
                <c:pt idx="0">
                  <c:v>Gross margin</c:v>
                </c:pt>
                <c:pt idx="1">
                  <c:v>EBITDA margin</c:v>
                </c:pt>
                <c:pt idx="2">
                  <c:v>EBITDA</c:v>
                </c:pt>
                <c:pt idx="3">
                  <c:v>EBIT margin</c:v>
                </c:pt>
                <c:pt idx="4">
                  <c:v>EBIT</c:v>
                </c:pt>
                <c:pt idx="5">
                  <c:v>Net margin</c:v>
                </c:pt>
              </c:strCache>
            </c:strRef>
          </c:cat>
          <c:val>
            <c:numRef>
              <c:f>'Working Sheet'!$K$16:$K$21</c:f>
              <c:numCache>
                <c:formatCode>0.0%</c:formatCode>
                <c:ptCount val="6"/>
                <c:pt idx="0">
                  <c:v>0.41779359625167778</c:v>
                </c:pt>
                <c:pt idx="1">
                  <c:v>0.29782377527561593</c:v>
                </c:pt>
                <c:pt idx="2" formatCode="_(* #,##0_);_(* \(#,##0\);_(* &quot;-&quot;??_);_(@_)">
                  <c:v>108949</c:v>
                </c:pt>
                <c:pt idx="3">
                  <c:v>0.29852904594373691</c:v>
                </c:pt>
                <c:pt idx="4" formatCode="_(* #,##0_);_(* \(#,##0\);_(* &quot;-&quot;??_);_(@_)">
                  <c:v>109207</c:v>
                </c:pt>
                <c:pt idx="5">
                  <c:v>0.25881793355694238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FE-4DD3-BCE1-73505CAA8F19}"/>
            </c:ext>
          </c:extLst>
        </c:ser>
        <c:ser>
          <c:idx val="3"/>
          <c:order val="3"/>
          <c:tx>
            <c:strRef>
              <c:f>'Working Sheet'!$L$15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'Working Sheet'!$H$16:$H$21</c:f>
              <c:strCache>
                <c:ptCount val="6"/>
                <c:pt idx="0">
                  <c:v>Gross margin</c:v>
                </c:pt>
                <c:pt idx="1">
                  <c:v>EBITDA margin</c:v>
                </c:pt>
                <c:pt idx="2">
                  <c:v>EBITDA</c:v>
                </c:pt>
                <c:pt idx="3">
                  <c:v>EBIT margin</c:v>
                </c:pt>
                <c:pt idx="4">
                  <c:v>EBIT</c:v>
                </c:pt>
                <c:pt idx="5">
                  <c:v>Net margin</c:v>
                </c:pt>
              </c:strCache>
            </c:strRef>
          </c:cat>
          <c:val>
            <c:numRef>
              <c:f>'Working Sheet'!$L$16:$L$21</c:f>
              <c:numCache>
                <c:formatCode>0.0%</c:formatCode>
                <c:ptCount val="6"/>
                <c:pt idx="0">
                  <c:v>0.43309630561360085</c:v>
                </c:pt>
                <c:pt idx="1">
                  <c:v>0.30288744395528594</c:v>
                </c:pt>
                <c:pt idx="2" formatCode="_(* #,##0_);_(* \(#,##0\);_(* &quot;-&quot;??_);_(@_)">
                  <c:v>119437</c:v>
                </c:pt>
                <c:pt idx="3">
                  <c:v>0.30204043334482966</c:v>
                </c:pt>
                <c:pt idx="4" formatCode="_(* #,##0_);_(* \(#,##0\);_(* &quot;-&quot;??_);_(@_)">
                  <c:v>119103</c:v>
                </c:pt>
                <c:pt idx="5">
                  <c:v>0.25309640705199732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FE-4DD3-BCE1-73505CAA8F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60551168"/>
        <c:axId val="176056988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'Working Sheet'!$I$15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'Working Sheet'!$H$16:$H$21</c15:sqref>
                        </c15:formulaRef>
                      </c:ext>
                    </c:extLst>
                    <c:strCache>
                      <c:ptCount val="6"/>
                      <c:pt idx="0">
                        <c:v>Gross margin</c:v>
                      </c:pt>
                      <c:pt idx="1">
                        <c:v>EBITDA margin</c:v>
                      </c:pt>
                      <c:pt idx="2">
                        <c:v>EBITDA</c:v>
                      </c:pt>
                      <c:pt idx="3">
                        <c:v>EBIT margin</c:v>
                      </c:pt>
                      <c:pt idx="4">
                        <c:v>EBIT</c:v>
                      </c:pt>
                      <c:pt idx="5">
                        <c:v>Net margin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'Working Sheet'!$I$16:$I$21</c15:sqref>
                        </c15:formulaRef>
                      </c:ext>
                    </c:extLst>
                    <c:numCache>
                      <c:formatCode>General</c:formatCode>
                      <c:ptCount val="6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5FFE-4DD3-BCE1-73505CAA8F19}"/>
                  </c:ext>
                </c:extLst>
              </c15:ser>
            </c15:filteredBarSeries>
          </c:ext>
        </c:extLst>
      </c:barChart>
      <c:catAx>
        <c:axId val="1760551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0569888"/>
        <c:crosses val="autoZero"/>
        <c:auto val="1"/>
        <c:lblAlgn val="ctr"/>
        <c:lblOffset val="100"/>
        <c:noMultiLvlLbl val="0"/>
      </c:catAx>
      <c:valAx>
        <c:axId val="1760569888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0551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SOLVENCY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1"/>
          <c:order val="1"/>
          <c:tx>
            <c:strRef>
              <c:f>'Working Sheet'!$J$23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'Working Sheet'!$H$24:$H$30</c:f>
              <c:strCache>
                <c:ptCount val="7"/>
                <c:pt idx="0">
                  <c:v>Debt to equity (D/E)</c:v>
                </c:pt>
                <c:pt idx="1">
                  <c:v>Debt to total assets</c:v>
                </c:pt>
                <c:pt idx="2">
                  <c:v>Long-term debt to capital</c:v>
                </c:pt>
                <c:pt idx="3">
                  <c:v>Times interest earned</c:v>
                </c:pt>
                <c:pt idx="4">
                  <c:v>Debt coverage</c:v>
                </c:pt>
                <c:pt idx="5">
                  <c:v>Free cash flow (FCFE) per share</c:v>
                </c:pt>
                <c:pt idx="6">
                  <c:v>FCFE</c:v>
                </c:pt>
              </c:strCache>
            </c:strRef>
          </c:cat>
          <c:val>
            <c:numRef>
              <c:f>'Working Sheet'!$J$24:$J$30</c:f>
              <c:numCache>
                <c:formatCode>0.00</c:formatCode>
                <c:ptCount val="7"/>
                <c:pt idx="0">
                  <c:v>3.9570394404566951</c:v>
                </c:pt>
                <c:pt idx="1">
                  <c:v>0.79826668477992391</c:v>
                </c:pt>
                <c:pt idx="2">
                  <c:v>1.5100782075024104</c:v>
                </c:pt>
                <c:pt idx="3">
                  <c:v>22.348767488341107</c:v>
                </c:pt>
                <c:pt idx="4">
                  <c:v>4.8226751592356685</c:v>
                </c:pt>
                <c:pt idx="5">
                  <c:v>0.40073652494141276</c:v>
                </c:pt>
                <c:pt idx="6" formatCode="_(* #,##0_);_(* \(#,##0\);_(* &quot;-&quot;??_);_(@_)">
                  <c:v>20349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6A-47DC-A85B-B1DB467D2EC9}"/>
            </c:ext>
          </c:extLst>
        </c:ser>
        <c:ser>
          <c:idx val="2"/>
          <c:order val="2"/>
          <c:tx>
            <c:strRef>
              <c:f>'Working Sheet'!$K$23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'Working Sheet'!$H$24:$H$30</c:f>
              <c:strCache>
                <c:ptCount val="7"/>
                <c:pt idx="0">
                  <c:v>Debt to equity (D/E)</c:v>
                </c:pt>
                <c:pt idx="1">
                  <c:v>Debt to total assets</c:v>
                </c:pt>
                <c:pt idx="2">
                  <c:v>Long-term debt to capital</c:v>
                </c:pt>
                <c:pt idx="3">
                  <c:v>Times interest earned</c:v>
                </c:pt>
                <c:pt idx="4">
                  <c:v>Debt coverage</c:v>
                </c:pt>
                <c:pt idx="5">
                  <c:v>Free cash flow (FCFE) per share</c:v>
                </c:pt>
                <c:pt idx="6">
                  <c:v>FCFE</c:v>
                </c:pt>
              </c:strCache>
            </c:strRef>
          </c:cat>
          <c:val>
            <c:numRef>
              <c:f>'Working Sheet'!$K$24:$K$30</c:f>
              <c:numCache>
                <c:formatCode>0.00</c:formatCode>
                <c:ptCount val="7"/>
                <c:pt idx="0">
                  <c:v>4.5635124425423994</c:v>
                </c:pt>
                <c:pt idx="1">
                  <c:v>0.82025743443057308</c:v>
                </c:pt>
                <c:pt idx="2">
                  <c:v>1.729370740212395</c:v>
                </c:pt>
                <c:pt idx="3">
                  <c:v>40.642724227763303</c:v>
                </c:pt>
                <c:pt idx="4">
                  <c:v>6.7938211382113822</c:v>
                </c:pt>
                <c:pt idx="5">
                  <c:v>0.44002440512507629</c:v>
                </c:pt>
                <c:pt idx="6" formatCode="_(* #,##0_);_(* \(#,##0\);_(* &quot;-&quot;??_);_(@_)">
                  <c:v>25242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6A-47DC-A85B-B1DB467D2EC9}"/>
            </c:ext>
          </c:extLst>
        </c:ser>
        <c:ser>
          <c:idx val="3"/>
          <c:order val="3"/>
          <c:tx>
            <c:strRef>
              <c:f>'Working Sheet'!$L$23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'Working Sheet'!$H$24:$H$30</c:f>
              <c:strCache>
                <c:ptCount val="7"/>
                <c:pt idx="0">
                  <c:v>Debt to equity (D/E)</c:v>
                </c:pt>
                <c:pt idx="1">
                  <c:v>Debt to total assets</c:v>
                </c:pt>
                <c:pt idx="2">
                  <c:v>Long-term debt to capital</c:v>
                </c:pt>
                <c:pt idx="3">
                  <c:v>Times interest earned</c:v>
                </c:pt>
                <c:pt idx="4">
                  <c:v>Debt coverage</c:v>
                </c:pt>
                <c:pt idx="5">
                  <c:v>Free cash flow (FCFE) per share</c:v>
                </c:pt>
                <c:pt idx="6">
                  <c:v>FCFE</c:v>
                </c:pt>
              </c:strCache>
            </c:strRef>
          </c:cat>
          <c:val>
            <c:numRef>
              <c:f>'Working Sheet'!$L$24:$L$30</c:f>
              <c:numCache>
                <c:formatCode>0.00</c:formatCode>
                <c:ptCount val="7"/>
                <c:pt idx="0">
                  <c:v>5.9615369434796337</c:v>
                </c:pt>
                <c:pt idx="1">
                  <c:v>0.85635355983614692</c:v>
                </c:pt>
                <c:pt idx="2">
                  <c:v>1.9529325860435744</c:v>
                </c:pt>
                <c:pt idx="3">
                  <c:v>41.571727748691103</c:v>
                </c:pt>
                <c:pt idx="4">
                  <c:v>7.1367112127492316</c:v>
                </c:pt>
                <c:pt idx="5">
                  <c:v>0.71692701506576817</c:v>
                </c:pt>
                <c:pt idx="6" formatCode="_(* #,##0_);_(* \(#,##0\);_(* &quot;-&quot;??_);_(@_)">
                  <c:v>46492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6A-47DC-A85B-B1DB467D2E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06296992"/>
        <c:axId val="1606293152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'Working Sheet'!$I$23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'Working Sheet'!$H$24:$H$30</c15:sqref>
                        </c15:formulaRef>
                      </c:ext>
                    </c:extLst>
                    <c:strCache>
                      <c:ptCount val="7"/>
                      <c:pt idx="0">
                        <c:v>Debt to equity (D/E)</c:v>
                      </c:pt>
                      <c:pt idx="1">
                        <c:v>Debt to total assets</c:v>
                      </c:pt>
                      <c:pt idx="2">
                        <c:v>Long-term debt to capital</c:v>
                      </c:pt>
                      <c:pt idx="3">
                        <c:v>Times interest earned</c:v>
                      </c:pt>
                      <c:pt idx="4">
                        <c:v>Debt coverage</c:v>
                      </c:pt>
                      <c:pt idx="5">
                        <c:v>Free cash flow (FCFE) per share</c:v>
                      </c:pt>
                      <c:pt idx="6">
                        <c:v>FCFE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'Working Sheet'!$I$24:$I$30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3E6A-47DC-A85B-B1DB467D2EC9}"/>
                  </c:ext>
                </c:extLst>
              </c15:ser>
            </c15:filteredBarSeries>
          </c:ext>
        </c:extLst>
      </c:barChart>
      <c:catAx>
        <c:axId val="1606296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06293152"/>
        <c:crosses val="autoZero"/>
        <c:auto val="1"/>
        <c:lblAlgn val="ctr"/>
        <c:lblOffset val="100"/>
        <c:noMultiLvlLbl val="0"/>
      </c:catAx>
      <c:valAx>
        <c:axId val="1606293152"/>
        <c:scaling>
          <c:orientation val="minMax"/>
        </c:scaling>
        <c:delete val="0"/>
        <c:axPos val="b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06296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ASSET</a:t>
            </a:r>
            <a:r>
              <a:rPr lang="en-US" b="1" baseline="0"/>
              <a:t> UTILIZATION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'Working Sheet'!$J$32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'Working Sheet'!$H$33:$H$36</c:f>
              <c:strCache>
                <c:ptCount val="4"/>
                <c:pt idx="0">
                  <c:v>Total asset turnover</c:v>
                </c:pt>
                <c:pt idx="1">
                  <c:v>Fixed asset turnover</c:v>
                </c:pt>
                <c:pt idx="2">
                  <c:v>Inventory turnover</c:v>
                </c:pt>
                <c:pt idx="3">
                  <c:v>Return on assets (ROA)</c:v>
                </c:pt>
              </c:strCache>
            </c:strRef>
          </c:cat>
          <c:val>
            <c:numRef>
              <c:f>'Working Sheet'!$J$33:$J$36</c:f>
              <c:numCache>
                <c:formatCode>0.00</c:formatCode>
                <c:ptCount val="4"/>
                <c:pt idx="0">
                  <c:v>0.84756150274168851</c:v>
                </c:pt>
                <c:pt idx="1">
                  <c:v>1.5236020535590398</c:v>
                </c:pt>
                <c:pt idx="2">
                  <c:v>41.753016498399411</c:v>
                </c:pt>
                <c:pt idx="3">
                  <c:v>0.1772557180259843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DE-45A0-9DC5-75455278CB63}"/>
            </c:ext>
          </c:extLst>
        </c:ser>
        <c:ser>
          <c:idx val="2"/>
          <c:order val="2"/>
          <c:tx>
            <c:strRef>
              <c:f>'Working Sheet'!$K$32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'Working Sheet'!$H$33:$H$36</c:f>
              <c:strCache>
                <c:ptCount val="4"/>
                <c:pt idx="0">
                  <c:v>Total asset turnover</c:v>
                </c:pt>
                <c:pt idx="1">
                  <c:v>Fixed asset turnover</c:v>
                </c:pt>
                <c:pt idx="2">
                  <c:v>Inventory turnover</c:v>
                </c:pt>
                <c:pt idx="3">
                  <c:v>Return on assets (ROA)</c:v>
                </c:pt>
              </c:strCache>
            </c:strRef>
          </c:cat>
          <c:val>
            <c:numRef>
              <c:f>'Working Sheet'!$K$33:$K$36</c:f>
              <c:numCache>
                <c:formatCode>0.00</c:formatCode>
                <c:ptCount val="4"/>
                <c:pt idx="0">
                  <c:v>1.0422077367080529</c:v>
                </c:pt>
                <c:pt idx="1">
                  <c:v>1.6922966608994938</c:v>
                </c:pt>
                <c:pt idx="2">
                  <c:v>32.367933130699086</c:v>
                </c:pt>
                <c:pt idx="3">
                  <c:v>0.26974205275183616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DE-45A0-9DC5-75455278CB63}"/>
            </c:ext>
          </c:extLst>
        </c:ser>
        <c:ser>
          <c:idx val="3"/>
          <c:order val="3"/>
          <c:tx>
            <c:strRef>
              <c:f>'Working Sheet'!$L$32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'Working Sheet'!$H$33:$H$36</c:f>
              <c:strCache>
                <c:ptCount val="4"/>
                <c:pt idx="0">
                  <c:v>Total asset turnover</c:v>
                </c:pt>
                <c:pt idx="1">
                  <c:v>Fixed asset turnover</c:v>
                </c:pt>
                <c:pt idx="2">
                  <c:v>Inventory turnover</c:v>
                </c:pt>
                <c:pt idx="3">
                  <c:v>Return on assets (ROA)</c:v>
                </c:pt>
              </c:strCache>
            </c:strRef>
          </c:cat>
          <c:val>
            <c:numRef>
              <c:f>'Working Sheet'!$L$33:$L$36</c:f>
              <c:numCache>
                <c:formatCode>0.00</c:formatCode>
                <c:ptCount val="4"/>
                <c:pt idx="0">
                  <c:v>1.1178523337727317</c:v>
                </c:pt>
                <c:pt idx="1">
                  <c:v>1.8142535081665516</c:v>
                </c:pt>
                <c:pt idx="2">
                  <c:v>45.197331176708452</c:v>
                </c:pt>
                <c:pt idx="3">
                  <c:v>0.28292440929256851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DE-45A0-9DC5-75455278CB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6737328"/>
        <c:axId val="143674116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'Working Sheet'!$I$32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'Working Sheet'!$H$33:$H$36</c15:sqref>
                        </c15:formulaRef>
                      </c:ext>
                    </c:extLst>
                    <c:strCache>
                      <c:ptCount val="4"/>
                      <c:pt idx="0">
                        <c:v>Total asset turnover</c:v>
                      </c:pt>
                      <c:pt idx="1">
                        <c:v>Fixed asset turnover</c:v>
                      </c:pt>
                      <c:pt idx="2">
                        <c:v>Inventory turnover</c:v>
                      </c:pt>
                      <c:pt idx="3">
                        <c:v>Return on assets (ROA)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'Working Sheet'!$I$33:$I$36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CDDE-45A0-9DC5-75455278CB63}"/>
                  </c:ext>
                </c:extLst>
              </c15:ser>
            </c15:filteredBarSeries>
          </c:ext>
        </c:extLst>
      </c:barChart>
      <c:catAx>
        <c:axId val="143673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36741168"/>
        <c:crosses val="autoZero"/>
        <c:auto val="1"/>
        <c:lblAlgn val="ctr"/>
        <c:lblOffset val="100"/>
        <c:noMultiLvlLbl val="0"/>
      </c:catAx>
      <c:valAx>
        <c:axId val="1436741168"/>
        <c:scaling>
          <c:orientation val="minMax"/>
        </c:scaling>
        <c:delete val="0"/>
        <c:axPos val="l"/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36737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6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Chrispin Phiri</dc:creator>
  <cp:keywords/>
  <dc:description/>
  <cp:lastModifiedBy>Chrispin Phiri</cp:lastModifiedBy>
  <cp:revision>4</cp:revision>
  <dcterms:created xsi:type="dcterms:W3CDTF">2024-09-07T05:55:00Z</dcterms:created>
  <dcterms:modified xsi:type="dcterms:W3CDTF">2024-09-09T07:06:00Z</dcterms:modified>
</cp:coreProperties>
</file>