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8188" w14:textId="706BCD71" w:rsidR="007548B8" w:rsidRPr="007548B8" w:rsidRDefault="007548B8" w:rsidP="007548B8">
      <w:pPr>
        <w:jc w:val="center"/>
        <w:rPr>
          <w:b/>
          <w:bCs/>
          <w:sz w:val="72"/>
          <w:szCs w:val="72"/>
          <w:u w:val="single"/>
        </w:rPr>
      </w:pPr>
      <w:r w:rsidRPr="007548B8">
        <w:rPr>
          <w:b/>
          <w:bCs/>
          <w:sz w:val="72"/>
          <w:szCs w:val="72"/>
          <w:u w:val="single"/>
        </w:rPr>
        <w:t xml:space="preserve">Marriot’s </w:t>
      </w:r>
    </w:p>
    <w:p w14:paraId="6B202D82" w14:textId="3B9F4128" w:rsidR="007548B8" w:rsidRPr="00AC542D" w:rsidRDefault="007548B8" w:rsidP="007548B8">
      <w:pPr>
        <w:rPr>
          <w:b/>
          <w:bCs/>
          <w:i/>
          <w:iCs/>
          <w:u w:val="single"/>
        </w:rPr>
      </w:pPr>
      <w:r w:rsidRPr="00715C30">
        <w:rPr>
          <w:b/>
          <w:bCs/>
          <w:i/>
          <w:iCs/>
          <w:highlight w:val="yellow"/>
          <w:u w:val="single"/>
        </w:rPr>
        <w:t>Revenue Drivers</w:t>
      </w:r>
    </w:p>
    <w:p w14:paraId="009AB75C" w14:textId="614C49C9" w:rsidR="007548B8" w:rsidRDefault="007548B8" w:rsidP="007548B8">
      <w:pPr>
        <w:pStyle w:val="ListParagraph"/>
        <w:numPr>
          <w:ilvl w:val="0"/>
          <w:numId w:val="3"/>
        </w:numPr>
        <w:jc w:val="both"/>
      </w:pPr>
      <w:r>
        <w:t>The increase in base management fees primarily reflected higher RevPAR and unit growth.</w:t>
      </w:r>
    </w:p>
    <w:p w14:paraId="3DA1E4AD" w14:textId="02BB2472" w:rsidR="007548B8" w:rsidRDefault="007548B8" w:rsidP="007548B8">
      <w:pPr>
        <w:pStyle w:val="ListParagraph"/>
        <w:numPr>
          <w:ilvl w:val="0"/>
          <w:numId w:val="3"/>
        </w:numPr>
        <w:jc w:val="both"/>
      </w:pPr>
      <w:r>
        <w:t>The increase in franchise fees primarily reflected higher RevPAR, unit growth ($99 million), and higher non-RevPAR</w:t>
      </w:r>
      <w:r>
        <w:t xml:space="preserve"> </w:t>
      </w:r>
      <w:r>
        <w:t>related franchise fees ($50 million). Non-RevPAR related franchise fees of $832 million in 2023 increased primarily due to</w:t>
      </w:r>
      <w:r>
        <w:t xml:space="preserve"> </w:t>
      </w:r>
      <w:r>
        <w:t>higher co-branded credit card fees ($55 million).</w:t>
      </w:r>
    </w:p>
    <w:p w14:paraId="3B9F37B7" w14:textId="662D22AF" w:rsidR="003B7B15" w:rsidRDefault="007548B8" w:rsidP="007548B8">
      <w:pPr>
        <w:pStyle w:val="ListParagraph"/>
        <w:numPr>
          <w:ilvl w:val="0"/>
          <w:numId w:val="3"/>
        </w:numPr>
        <w:jc w:val="both"/>
      </w:pPr>
      <w:r>
        <w:t xml:space="preserve">The increase in incentive management fees primarily reflected higher profits at many managed hotels. In 2023, management fees </w:t>
      </w:r>
      <w:r w:rsidR="00D65861">
        <w:t xml:space="preserve">rose </w:t>
      </w:r>
      <w:r>
        <w:t xml:space="preserve">from 68 percent of managed properties worldwide, compared to 61 percent in 2022. </w:t>
      </w:r>
      <w:r w:rsidR="00D65861">
        <w:t xml:space="preserve">The </w:t>
      </w:r>
      <w:r>
        <w:t>management fees</w:t>
      </w:r>
      <w:r w:rsidR="00D65861">
        <w:t xml:space="preserve"> rose</w:t>
      </w:r>
      <w:r>
        <w:t xml:space="preserve"> from 31 percent of U.S. &amp; Canada managed properties and 85 percent of our International</w:t>
      </w:r>
      <w:r>
        <w:t xml:space="preserve"> </w:t>
      </w:r>
      <w:r>
        <w:t>managed properties in 2023, compared to 29 percent in U.S. &amp; Canada and 76 percent in International in 2022. In addition, 65</w:t>
      </w:r>
      <w:r>
        <w:t xml:space="preserve"> </w:t>
      </w:r>
      <w:r>
        <w:t>percent of total incentive management fees in 2023 came from our International managed properties versus 58 percent in</w:t>
      </w:r>
      <w:r>
        <w:t xml:space="preserve"> </w:t>
      </w:r>
      <w:r>
        <w:t>2022.</w:t>
      </w:r>
    </w:p>
    <w:p w14:paraId="3A9C8121" w14:textId="77777777" w:rsidR="00681676" w:rsidRDefault="00681676" w:rsidP="00681676">
      <w:pPr>
        <w:pStyle w:val="ListParagraph"/>
        <w:numPr>
          <w:ilvl w:val="0"/>
          <w:numId w:val="3"/>
        </w:numPr>
        <w:jc w:val="both"/>
      </w:pPr>
      <w:r>
        <w:t>Global RevPAR (Revenue Per Available Room) - Rose nearly 15% in 2023.</w:t>
      </w:r>
    </w:p>
    <w:p w14:paraId="2112A8D4" w14:textId="77777777" w:rsidR="00681676" w:rsidRDefault="00681676" w:rsidP="00681676">
      <w:pPr>
        <w:pStyle w:val="ListParagraph"/>
        <w:numPr>
          <w:ilvl w:val="0"/>
          <w:numId w:val="3"/>
        </w:numPr>
        <w:jc w:val="both"/>
      </w:pPr>
      <w:r>
        <w:t>Net rooms growth - 4.7% in 2023, the highest since 2019.</w:t>
      </w:r>
    </w:p>
    <w:p w14:paraId="63E39EB0" w14:textId="77777777" w:rsidR="00681676" w:rsidRDefault="00681676" w:rsidP="00681676">
      <w:pPr>
        <w:pStyle w:val="ListParagraph"/>
        <w:numPr>
          <w:ilvl w:val="0"/>
          <w:numId w:val="3"/>
        </w:numPr>
        <w:jc w:val="both"/>
      </w:pPr>
      <w:r>
        <w:t>Group demand - Group revenues rose 19% compared to 2022.</w:t>
      </w:r>
    </w:p>
    <w:p w14:paraId="2E4B9F54" w14:textId="77777777" w:rsidR="00681676" w:rsidRDefault="00681676" w:rsidP="00681676">
      <w:pPr>
        <w:pStyle w:val="ListParagraph"/>
        <w:numPr>
          <w:ilvl w:val="0"/>
          <w:numId w:val="3"/>
        </w:numPr>
        <w:jc w:val="both"/>
      </w:pPr>
      <w:r>
        <w:t>Business transient segment - Global business transient revenues increased 18% compared to 2022.</w:t>
      </w:r>
    </w:p>
    <w:p w14:paraId="262C27BE" w14:textId="77777777" w:rsidR="00681676" w:rsidRDefault="00681676" w:rsidP="00681676">
      <w:pPr>
        <w:pStyle w:val="ListParagraph"/>
        <w:numPr>
          <w:ilvl w:val="0"/>
          <w:numId w:val="3"/>
        </w:numPr>
        <w:jc w:val="both"/>
      </w:pPr>
      <w:r>
        <w:t>Leisure transient segment - Posted more than 10% year-over-year revenue growth.</w:t>
      </w:r>
    </w:p>
    <w:p w14:paraId="722E2021" w14:textId="06FD6FC8" w:rsidR="00681676" w:rsidRDefault="00681676" w:rsidP="00681676">
      <w:pPr>
        <w:pStyle w:val="ListParagraph"/>
        <w:numPr>
          <w:ilvl w:val="0"/>
          <w:numId w:val="3"/>
        </w:numPr>
        <w:jc w:val="both"/>
      </w:pPr>
      <w:r>
        <w:t>Marriott Bonvoy loyalty program - Over 60% of global room nights were booked by members.</w:t>
      </w:r>
    </w:p>
    <w:p w14:paraId="6C1C568F" w14:textId="5F02E2D6" w:rsidR="007548B8" w:rsidRDefault="007548B8" w:rsidP="007548B8">
      <w:pPr>
        <w:jc w:val="both"/>
      </w:pPr>
      <w:r w:rsidRPr="004A788A">
        <w:rPr>
          <w:b/>
          <w:bCs/>
          <w:i/>
          <w:iCs/>
          <w:highlight w:val="yellow"/>
          <w:u w:val="single"/>
        </w:rPr>
        <w:t>Business Segment</w:t>
      </w:r>
    </w:p>
    <w:p w14:paraId="007B80AE" w14:textId="77777777" w:rsidR="007548B8" w:rsidRDefault="007548B8" w:rsidP="007548B8">
      <w:pPr>
        <w:jc w:val="both"/>
      </w:pPr>
      <w:r>
        <w:t>U.S. &amp; Canada segment profit increased primarily due to the following:</w:t>
      </w:r>
    </w:p>
    <w:p w14:paraId="1D044A23" w14:textId="4CEEC1C8" w:rsidR="007548B8" w:rsidRDefault="007548B8" w:rsidP="007548B8">
      <w:pPr>
        <w:pStyle w:val="ListParagraph"/>
        <w:numPr>
          <w:ilvl w:val="0"/>
          <w:numId w:val="2"/>
        </w:numPr>
        <w:jc w:val="both"/>
      </w:pPr>
      <w:r>
        <w:t>$313 million of higher gross fee revenues, primarily reflecting higher RevPAR driven by increases in both ADR and</w:t>
      </w:r>
    </w:p>
    <w:p w14:paraId="489CD9A9" w14:textId="77777777" w:rsidR="007548B8" w:rsidRDefault="007548B8" w:rsidP="007548B8">
      <w:pPr>
        <w:pStyle w:val="ListParagraph"/>
        <w:numPr>
          <w:ilvl w:val="0"/>
          <w:numId w:val="2"/>
        </w:numPr>
        <w:jc w:val="both"/>
      </w:pPr>
      <w:r>
        <w:t>occupancy, unit growth, and higher profits at certain managed hotels; and</w:t>
      </w:r>
    </w:p>
    <w:p w14:paraId="01C0E546" w14:textId="24AD005F" w:rsidR="007548B8" w:rsidRDefault="007548B8" w:rsidP="007548B8">
      <w:pPr>
        <w:pStyle w:val="ListParagraph"/>
        <w:numPr>
          <w:ilvl w:val="0"/>
          <w:numId w:val="2"/>
        </w:numPr>
        <w:jc w:val="both"/>
      </w:pPr>
      <w:r>
        <w:t>$73 million of higher owned, leased, and other revenue, net of direct expenses, primarily reflecting $57 million of</w:t>
      </w:r>
      <w:r>
        <w:t xml:space="preserve"> </w:t>
      </w:r>
      <w:r>
        <w:t>higher termination fees, primarily related to one development project, and a $31 million estimated monetary payment</w:t>
      </w:r>
      <w:r>
        <w:t xml:space="preserve"> </w:t>
      </w:r>
      <w:r>
        <w:t>recorded in 2022 related to a portfolio of 12 leased hotels;</w:t>
      </w:r>
    </w:p>
    <w:p w14:paraId="494722A2" w14:textId="77777777" w:rsidR="00B71EE9" w:rsidRPr="00B71EE9" w:rsidRDefault="00B71EE9" w:rsidP="00B71EE9">
      <w:pPr>
        <w:jc w:val="both"/>
        <w:rPr>
          <w:b/>
          <w:bCs/>
        </w:rPr>
      </w:pPr>
      <w:r w:rsidRPr="00B71EE9">
        <w:rPr>
          <w:b/>
          <w:bCs/>
        </w:rPr>
        <w:t>International segment profit increased primarily due to the following:</w:t>
      </w:r>
    </w:p>
    <w:p w14:paraId="5123D49B" w14:textId="77BD3C60" w:rsidR="00B71EE9" w:rsidRDefault="00B71EE9" w:rsidP="004D358C">
      <w:pPr>
        <w:pStyle w:val="ListParagraph"/>
        <w:numPr>
          <w:ilvl w:val="0"/>
          <w:numId w:val="4"/>
        </w:numPr>
        <w:jc w:val="both"/>
      </w:pPr>
      <w:r>
        <w:t>$373 million of higher gross fee revenues, primarily reflecting higher profits at certain managed hotels, higher</w:t>
      </w:r>
      <w:r>
        <w:t xml:space="preserve"> </w:t>
      </w:r>
      <w:r>
        <w:t>RevPAR driven by increases in both occupancy and ADR in all regions, and unit growth, partially offset by net</w:t>
      </w:r>
      <w:r w:rsidR="004D358C">
        <w:t xml:space="preserve"> unfavourable</w:t>
      </w:r>
      <w:r>
        <w:t xml:space="preserve"> foreign exchange rates;</w:t>
      </w:r>
    </w:p>
    <w:p w14:paraId="270798C3" w14:textId="5E1880A0" w:rsidR="00B71EE9" w:rsidRDefault="00B71EE9" w:rsidP="004D358C">
      <w:pPr>
        <w:pStyle w:val="ListParagraph"/>
        <w:numPr>
          <w:ilvl w:val="0"/>
          <w:numId w:val="4"/>
        </w:numPr>
        <w:jc w:val="both"/>
      </w:pPr>
      <w:r>
        <w:t>$24 million of higher gains and other income, net, primarily reflecting a gain on the sale of a hotel in the Caribbean &amp;</w:t>
      </w:r>
      <w:r w:rsidR="004D358C">
        <w:t xml:space="preserve"> </w:t>
      </w:r>
      <w:r>
        <w:t>Latin America region ($24 million); and</w:t>
      </w:r>
    </w:p>
    <w:p w14:paraId="34931E42" w14:textId="42193F7B" w:rsidR="004A788A" w:rsidRDefault="00B71EE9" w:rsidP="004A788A">
      <w:pPr>
        <w:pStyle w:val="ListParagraph"/>
        <w:numPr>
          <w:ilvl w:val="0"/>
          <w:numId w:val="4"/>
        </w:numPr>
        <w:jc w:val="both"/>
      </w:pPr>
      <w:r>
        <w:t>$3 million of higher owned, leased, and other revenue, net of direct expenses, primarily reflecting stronger results at</w:t>
      </w:r>
      <w:r w:rsidR="004D358C">
        <w:t xml:space="preserve"> </w:t>
      </w:r>
      <w:r>
        <w:t>owned and leased properties ($43 million), partially offset by subsidies received in 2022 for certain of leased</w:t>
      </w:r>
      <w:r w:rsidR="004D358C">
        <w:t xml:space="preserve"> </w:t>
      </w:r>
      <w:r>
        <w:t>hotels under German government COVID-19 assistance programs ($29 million)</w:t>
      </w:r>
      <w:r w:rsidR="004D358C">
        <w:t>.</w:t>
      </w:r>
    </w:p>
    <w:p w14:paraId="3E7A08AC" w14:textId="01CF8940" w:rsidR="00715C30" w:rsidRDefault="00715C30" w:rsidP="00715C30">
      <w:pPr>
        <w:rPr>
          <w:b/>
          <w:bCs/>
          <w:i/>
          <w:iCs/>
          <w:u w:val="single"/>
        </w:rPr>
      </w:pPr>
      <w:r w:rsidRPr="00715C30">
        <w:rPr>
          <w:b/>
          <w:bCs/>
          <w:i/>
          <w:iCs/>
          <w:highlight w:val="yellow"/>
          <w:u w:val="single"/>
        </w:rPr>
        <w:lastRenderedPageBreak/>
        <w:t>Cost Driver</w:t>
      </w:r>
    </w:p>
    <w:p w14:paraId="1A2D3D14" w14:textId="2D80C7B8" w:rsidR="00715C30" w:rsidRDefault="006D1F68" w:rsidP="00852B3D">
      <w:pPr>
        <w:pStyle w:val="ListParagraph"/>
        <w:numPr>
          <w:ilvl w:val="0"/>
          <w:numId w:val="8"/>
        </w:numPr>
        <w:jc w:val="both"/>
      </w:pPr>
      <w:r>
        <w:t>Owned, leased, and other revenue, net of direct expenses, increased primarily due to stronger results at our owned and</w:t>
      </w:r>
      <w:r>
        <w:t xml:space="preserve"> </w:t>
      </w:r>
      <w:r>
        <w:t>leased properties, $46 million of higher termination fees, primarily related to one development project in U.S. &amp; Canada, and an</w:t>
      </w:r>
      <w:r>
        <w:t xml:space="preserve"> </w:t>
      </w:r>
      <w:r>
        <w:t>estimated monetary payment of $31 million recorded in 2022 related to a portfolio of 12 leased hotels in the U.S. &amp; Canada,</w:t>
      </w:r>
      <w:r>
        <w:t xml:space="preserve"> </w:t>
      </w:r>
      <w:r>
        <w:t>partially offset by $29 million of subsidies received in 2022 for certain of our leased hotels under German government</w:t>
      </w:r>
      <w:r>
        <w:t xml:space="preserve"> </w:t>
      </w:r>
      <w:r>
        <w:t>COVID-19 assistance programs</w:t>
      </w:r>
    </w:p>
    <w:p w14:paraId="353532AC" w14:textId="2D9FAB07" w:rsidR="00852B3D" w:rsidRDefault="00852B3D" w:rsidP="00852B3D">
      <w:pPr>
        <w:pStyle w:val="ListParagraph"/>
        <w:numPr>
          <w:ilvl w:val="0"/>
          <w:numId w:val="8"/>
        </w:numPr>
        <w:jc w:val="both"/>
      </w:pPr>
      <w:r>
        <w:t>Cost reimbursements, net (cost reimbursement revenue, net of reimbursed expenses) varies due to timing differences</w:t>
      </w:r>
      <w:r>
        <w:t xml:space="preserve"> </w:t>
      </w:r>
      <w:r>
        <w:t>between the costs</w:t>
      </w:r>
      <w:r>
        <w:t xml:space="preserve"> </w:t>
      </w:r>
      <w:r>
        <w:t>for centralized programs and services and the related reimbursements we receive from property</w:t>
      </w:r>
      <w:r>
        <w:t xml:space="preserve"> </w:t>
      </w:r>
      <w:r>
        <w:t>owners and franchisees. Over the long term, our centralized programs and services are not designed to impact our economics,</w:t>
      </w:r>
      <w:r>
        <w:t xml:space="preserve"> </w:t>
      </w:r>
      <w:r>
        <w:t xml:space="preserve">either positively or negatively. </w:t>
      </w:r>
      <w:r>
        <w:t xml:space="preserve"> </w:t>
      </w:r>
      <w:r>
        <w:t>The decrease in cost reimbursements, net primarily reflected Loyalty Program activity, primarily due to lower program</w:t>
      </w:r>
      <w:r>
        <w:t xml:space="preserve"> </w:t>
      </w:r>
      <w:r>
        <w:t>revenues and higher program expenses, higher expenses related to our insurance program, and higher marketing expenses.</w:t>
      </w:r>
    </w:p>
    <w:p w14:paraId="2578A25A" w14:textId="0437055F" w:rsidR="00852B3D" w:rsidRDefault="00852B3D" w:rsidP="00852B3D">
      <w:pPr>
        <w:pStyle w:val="ListParagraph"/>
        <w:numPr>
          <w:ilvl w:val="0"/>
          <w:numId w:val="8"/>
        </w:numPr>
        <w:jc w:val="both"/>
      </w:pPr>
      <w:r>
        <w:t>General, administrative, and other expenses increased primarily due to higher administrative and compensation costs and</w:t>
      </w:r>
      <w:r>
        <w:t xml:space="preserve"> </w:t>
      </w:r>
      <w:r>
        <w:t>higher litigation accruals.</w:t>
      </w:r>
    </w:p>
    <w:p w14:paraId="45CECA75" w14:textId="1FF91AA8" w:rsidR="00852B3D" w:rsidRPr="006D1F68" w:rsidRDefault="00852B3D" w:rsidP="00852B3D">
      <w:pPr>
        <w:pStyle w:val="ListParagraph"/>
        <w:numPr>
          <w:ilvl w:val="0"/>
          <w:numId w:val="8"/>
        </w:numPr>
        <w:jc w:val="both"/>
      </w:pPr>
      <w:r>
        <w:t>Merger-related charges and other expenses increased primarily due to the Data Security Incident</w:t>
      </w:r>
    </w:p>
    <w:p w14:paraId="25876529" w14:textId="74F298C6" w:rsidR="004A788A" w:rsidRDefault="004A788A" w:rsidP="004A788A">
      <w:pPr>
        <w:jc w:val="both"/>
      </w:pPr>
      <w:r w:rsidRPr="004A788A">
        <w:rPr>
          <w:b/>
          <w:bCs/>
          <w:i/>
          <w:iCs/>
          <w:highlight w:val="yellow"/>
          <w:u w:val="single"/>
        </w:rPr>
        <w:t>Other Information:</w:t>
      </w:r>
    </w:p>
    <w:p w14:paraId="0B124A79" w14:textId="57BFC90A" w:rsidR="004A788A" w:rsidRDefault="004A788A" w:rsidP="004A788A">
      <w:pPr>
        <w:jc w:val="both"/>
      </w:pPr>
      <w:r>
        <w:t xml:space="preserve">At year-end 2023, </w:t>
      </w:r>
      <w:r>
        <w:t>the company</w:t>
      </w:r>
      <w:r>
        <w:t xml:space="preserve"> operated 19 customer engagement </w:t>
      </w:r>
      <w:r>
        <w:t>centres</w:t>
      </w:r>
      <w:r>
        <w:t>, seven in the U.S. and 12 in other countries and</w:t>
      </w:r>
      <w:r>
        <w:t xml:space="preserve"> </w:t>
      </w:r>
      <w:r>
        <w:t>territories. We own two of the U.S. facilities and either lease the others or share space with a company-operated property.</w:t>
      </w:r>
      <w:r>
        <w:t xml:space="preserve"> </w:t>
      </w:r>
      <w:r>
        <w:t>Affiliation with a brand is common in the U.S. lodging industry. In 2023, approximately 72 percent of U.S. hotel rooms</w:t>
      </w:r>
      <w:r>
        <w:t xml:space="preserve"> </w:t>
      </w:r>
      <w:r>
        <w:t>were brand-affiliated.</w:t>
      </w:r>
    </w:p>
    <w:p w14:paraId="073CBA56" w14:textId="2F0E2BC5" w:rsidR="004A788A" w:rsidRDefault="004A788A" w:rsidP="004A788A">
      <w:pPr>
        <w:jc w:val="both"/>
      </w:pPr>
      <w:r w:rsidRPr="004A788A">
        <w:rPr>
          <w:b/>
          <w:bCs/>
          <w:i/>
          <w:iCs/>
          <w:highlight w:val="yellow"/>
          <w:u w:val="single"/>
        </w:rPr>
        <w:t>Competition</w:t>
      </w:r>
    </w:p>
    <w:p w14:paraId="3FD8B4B2" w14:textId="6BD9F236" w:rsidR="004A788A" w:rsidRDefault="004A788A" w:rsidP="004A788A">
      <w:pPr>
        <w:jc w:val="both"/>
        <w:rPr>
          <w:lang w:val="en-IN"/>
        </w:rPr>
      </w:pPr>
      <w:r>
        <w:t xml:space="preserve">The company </w:t>
      </w:r>
      <w:r w:rsidRPr="004A788A">
        <w:rPr>
          <w:lang w:val="en-IN"/>
        </w:rPr>
        <w:t>compete against many other companies with strong brands and guest appeal, including Hilton, IHG</w:t>
      </w:r>
      <w:r>
        <w:rPr>
          <w:lang w:val="en-IN"/>
        </w:rPr>
        <w:t xml:space="preserve"> </w:t>
      </w:r>
      <w:r w:rsidRPr="004A788A">
        <w:rPr>
          <w:lang w:val="en-IN"/>
        </w:rPr>
        <w:t>Hotels &amp; Resorts, Hyatt, Wyndham Hotels &amp; Resorts, Accor, Choice Hotels, Best Western Hotels &amp; Resorts, and others.</w:t>
      </w:r>
    </w:p>
    <w:p w14:paraId="354B1B02" w14:textId="0252B210" w:rsidR="004A788A" w:rsidRDefault="004A788A" w:rsidP="004A788A">
      <w:pPr>
        <w:jc w:val="both"/>
        <w:rPr>
          <w:lang w:val="en-IN"/>
        </w:rPr>
      </w:pPr>
      <w:r w:rsidRPr="004A788A">
        <w:rPr>
          <w:b/>
          <w:bCs/>
          <w:i/>
          <w:iCs/>
          <w:highlight w:val="yellow"/>
          <w:u w:val="single"/>
          <w:lang w:val="en-IN"/>
        </w:rPr>
        <w:t>Risk Factors</w:t>
      </w:r>
    </w:p>
    <w:p w14:paraId="3B6778C2" w14:textId="3FD82421" w:rsidR="00D8201A" w:rsidRPr="00601C01" w:rsidRDefault="00365B93" w:rsidP="004A788A">
      <w:pPr>
        <w:jc w:val="both"/>
        <w:rPr>
          <w:b/>
          <w:bCs/>
          <w:i/>
          <w:iCs/>
          <w:u w:val="single"/>
          <w:lang w:val="en-IN"/>
        </w:rPr>
      </w:pPr>
      <w:r w:rsidRPr="00601C01">
        <w:rPr>
          <w:b/>
          <w:bCs/>
          <w:i/>
          <w:iCs/>
          <w:highlight w:val="yellow"/>
          <w:u w:val="single"/>
          <w:lang w:val="en-IN"/>
        </w:rPr>
        <w:t>Operational Risks</w:t>
      </w:r>
    </w:p>
    <w:p w14:paraId="6FA3A24F" w14:textId="5313D88D" w:rsidR="004A788A" w:rsidRPr="00D8201A" w:rsidRDefault="00365B93" w:rsidP="00D8201A">
      <w:pPr>
        <w:pStyle w:val="ListParagraph"/>
        <w:numPr>
          <w:ilvl w:val="0"/>
          <w:numId w:val="5"/>
        </w:numPr>
        <w:jc w:val="both"/>
        <w:rPr>
          <w:lang w:val="en-IN"/>
        </w:rPr>
      </w:pPr>
      <w:r w:rsidRPr="00D8201A">
        <w:rPr>
          <w:lang w:val="en-IN"/>
        </w:rPr>
        <w:t xml:space="preserve">Premature termination of management or franchise agreements could hurt financial performance. </w:t>
      </w:r>
    </w:p>
    <w:p w14:paraId="20D49ECE" w14:textId="29CA695C" w:rsidR="00D8201A" w:rsidRPr="00D8201A" w:rsidRDefault="00D8201A" w:rsidP="00D8201A">
      <w:pPr>
        <w:pStyle w:val="ListParagraph"/>
        <w:numPr>
          <w:ilvl w:val="0"/>
          <w:numId w:val="5"/>
        </w:numPr>
        <w:jc w:val="both"/>
        <w:rPr>
          <w:lang w:val="en-IN"/>
        </w:rPr>
      </w:pPr>
      <w:r w:rsidRPr="00D8201A">
        <w:rPr>
          <w:lang w:val="en-IN"/>
        </w:rPr>
        <w:t xml:space="preserve">An increase in the use of third-party Internet services to book online hotel reservations could adversely impact </w:t>
      </w:r>
      <w:r w:rsidRPr="00D8201A">
        <w:rPr>
          <w:lang w:val="en-IN"/>
        </w:rPr>
        <w:t xml:space="preserve">the </w:t>
      </w:r>
      <w:r w:rsidRPr="00D8201A">
        <w:rPr>
          <w:lang w:val="en-IN"/>
        </w:rPr>
        <w:t>business</w:t>
      </w:r>
      <w:r w:rsidRPr="00D8201A">
        <w:rPr>
          <w:lang w:val="en-IN"/>
        </w:rPr>
        <w:t>.</w:t>
      </w:r>
    </w:p>
    <w:p w14:paraId="7ADE0CBF" w14:textId="159B0A33" w:rsidR="00D8201A" w:rsidRPr="00D8201A" w:rsidRDefault="00D8201A" w:rsidP="00D8201A">
      <w:pPr>
        <w:pStyle w:val="ListParagraph"/>
        <w:numPr>
          <w:ilvl w:val="0"/>
          <w:numId w:val="5"/>
        </w:numPr>
        <w:jc w:val="both"/>
        <w:rPr>
          <w:lang w:val="en-IN"/>
        </w:rPr>
      </w:pPr>
      <w:r w:rsidRPr="00D8201A">
        <w:rPr>
          <w:lang w:val="en-IN"/>
        </w:rPr>
        <w:t>The</w:t>
      </w:r>
      <w:r w:rsidRPr="00D8201A">
        <w:rPr>
          <w:lang w:val="en-IN"/>
        </w:rPr>
        <w:t xml:space="preserve"> growth strategy depends upon attracting third-party owners and franchisees to our platform, and future</w:t>
      </w:r>
      <w:r w:rsidRPr="00D8201A">
        <w:rPr>
          <w:lang w:val="en-IN"/>
        </w:rPr>
        <w:t xml:space="preserve"> </w:t>
      </w:r>
      <w:r w:rsidRPr="00D8201A">
        <w:rPr>
          <w:lang w:val="en-IN"/>
        </w:rPr>
        <w:t xml:space="preserve">arrangements with these third parties may be less </w:t>
      </w:r>
      <w:r w:rsidRPr="00D8201A">
        <w:rPr>
          <w:lang w:val="en-IN"/>
        </w:rPr>
        <w:t>favourable</w:t>
      </w:r>
      <w:r w:rsidRPr="00D8201A">
        <w:rPr>
          <w:lang w:val="en-IN"/>
        </w:rPr>
        <w:t xml:space="preserve"> to us, depending on the terms offered by competitors.</w:t>
      </w:r>
    </w:p>
    <w:p w14:paraId="5BC89113" w14:textId="49B5C83B" w:rsidR="00D8201A" w:rsidRDefault="00D8201A" w:rsidP="00D8201A">
      <w:pPr>
        <w:pStyle w:val="ListParagraph"/>
        <w:numPr>
          <w:ilvl w:val="0"/>
          <w:numId w:val="5"/>
        </w:numPr>
        <w:jc w:val="both"/>
        <w:rPr>
          <w:lang w:val="en-IN"/>
        </w:rPr>
      </w:pPr>
      <w:r w:rsidRPr="00D8201A">
        <w:rPr>
          <w:lang w:val="en-IN"/>
        </w:rPr>
        <w:t>Actions by our franchisees and licensees or others could adversely affect our image and reputation</w:t>
      </w:r>
    </w:p>
    <w:p w14:paraId="0320E2AC" w14:textId="0E8C4C97" w:rsidR="00601C01" w:rsidRDefault="00601C01" w:rsidP="00601C01">
      <w:pPr>
        <w:jc w:val="both"/>
        <w:rPr>
          <w:highlight w:val="yellow"/>
          <w:lang w:val="en-IN"/>
        </w:rPr>
      </w:pPr>
      <w:r w:rsidRPr="00601C01">
        <w:rPr>
          <w:b/>
          <w:bCs/>
          <w:i/>
          <w:iCs/>
          <w:highlight w:val="yellow"/>
          <w:u w:val="single"/>
          <w:lang w:val="en-IN"/>
        </w:rPr>
        <w:t>Risks Relating to Industry</w:t>
      </w:r>
    </w:p>
    <w:p w14:paraId="71D9FEE0" w14:textId="160859B6" w:rsidR="00D8201A" w:rsidRPr="004A788A" w:rsidRDefault="00601C01" w:rsidP="004A788A">
      <w:pPr>
        <w:pStyle w:val="ListParagraph"/>
        <w:numPr>
          <w:ilvl w:val="0"/>
          <w:numId w:val="5"/>
        </w:numPr>
        <w:jc w:val="both"/>
      </w:pPr>
      <w:r w:rsidRPr="00954C36">
        <w:rPr>
          <w:lang w:val="en-IN"/>
        </w:rPr>
        <w:t xml:space="preserve">The </w:t>
      </w:r>
      <w:r w:rsidRPr="00954C36">
        <w:rPr>
          <w:lang w:val="en-IN"/>
        </w:rPr>
        <w:t>industry is highly competitive, which may impact our ability to compete successfully for guests</w:t>
      </w:r>
      <w:r w:rsidRPr="00954C36">
        <w:rPr>
          <w:lang w:val="en-IN"/>
        </w:rPr>
        <w:t>.</w:t>
      </w:r>
      <w:r w:rsidR="00954C36">
        <w:rPr>
          <w:lang w:val="en-IN"/>
        </w:rPr>
        <w:t xml:space="preserve"> </w:t>
      </w:r>
      <w:r w:rsidRPr="00954C36">
        <w:rPr>
          <w:lang w:val="en-IN"/>
        </w:rPr>
        <w:t>Economic and other global, national, and regional conditions and events have in the past impacted, and could in the</w:t>
      </w:r>
      <w:r w:rsidRPr="00954C36">
        <w:rPr>
          <w:lang w:val="en-IN"/>
        </w:rPr>
        <w:t xml:space="preserve"> </w:t>
      </w:r>
      <w:r w:rsidRPr="00954C36">
        <w:rPr>
          <w:lang w:val="en-IN"/>
        </w:rPr>
        <w:t xml:space="preserve">future impact, </w:t>
      </w:r>
      <w:r w:rsidRPr="00954C36">
        <w:rPr>
          <w:lang w:val="en-IN"/>
        </w:rPr>
        <w:t>the</w:t>
      </w:r>
      <w:r w:rsidRPr="00954C36">
        <w:rPr>
          <w:lang w:val="en-IN"/>
        </w:rPr>
        <w:t xml:space="preserve"> business, financial results and growth.</w:t>
      </w:r>
    </w:p>
    <w:sectPr w:rsidR="00D8201A" w:rsidRPr="004A788A" w:rsidSect="00715C3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376"/>
    <w:multiLevelType w:val="hybridMultilevel"/>
    <w:tmpl w:val="0C043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02EF"/>
    <w:multiLevelType w:val="hybridMultilevel"/>
    <w:tmpl w:val="7FF07A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1F01"/>
    <w:multiLevelType w:val="hybridMultilevel"/>
    <w:tmpl w:val="2A00C3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278"/>
    <w:multiLevelType w:val="hybridMultilevel"/>
    <w:tmpl w:val="38BE3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60BF"/>
    <w:multiLevelType w:val="hybridMultilevel"/>
    <w:tmpl w:val="B1F23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C2BAB"/>
    <w:multiLevelType w:val="hybridMultilevel"/>
    <w:tmpl w:val="CEBEE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019D1"/>
    <w:multiLevelType w:val="hybridMultilevel"/>
    <w:tmpl w:val="1436D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0006E"/>
    <w:multiLevelType w:val="hybridMultilevel"/>
    <w:tmpl w:val="62DE4E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964785">
    <w:abstractNumId w:val="1"/>
  </w:num>
  <w:num w:numId="2" w16cid:durableId="1598824181">
    <w:abstractNumId w:val="5"/>
  </w:num>
  <w:num w:numId="3" w16cid:durableId="804541782">
    <w:abstractNumId w:val="2"/>
  </w:num>
  <w:num w:numId="4" w16cid:durableId="138352873">
    <w:abstractNumId w:val="7"/>
  </w:num>
  <w:num w:numId="5" w16cid:durableId="781606280">
    <w:abstractNumId w:val="0"/>
  </w:num>
  <w:num w:numId="6" w16cid:durableId="1831212031">
    <w:abstractNumId w:val="6"/>
  </w:num>
  <w:num w:numId="7" w16cid:durableId="774249757">
    <w:abstractNumId w:val="3"/>
  </w:num>
  <w:num w:numId="8" w16cid:durableId="2006080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B8"/>
    <w:rsid w:val="00365B93"/>
    <w:rsid w:val="003B7B15"/>
    <w:rsid w:val="004A788A"/>
    <w:rsid w:val="004D358C"/>
    <w:rsid w:val="00601C01"/>
    <w:rsid w:val="00681676"/>
    <w:rsid w:val="006D1F68"/>
    <w:rsid w:val="00715C30"/>
    <w:rsid w:val="007548B8"/>
    <w:rsid w:val="0083195F"/>
    <w:rsid w:val="00852B3D"/>
    <w:rsid w:val="00954C36"/>
    <w:rsid w:val="009D085C"/>
    <w:rsid w:val="009D61C0"/>
    <w:rsid w:val="00AC542D"/>
    <w:rsid w:val="00B71EE9"/>
    <w:rsid w:val="00D65861"/>
    <w:rsid w:val="00D71E0D"/>
    <w:rsid w:val="00D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2BE5"/>
  <w15:chartTrackingRefBased/>
  <w15:docId w15:val="{E77600D0-FC8C-4871-8353-170DB78D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Khanna</dc:creator>
  <cp:keywords/>
  <dc:description/>
  <cp:lastModifiedBy>Vivek Khanna</cp:lastModifiedBy>
  <cp:revision>13</cp:revision>
  <dcterms:created xsi:type="dcterms:W3CDTF">2024-09-24T17:23:00Z</dcterms:created>
  <dcterms:modified xsi:type="dcterms:W3CDTF">2024-09-24T20:57:00Z</dcterms:modified>
</cp:coreProperties>
</file>