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BB96" w14:textId="3505F49B" w:rsidR="00916F1B" w:rsidRPr="00186C05" w:rsidRDefault="00661E03" w:rsidP="00186C05">
      <w:pPr>
        <w:pStyle w:val="Title"/>
      </w:pPr>
      <w:r w:rsidRPr="00186C05">
        <w:t>Market Research Report: Visa Inc.</w:t>
      </w:r>
    </w:p>
    <w:p w14:paraId="6618CFD2" w14:textId="77777777" w:rsidR="00661E03" w:rsidRPr="005B2EF3" w:rsidRDefault="00661E03" w:rsidP="007D737D">
      <w:pPr>
        <w:pStyle w:val="Subtitle"/>
        <w:spacing w:line="360" w:lineRule="auto"/>
        <w:rPr>
          <w:rFonts w:ascii="Times New Roman" w:hAnsi="Times New Roman" w:cs="Times New Roman"/>
          <w:b/>
          <w:bCs/>
          <w:color w:val="auto"/>
          <w:sz w:val="22"/>
          <w:szCs w:val="22"/>
        </w:rPr>
      </w:pPr>
      <w:r w:rsidRPr="005B2EF3">
        <w:rPr>
          <w:rFonts w:ascii="Times New Roman" w:hAnsi="Times New Roman" w:cs="Times New Roman"/>
          <w:b/>
          <w:bCs/>
          <w:color w:val="auto"/>
          <w:sz w:val="22"/>
          <w:szCs w:val="22"/>
        </w:rPr>
        <w:t>1. Industry Identification</w:t>
      </w:r>
    </w:p>
    <w:p w14:paraId="4AE83E69" w14:textId="5DE97A13" w:rsidR="00530DEA" w:rsidRPr="007D737D" w:rsidRDefault="00661E03"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Visa Inc. operates in the Digital Payment and Financial Technology (FinTech) Industry.</w:t>
      </w:r>
      <w:r w:rsidR="00872B89" w:rsidRPr="007D737D">
        <w:rPr>
          <w:rFonts w:ascii="Times New Roman" w:hAnsi="Times New Roman" w:cs="Times New Roman"/>
          <w:sz w:val="22"/>
          <w:szCs w:val="22"/>
        </w:rPr>
        <w:t xml:space="preserve"> Visa Inc. is a global financial services company known primarily for its role in facilitating electronic funds transfers, primarily through credit, debit, and prepaid cards. </w:t>
      </w:r>
      <w:r w:rsidR="004A6373">
        <w:rPr>
          <w:rFonts w:ascii="Times New Roman" w:hAnsi="Times New Roman" w:cs="Times New Roman"/>
          <w:sz w:val="22"/>
          <w:szCs w:val="22"/>
        </w:rPr>
        <w:t>(</w:t>
      </w:r>
      <w:r w:rsidR="00E430C6" w:rsidRPr="007D737D">
        <w:rPr>
          <w:rFonts w:ascii="Times New Roman" w:hAnsi="Times New Roman" w:cs="Times New Roman"/>
          <w:sz w:val="22"/>
          <w:szCs w:val="22"/>
        </w:rPr>
        <w:t>Visa Inc., 2024</w:t>
      </w:r>
      <w:r w:rsidR="00CD4BD9" w:rsidRPr="007D737D">
        <w:rPr>
          <w:rFonts w:ascii="Times New Roman" w:hAnsi="Times New Roman" w:cs="Times New Roman"/>
          <w:sz w:val="22"/>
          <w:szCs w:val="22"/>
        </w:rPr>
        <w:t>; Yahoo Finance, 2024</w:t>
      </w:r>
      <w:r w:rsidR="00E430C6" w:rsidRPr="007D737D">
        <w:rPr>
          <w:rFonts w:ascii="Times New Roman" w:hAnsi="Times New Roman" w:cs="Times New Roman"/>
          <w:sz w:val="22"/>
          <w:szCs w:val="22"/>
        </w:rPr>
        <w:t>)</w:t>
      </w:r>
      <w:r w:rsidR="00872B89" w:rsidRPr="007D737D">
        <w:rPr>
          <w:rFonts w:ascii="Times New Roman" w:hAnsi="Times New Roman" w:cs="Times New Roman"/>
          <w:sz w:val="22"/>
          <w:szCs w:val="22"/>
        </w:rPr>
        <w:t>.</w:t>
      </w:r>
    </w:p>
    <w:p w14:paraId="60E98B6C" w14:textId="1B4F5FD5" w:rsidR="00661E03"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According to Yahoo Finance (2024),</w:t>
      </w:r>
      <w:r w:rsidR="00B80D83" w:rsidRPr="007D737D">
        <w:rPr>
          <w:rFonts w:ascii="Times New Roman" w:hAnsi="Times New Roman" w:cs="Times New Roman"/>
          <w:sz w:val="22"/>
          <w:szCs w:val="22"/>
        </w:rPr>
        <w:t xml:space="preserve"> Visa Inc. has the following metrics</w:t>
      </w:r>
    </w:p>
    <w:p w14:paraId="15347D55"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Net Revenues</w:t>
      </w:r>
      <w:r w:rsidRPr="007D737D">
        <w:rPr>
          <w:rFonts w:ascii="Times New Roman" w:hAnsi="Times New Roman" w:cs="Times New Roman"/>
          <w:sz w:val="22"/>
          <w:szCs w:val="22"/>
        </w:rPr>
        <w:t xml:space="preserve">: Reached </w:t>
      </w:r>
      <w:r w:rsidRPr="007D737D">
        <w:rPr>
          <w:rFonts w:ascii="Times New Roman" w:hAnsi="Times New Roman" w:cs="Times New Roman"/>
          <w:b/>
          <w:bCs/>
          <w:sz w:val="22"/>
          <w:szCs w:val="22"/>
        </w:rPr>
        <w:t>$8.6 billion</w:t>
      </w:r>
      <w:r w:rsidRPr="007D737D">
        <w:rPr>
          <w:rFonts w:ascii="Times New Roman" w:hAnsi="Times New Roman" w:cs="Times New Roman"/>
          <w:sz w:val="22"/>
          <w:szCs w:val="22"/>
        </w:rPr>
        <w:t xml:space="preserve">, reflecting a </w:t>
      </w:r>
      <w:r w:rsidRPr="007D737D">
        <w:rPr>
          <w:rFonts w:ascii="Times New Roman" w:hAnsi="Times New Roman" w:cs="Times New Roman"/>
          <w:b/>
          <w:bCs/>
          <w:sz w:val="22"/>
          <w:szCs w:val="22"/>
        </w:rPr>
        <w:t>9% growth</w:t>
      </w:r>
      <w:r w:rsidRPr="007D737D">
        <w:rPr>
          <w:rFonts w:ascii="Times New Roman" w:hAnsi="Times New Roman" w:cs="Times New Roman"/>
          <w:sz w:val="22"/>
          <w:szCs w:val="22"/>
        </w:rPr>
        <w:t xml:space="preserve"> in both nominal and constant currency terms.</w:t>
      </w:r>
    </w:p>
    <w:p w14:paraId="19B8F0F6"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GAAP Net Income</w:t>
      </w:r>
      <w:r w:rsidRPr="007D737D">
        <w:rPr>
          <w:rFonts w:ascii="Times New Roman" w:hAnsi="Times New Roman" w:cs="Times New Roman"/>
          <w:sz w:val="22"/>
          <w:szCs w:val="22"/>
        </w:rPr>
        <w:t xml:space="preserve">: Increased to </w:t>
      </w:r>
      <w:r w:rsidRPr="007D737D">
        <w:rPr>
          <w:rFonts w:ascii="Times New Roman" w:hAnsi="Times New Roman" w:cs="Times New Roman"/>
          <w:b/>
          <w:bCs/>
          <w:sz w:val="22"/>
          <w:szCs w:val="22"/>
        </w:rPr>
        <w:t>$4.9 billion</w:t>
      </w:r>
      <w:r w:rsidRPr="007D737D">
        <w:rPr>
          <w:rFonts w:ascii="Times New Roman" w:hAnsi="Times New Roman" w:cs="Times New Roman"/>
          <w:sz w:val="22"/>
          <w:szCs w:val="22"/>
        </w:rPr>
        <w:t xml:space="preserve">, representing a </w:t>
      </w:r>
      <w:r w:rsidRPr="007D737D">
        <w:rPr>
          <w:rFonts w:ascii="Times New Roman" w:hAnsi="Times New Roman" w:cs="Times New Roman"/>
          <w:b/>
          <w:bCs/>
          <w:sz w:val="22"/>
          <w:szCs w:val="22"/>
        </w:rPr>
        <w:t>17% year-over-year rise</w:t>
      </w:r>
      <w:r w:rsidRPr="007D737D">
        <w:rPr>
          <w:rFonts w:ascii="Times New Roman" w:hAnsi="Times New Roman" w:cs="Times New Roman"/>
          <w:sz w:val="22"/>
          <w:szCs w:val="22"/>
        </w:rPr>
        <w:t>.</w:t>
      </w:r>
    </w:p>
    <w:p w14:paraId="6700C0FE"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Earnings Per Share (EPS)</w:t>
      </w:r>
      <w:r w:rsidRPr="007D737D">
        <w:rPr>
          <w:rFonts w:ascii="Times New Roman" w:hAnsi="Times New Roman" w:cs="Times New Roman"/>
          <w:sz w:val="22"/>
          <w:szCs w:val="22"/>
        </w:rPr>
        <w:t xml:space="preserve">: GAAP EPS climbed to </w:t>
      </w:r>
      <w:r w:rsidRPr="007D737D">
        <w:rPr>
          <w:rFonts w:ascii="Times New Roman" w:hAnsi="Times New Roman" w:cs="Times New Roman"/>
          <w:b/>
          <w:bCs/>
          <w:sz w:val="22"/>
          <w:szCs w:val="22"/>
        </w:rPr>
        <w:t>$2.39</w:t>
      </w:r>
      <w:r w:rsidRPr="007D737D">
        <w:rPr>
          <w:rFonts w:ascii="Times New Roman" w:hAnsi="Times New Roman" w:cs="Times New Roman"/>
          <w:sz w:val="22"/>
          <w:szCs w:val="22"/>
        </w:rPr>
        <w:t xml:space="preserve">, a </w:t>
      </w:r>
      <w:r w:rsidRPr="007D737D">
        <w:rPr>
          <w:rFonts w:ascii="Times New Roman" w:hAnsi="Times New Roman" w:cs="Times New Roman"/>
          <w:b/>
          <w:bCs/>
          <w:sz w:val="22"/>
          <w:szCs w:val="22"/>
        </w:rPr>
        <w:t>20% increase</w:t>
      </w:r>
      <w:r w:rsidRPr="007D737D">
        <w:rPr>
          <w:rFonts w:ascii="Times New Roman" w:hAnsi="Times New Roman" w:cs="Times New Roman"/>
          <w:sz w:val="22"/>
          <w:szCs w:val="22"/>
        </w:rPr>
        <w:t xml:space="preserve">, while non-GAAP EPS grew to </w:t>
      </w:r>
      <w:r w:rsidRPr="007D737D">
        <w:rPr>
          <w:rFonts w:ascii="Times New Roman" w:hAnsi="Times New Roman" w:cs="Times New Roman"/>
          <w:b/>
          <w:bCs/>
          <w:sz w:val="22"/>
          <w:szCs w:val="22"/>
        </w:rPr>
        <w:t>$2.41</w:t>
      </w:r>
      <w:r w:rsidRPr="007D737D">
        <w:rPr>
          <w:rFonts w:ascii="Times New Roman" w:hAnsi="Times New Roman" w:cs="Times New Roman"/>
          <w:sz w:val="22"/>
          <w:szCs w:val="22"/>
        </w:rPr>
        <w:t xml:space="preserve">, up </w:t>
      </w:r>
      <w:r w:rsidRPr="007D737D">
        <w:rPr>
          <w:rFonts w:ascii="Times New Roman" w:hAnsi="Times New Roman" w:cs="Times New Roman"/>
          <w:b/>
          <w:bCs/>
          <w:sz w:val="22"/>
          <w:szCs w:val="22"/>
        </w:rPr>
        <w:t>11%</w:t>
      </w:r>
      <w:r w:rsidRPr="007D737D">
        <w:rPr>
          <w:rFonts w:ascii="Times New Roman" w:hAnsi="Times New Roman" w:cs="Times New Roman"/>
          <w:sz w:val="22"/>
          <w:szCs w:val="22"/>
        </w:rPr>
        <w:t>.</w:t>
      </w:r>
    </w:p>
    <w:p w14:paraId="22F8AFE2"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Payments Volume</w:t>
      </w:r>
      <w:r w:rsidRPr="007D737D">
        <w:rPr>
          <w:rFonts w:ascii="Times New Roman" w:hAnsi="Times New Roman" w:cs="Times New Roman"/>
          <w:sz w:val="22"/>
          <w:szCs w:val="22"/>
        </w:rPr>
        <w:t xml:space="preserve">: Expanded by </w:t>
      </w:r>
      <w:r w:rsidRPr="007D737D">
        <w:rPr>
          <w:rFonts w:ascii="Times New Roman" w:hAnsi="Times New Roman" w:cs="Times New Roman"/>
          <w:b/>
          <w:bCs/>
          <w:sz w:val="22"/>
          <w:szCs w:val="22"/>
        </w:rPr>
        <w:t>8%</w:t>
      </w:r>
      <w:r w:rsidRPr="007D737D">
        <w:rPr>
          <w:rFonts w:ascii="Times New Roman" w:hAnsi="Times New Roman" w:cs="Times New Roman"/>
          <w:sz w:val="22"/>
          <w:szCs w:val="22"/>
        </w:rPr>
        <w:t xml:space="preserve">, with cross-border volume (excluding intra-Europe) growing by </w:t>
      </w:r>
      <w:r w:rsidRPr="007D737D">
        <w:rPr>
          <w:rFonts w:ascii="Times New Roman" w:hAnsi="Times New Roman" w:cs="Times New Roman"/>
          <w:b/>
          <w:bCs/>
          <w:sz w:val="22"/>
          <w:szCs w:val="22"/>
        </w:rPr>
        <w:t>16%</w:t>
      </w:r>
      <w:r w:rsidRPr="007D737D">
        <w:rPr>
          <w:rFonts w:ascii="Times New Roman" w:hAnsi="Times New Roman" w:cs="Times New Roman"/>
          <w:sz w:val="22"/>
          <w:szCs w:val="22"/>
        </w:rPr>
        <w:t>.</w:t>
      </w:r>
    </w:p>
    <w:p w14:paraId="39804240"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Processed Transactions</w:t>
      </w:r>
      <w:r w:rsidRPr="007D737D">
        <w:rPr>
          <w:rFonts w:ascii="Times New Roman" w:hAnsi="Times New Roman" w:cs="Times New Roman"/>
          <w:sz w:val="22"/>
          <w:szCs w:val="22"/>
        </w:rPr>
        <w:t xml:space="preserve">: Saw a </w:t>
      </w:r>
      <w:r w:rsidRPr="007D737D">
        <w:rPr>
          <w:rFonts w:ascii="Times New Roman" w:hAnsi="Times New Roman" w:cs="Times New Roman"/>
          <w:b/>
          <w:bCs/>
          <w:sz w:val="22"/>
          <w:szCs w:val="22"/>
        </w:rPr>
        <w:t>9% increase</w:t>
      </w:r>
      <w:r w:rsidRPr="007D737D">
        <w:rPr>
          <w:rFonts w:ascii="Times New Roman" w:hAnsi="Times New Roman" w:cs="Times New Roman"/>
          <w:sz w:val="22"/>
          <w:szCs w:val="22"/>
        </w:rPr>
        <w:t xml:space="preserve">, reaching </w:t>
      </w:r>
      <w:r w:rsidRPr="007D737D">
        <w:rPr>
          <w:rFonts w:ascii="Times New Roman" w:hAnsi="Times New Roman" w:cs="Times New Roman"/>
          <w:b/>
          <w:bCs/>
          <w:sz w:val="22"/>
          <w:szCs w:val="22"/>
        </w:rPr>
        <w:t>57.5 billion transactions</w:t>
      </w:r>
      <w:r w:rsidRPr="007D737D">
        <w:rPr>
          <w:rFonts w:ascii="Times New Roman" w:hAnsi="Times New Roman" w:cs="Times New Roman"/>
          <w:sz w:val="22"/>
          <w:szCs w:val="22"/>
        </w:rPr>
        <w:t>.</w:t>
      </w:r>
    </w:p>
    <w:p w14:paraId="087A603A" w14:textId="77777777" w:rsidR="00A67F55" w:rsidRPr="007D737D" w:rsidRDefault="00A67F55" w:rsidP="007D737D">
      <w:pPr>
        <w:spacing w:line="360" w:lineRule="auto"/>
        <w:rPr>
          <w:rFonts w:ascii="Times New Roman" w:hAnsi="Times New Roman" w:cs="Times New Roman"/>
          <w:sz w:val="22"/>
          <w:szCs w:val="22"/>
        </w:rPr>
      </w:pPr>
      <w:r w:rsidRPr="007D737D">
        <w:rPr>
          <w:rFonts w:ascii="Times New Roman" w:hAnsi="Times New Roman" w:cs="Times New Roman"/>
          <w:b/>
          <w:bCs/>
          <w:sz w:val="22"/>
          <w:szCs w:val="22"/>
        </w:rPr>
        <w:t>Shareholder Returns</w:t>
      </w:r>
      <w:r w:rsidRPr="007D737D">
        <w:rPr>
          <w:rFonts w:ascii="Times New Roman" w:hAnsi="Times New Roman" w:cs="Times New Roman"/>
          <w:sz w:val="22"/>
          <w:szCs w:val="22"/>
        </w:rPr>
        <w:t xml:space="preserve">: Visa returned </w:t>
      </w:r>
      <w:r w:rsidRPr="007D737D">
        <w:rPr>
          <w:rFonts w:ascii="Times New Roman" w:hAnsi="Times New Roman" w:cs="Times New Roman"/>
          <w:b/>
          <w:bCs/>
          <w:sz w:val="22"/>
          <w:szCs w:val="22"/>
        </w:rPr>
        <w:t>$4.4 billion</w:t>
      </w:r>
      <w:r w:rsidRPr="007D737D">
        <w:rPr>
          <w:rFonts w:ascii="Times New Roman" w:hAnsi="Times New Roman" w:cs="Times New Roman"/>
          <w:sz w:val="22"/>
          <w:szCs w:val="22"/>
        </w:rPr>
        <w:t xml:space="preserve"> to shareholders through share buybacks and dividends.</w:t>
      </w:r>
    </w:p>
    <w:p w14:paraId="09A1BC64" w14:textId="77777777" w:rsidR="00A67F55" w:rsidRPr="005B2EF3" w:rsidRDefault="00A67F55" w:rsidP="007D737D">
      <w:pPr>
        <w:spacing w:line="360" w:lineRule="auto"/>
        <w:rPr>
          <w:rFonts w:ascii="Times New Roman" w:hAnsi="Times New Roman" w:cs="Times New Roman"/>
          <w:sz w:val="22"/>
          <w:szCs w:val="22"/>
        </w:rPr>
      </w:pPr>
    </w:p>
    <w:p w14:paraId="6A7E2106" w14:textId="360D5F4A" w:rsidR="00CD4BD9" w:rsidRPr="005B2EF3" w:rsidRDefault="00661E03" w:rsidP="007D737D">
      <w:pPr>
        <w:pStyle w:val="Subtitle"/>
        <w:spacing w:line="360" w:lineRule="auto"/>
        <w:rPr>
          <w:rFonts w:ascii="Times New Roman" w:hAnsi="Times New Roman" w:cs="Times New Roman"/>
          <w:b/>
          <w:bCs/>
          <w:color w:val="auto"/>
          <w:sz w:val="22"/>
          <w:szCs w:val="22"/>
        </w:rPr>
      </w:pPr>
      <w:r w:rsidRPr="005B2EF3">
        <w:rPr>
          <w:rFonts w:ascii="Times New Roman" w:hAnsi="Times New Roman" w:cs="Times New Roman"/>
          <w:b/>
          <w:bCs/>
          <w:color w:val="auto"/>
          <w:sz w:val="22"/>
          <w:szCs w:val="22"/>
        </w:rPr>
        <w:t>2. Close Peers</w:t>
      </w:r>
    </w:p>
    <w:p w14:paraId="5624A124" w14:textId="5F4A109F" w:rsidR="00CD4BD9" w:rsidRPr="007D737D" w:rsidRDefault="00405B92"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xml:space="preserve">Visa (2023), </w:t>
      </w:r>
      <w:r w:rsidR="00CD4BD9" w:rsidRPr="007D737D">
        <w:rPr>
          <w:rFonts w:ascii="Times New Roman" w:hAnsi="Times New Roman" w:cs="Times New Roman"/>
          <w:sz w:val="22"/>
          <w:szCs w:val="22"/>
        </w:rPr>
        <w:t xml:space="preserve">Seeking Alpha (2024) </w:t>
      </w:r>
      <w:r w:rsidR="00555D6D" w:rsidRPr="007D737D">
        <w:rPr>
          <w:rFonts w:ascii="Times New Roman" w:hAnsi="Times New Roman" w:cs="Times New Roman"/>
          <w:sz w:val="22"/>
          <w:szCs w:val="22"/>
        </w:rPr>
        <w:t>and</w:t>
      </w:r>
      <w:r w:rsidR="00555D6D" w:rsidRPr="007D737D">
        <w:rPr>
          <w:rFonts w:ascii="Times New Roman" w:hAnsi="Times New Roman" w:cs="Times New Roman"/>
          <w:b/>
          <w:bCs/>
          <w:sz w:val="22"/>
          <w:szCs w:val="22"/>
        </w:rPr>
        <w:t xml:space="preserve"> </w:t>
      </w:r>
      <w:proofErr w:type="spellStart"/>
      <w:r w:rsidR="00555D6D" w:rsidRPr="007D737D">
        <w:rPr>
          <w:rFonts w:ascii="Times New Roman" w:hAnsi="Times New Roman" w:cs="Times New Roman"/>
          <w:sz w:val="22"/>
          <w:szCs w:val="22"/>
        </w:rPr>
        <w:t>Trendlyne</w:t>
      </w:r>
      <w:proofErr w:type="spellEnd"/>
      <w:r w:rsidR="00555D6D" w:rsidRPr="007D737D">
        <w:rPr>
          <w:rFonts w:ascii="Times New Roman" w:hAnsi="Times New Roman" w:cs="Times New Roman"/>
          <w:sz w:val="22"/>
          <w:szCs w:val="22"/>
        </w:rPr>
        <w:t xml:space="preserve"> (2024) </w:t>
      </w:r>
      <w:r w:rsidR="00CD4BD9" w:rsidRPr="007D737D">
        <w:rPr>
          <w:rFonts w:ascii="Times New Roman" w:hAnsi="Times New Roman" w:cs="Times New Roman"/>
          <w:sz w:val="22"/>
          <w:szCs w:val="22"/>
        </w:rPr>
        <w:t xml:space="preserve">list Visa Inc. peers as </w:t>
      </w:r>
    </w:p>
    <w:p w14:paraId="7C312F99" w14:textId="77777777" w:rsidR="00661E03" w:rsidRPr="007D737D" w:rsidRDefault="00661E03" w:rsidP="007D737D">
      <w:pPr>
        <w:pStyle w:val="ListParagraph"/>
        <w:numPr>
          <w:ilvl w:val="0"/>
          <w:numId w:val="10"/>
        </w:numPr>
        <w:spacing w:line="360" w:lineRule="auto"/>
        <w:rPr>
          <w:rFonts w:ascii="Times New Roman" w:hAnsi="Times New Roman" w:cs="Times New Roman"/>
          <w:sz w:val="22"/>
          <w:szCs w:val="22"/>
        </w:rPr>
      </w:pPr>
      <w:r w:rsidRPr="007D737D">
        <w:rPr>
          <w:rFonts w:ascii="Times New Roman" w:hAnsi="Times New Roman" w:cs="Times New Roman"/>
          <w:sz w:val="22"/>
          <w:szCs w:val="22"/>
        </w:rPr>
        <w:t>Mastercard Incorporated</w:t>
      </w:r>
    </w:p>
    <w:p w14:paraId="05531C16" w14:textId="59790386" w:rsidR="00CD4BD9" w:rsidRPr="007D737D" w:rsidRDefault="00661E03" w:rsidP="007D737D">
      <w:pPr>
        <w:pStyle w:val="ListParagraph"/>
        <w:numPr>
          <w:ilvl w:val="0"/>
          <w:numId w:val="10"/>
        </w:numPr>
        <w:spacing w:line="360" w:lineRule="auto"/>
        <w:rPr>
          <w:rFonts w:ascii="Times New Roman" w:hAnsi="Times New Roman" w:cs="Times New Roman"/>
          <w:sz w:val="22"/>
          <w:szCs w:val="22"/>
        </w:rPr>
      </w:pPr>
      <w:r w:rsidRPr="007D737D">
        <w:rPr>
          <w:rFonts w:ascii="Times New Roman" w:hAnsi="Times New Roman" w:cs="Times New Roman"/>
          <w:sz w:val="22"/>
          <w:szCs w:val="22"/>
        </w:rPr>
        <w:t>PayPal Holdings, Inc.</w:t>
      </w:r>
    </w:p>
    <w:p w14:paraId="2FF89638" w14:textId="77777777" w:rsidR="00530DEA" w:rsidRPr="007D737D" w:rsidRDefault="00530DEA" w:rsidP="007D737D">
      <w:pPr>
        <w:pStyle w:val="Subtitle"/>
        <w:spacing w:line="360" w:lineRule="auto"/>
        <w:rPr>
          <w:rFonts w:ascii="Times New Roman" w:hAnsi="Times New Roman" w:cs="Times New Roman"/>
          <w:color w:val="auto"/>
          <w:sz w:val="22"/>
          <w:szCs w:val="22"/>
        </w:rPr>
      </w:pPr>
    </w:p>
    <w:p w14:paraId="2CF3D095" w14:textId="35E68C4F" w:rsidR="00661E03" w:rsidRPr="005B2EF3" w:rsidRDefault="00661E03" w:rsidP="007D737D">
      <w:pPr>
        <w:pStyle w:val="Subtitle"/>
        <w:spacing w:line="360" w:lineRule="auto"/>
        <w:rPr>
          <w:rFonts w:ascii="Times New Roman" w:hAnsi="Times New Roman" w:cs="Times New Roman"/>
          <w:b/>
          <w:bCs/>
          <w:color w:val="auto"/>
          <w:sz w:val="22"/>
          <w:szCs w:val="22"/>
        </w:rPr>
      </w:pPr>
      <w:r w:rsidRPr="005B2EF3">
        <w:rPr>
          <w:rFonts w:ascii="Times New Roman" w:hAnsi="Times New Roman" w:cs="Times New Roman"/>
          <w:b/>
          <w:bCs/>
          <w:color w:val="auto"/>
          <w:sz w:val="22"/>
          <w:szCs w:val="22"/>
        </w:rPr>
        <w:t>3. Substitutes and New Markets</w:t>
      </w:r>
    </w:p>
    <w:p w14:paraId="2095AE76" w14:textId="77777777" w:rsidR="00661E03" w:rsidRPr="007D737D" w:rsidRDefault="00661E03"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Substitutes:</w:t>
      </w:r>
    </w:p>
    <w:p w14:paraId="79817E78" w14:textId="1F0E5B71" w:rsidR="00B04234" w:rsidRPr="00F75565" w:rsidRDefault="00E430C6"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Substitutes for Visa Inc. are alternative payment methods and emerging technologies that could replace traditional card-based transactions. They include.</w:t>
      </w:r>
    </w:p>
    <w:p w14:paraId="11BC7CB9" w14:textId="01A4A0DB" w:rsidR="00B04234" w:rsidRPr="006D6C8C" w:rsidRDefault="00E430C6" w:rsidP="007D737D">
      <w:pPr>
        <w:spacing w:line="360" w:lineRule="auto"/>
        <w:rPr>
          <w:rFonts w:ascii="Times New Roman" w:hAnsi="Times New Roman" w:cs="Times New Roman"/>
          <w:sz w:val="22"/>
          <w:szCs w:val="22"/>
        </w:rPr>
      </w:pPr>
      <w:r w:rsidRPr="006D6C8C">
        <w:rPr>
          <w:rFonts w:ascii="Times New Roman" w:hAnsi="Times New Roman" w:cs="Times New Roman"/>
          <w:b/>
          <w:bCs/>
          <w:sz w:val="22"/>
          <w:szCs w:val="22"/>
        </w:rPr>
        <w:lastRenderedPageBreak/>
        <w:t>Digital Wallets and Mobile Payments</w:t>
      </w:r>
      <w:r w:rsidR="00547552" w:rsidRPr="006D6C8C">
        <w:rPr>
          <w:rFonts w:ascii="Times New Roman" w:hAnsi="Times New Roman" w:cs="Times New Roman"/>
          <w:b/>
          <w:bCs/>
          <w:sz w:val="22"/>
          <w:szCs w:val="22"/>
        </w:rPr>
        <w:t xml:space="preserve"> </w:t>
      </w:r>
      <w:r w:rsidRPr="006D6C8C">
        <w:rPr>
          <w:rFonts w:ascii="Times New Roman" w:hAnsi="Times New Roman" w:cs="Times New Roman"/>
          <w:b/>
          <w:bCs/>
          <w:sz w:val="22"/>
          <w:szCs w:val="22"/>
        </w:rPr>
        <w:t>Apps</w:t>
      </w:r>
      <w:r w:rsidRPr="007D737D">
        <w:rPr>
          <w:rFonts w:ascii="Times New Roman" w:hAnsi="Times New Roman" w:cs="Times New Roman"/>
          <w:sz w:val="22"/>
          <w:szCs w:val="22"/>
        </w:rPr>
        <w:t xml:space="preserve"> like Apple Pay, Google Pay, and Samsung Pay let users pay via mobile devices without physical cards. They store multiple payment methods for easy use</w:t>
      </w:r>
      <w:r w:rsidR="00555D6D" w:rsidRPr="007D737D">
        <w:rPr>
          <w:rFonts w:ascii="Times New Roman" w:hAnsi="Times New Roman" w:cs="Times New Roman"/>
          <w:sz w:val="22"/>
          <w:szCs w:val="22"/>
        </w:rPr>
        <w:t xml:space="preserve"> (Financial Conduct Authority, 2022; </w:t>
      </w:r>
      <w:hyperlink r:id="rId6" w:tgtFrame="_self" w:history="1">
        <w:r w:rsidR="00555D6D" w:rsidRPr="004D5717">
          <w:rPr>
            <w:rStyle w:val="Hyperlink"/>
            <w:rFonts w:ascii="Times New Roman" w:hAnsi="Times New Roman" w:cs="Times New Roman"/>
            <w:color w:val="auto"/>
            <w:sz w:val="22"/>
            <w:szCs w:val="22"/>
            <w:u w:val="none"/>
          </w:rPr>
          <w:t>Ferreira</w:t>
        </w:r>
      </w:hyperlink>
      <w:r w:rsidR="00555D6D" w:rsidRPr="004D5717">
        <w:rPr>
          <w:rFonts w:ascii="Times New Roman" w:hAnsi="Times New Roman" w:cs="Times New Roman"/>
          <w:sz w:val="22"/>
          <w:szCs w:val="22"/>
        </w:rPr>
        <w:t>,</w:t>
      </w:r>
      <w:r w:rsidR="00555D6D" w:rsidRPr="004D5717">
        <w:rPr>
          <w:rFonts w:ascii="Times New Roman" w:hAnsi="Times New Roman" w:cs="Times New Roman"/>
          <w:b/>
          <w:bCs/>
          <w:sz w:val="22"/>
          <w:szCs w:val="22"/>
        </w:rPr>
        <w:t xml:space="preserve"> </w:t>
      </w:r>
      <w:r w:rsidR="00555D6D" w:rsidRPr="004D5717">
        <w:rPr>
          <w:rFonts w:ascii="Times New Roman" w:hAnsi="Times New Roman" w:cs="Times New Roman"/>
          <w:sz w:val="22"/>
          <w:szCs w:val="22"/>
        </w:rPr>
        <w:t>2023).</w:t>
      </w:r>
    </w:p>
    <w:p w14:paraId="0FE0B4D6" w14:textId="2C8EFD54" w:rsidR="00B04234" w:rsidRPr="006D6C8C" w:rsidRDefault="00E430C6" w:rsidP="007D737D">
      <w:pPr>
        <w:spacing w:line="360" w:lineRule="auto"/>
        <w:rPr>
          <w:rFonts w:ascii="Times New Roman" w:hAnsi="Times New Roman" w:cs="Times New Roman"/>
          <w:sz w:val="22"/>
          <w:szCs w:val="22"/>
        </w:rPr>
      </w:pPr>
      <w:r w:rsidRPr="006D6C8C">
        <w:rPr>
          <w:rFonts w:ascii="Times New Roman" w:hAnsi="Times New Roman" w:cs="Times New Roman"/>
          <w:b/>
          <w:bCs/>
          <w:sz w:val="22"/>
          <w:szCs w:val="22"/>
        </w:rPr>
        <w:t>Peer-to-Peer (P2P) Payment Systems</w:t>
      </w:r>
      <w:r w:rsidR="009925A7" w:rsidRPr="007D737D">
        <w:rPr>
          <w:rFonts w:ascii="Times New Roman" w:hAnsi="Times New Roman" w:cs="Times New Roman"/>
          <w:sz w:val="22"/>
          <w:szCs w:val="22"/>
        </w:rPr>
        <w:t xml:space="preserve"> </w:t>
      </w:r>
      <w:r w:rsidR="00B04234" w:rsidRPr="007D737D">
        <w:rPr>
          <w:rFonts w:ascii="Times New Roman" w:hAnsi="Times New Roman" w:cs="Times New Roman"/>
          <w:sz w:val="22"/>
          <w:szCs w:val="22"/>
        </w:rPr>
        <w:t xml:space="preserve">like </w:t>
      </w:r>
      <w:r w:rsidRPr="007D737D">
        <w:rPr>
          <w:rFonts w:ascii="Times New Roman" w:hAnsi="Times New Roman" w:cs="Times New Roman"/>
          <w:sz w:val="22"/>
          <w:szCs w:val="22"/>
        </w:rPr>
        <w:t>Venmo, PayPal, Zelle, and Cash App enable direct payments between individuals, bypassing traditional card networks. They are common for everyday transfers</w:t>
      </w:r>
      <w:r w:rsidR="00555D6D" w:rsidRPr="007D737D">
        <w:rPr>
          <w:rFonts w:ascii="Times New Roman" w:hAnsi="Times New Roman" w:cs="Times New Roman"/>
          <w:sz w:val="22"/>
          <w:szCs w:val="22"/>
        </w:rPr>
        <w:t xml:space="preserve"> (Sheng, 2022</w:t>
      </w:r>
      <w:r w:rsidR="00EF3724" w:rsidRPr="007D737D">
        <w:rPr>
          <w:rFonts w:ascii="Times New Roman" w:hAnsi="Times New Roman" w:cs="Times New Roman"/>
          <w:sz w:val="22"/>
          <w:szCs w:val="22"/>
        </w:rPr>
        <w:t xml:space="preserve">; </w:t>
      </w:r>
      <w:proofErr w:type="spellStart"/>
      <w:r w:rsidR="00EF3724" w:rsidRPr="007D737D">
        <w:rPr>
          <w:rFonts w:ascii="Times New Roman" w:hAnsi="Times New Roman" w:cs="Times New Roman"/>
          <w:sz w:val="22"/>
          <w:szCs w:val="22"/>
        </w:rPr>
        <w:t>Marquit</w:t>
      </w:r>
      <w:proofErr w:type="spellEnd"/>
      <w:r w:rsidR="00EF3724" w:rsidRPr="007D737D">
        <w:rPr>
          <w:rFonts w:ascii="Times New Roman" w:hAnsi="Times New Roman" w:cs="Times New Roman"/>
          <w:sz w:val="22"/>
          <w:szCs w:val="22"/>
        </w:rPr>
        <w:t>, 2024</w:t>
      </w:r>
      <w:r w:rsidR="00541F50" w:rsidRPr="007D737D">
        <w:rPr>
          <w:rFonts w:ascii="Times New Roman" w:hAnsi="Times New Roman" w:cs="Times New Roman"/>
          <w:sz w:val="22"/>
          <w:szCs w:val="22"/>
        </w:rPr>
        <w:t>;</w:t>
      </w:r>
      <w:r w:rsidR="00EF3724" w:rsidRPr="007D737D">
        <w:rPr>
          <w:rFonts w:ascii="Times New Roman" w:hAnsi="Times New Roman" w:cs="Times New Roman"/>
          <w:b/>
          <w:bCs/>
          <w:sz w:val="22"/>
          <w:szCs w:val="22"/>
        </w:rPr>
        <w:t xml:space="preserve"> </w:t>
      </w:r>
      <w:r w:rsidR="00EF3724" w:rsidRPr="007D737D">
        <w:rPr>
          <w:rFonts w:ascii="Times New Roman" w:hAnsi="Times New Roman" w:cs="Times New Roman"/>
          <w:sz w:val="22"/>
          <w:szCs w:val="22"/>
        </w:rPr>
        <w:t>PayPal Editorial Staff, 2024</w:t>
      </w:r>
      <w:r w:rsidR="00555D6D" w:rsidRPr="007D737D">
        <w:rPr>
          <w:rFonts w:ascii="Times New Roman" w:hAnsi="Times New Roman" w:cs="Times New Roman"/>
          <w:sz w:val="22"/>
          <w:szCs w:val="22"/>
        </w:rPr>
        <w:t>)</w:t>
      </w:r>
      <w:r w:rsidRPr="007D737D">
        <w:rPr>
          <w:rFonts w:ascii="Times New Roman" w:hAnsi="Times New Roman" w:cs="Times New Roman"/>
          <w:sz w:val="22"/>
          <w:szCs w:val="22"/>
        </w:rPr>
        <w:t>.</w:t>
      </w:r>
    </w:p>
    <w:p w14:paraId="442113EF" w14:textId="07096E7F" w:rsidR="00E430C6" w:rsidRPr="007D737D" w:rsidRDefault="00E430C6" w:rsidP="007D737D">
      <w:pPr>
        <w:spacing w:line="360" w:lineRule="auto"/>
        <w:rPr>
          <w:rFonts w:ascii="Times New Roman" w:hAnsi="Times New Roman" w:cs="Times New Roman"/>
          <w:sz w:val="22"/>
          <w:szCs w:val="22"/>
        </w:rPr>
      </w:pPr>
      <w:r w:rsidRPr="006D6C8C">
        <w:rPr>
          <w:rFonts w:ascii="Times New Roman" w:hAnsi="Times New Roman" w:cs="Times New Roman"/>
          <w:b/>
          <w:bCs/>
          <w:sz w:val="22"/>
          <w:szCs w:val="22"/>
        </w:rPr>
        <w:t>Cryptocurrencies and Blockchain-based Payments</w:t>
      </w:r>
      <w:r w:rsidRPr="007D737D">
        <w:rPr>
          <w:rFonts w:ascii="Times New Roman" w:hAnsi="Times New Roman" w:cs="Times New Roman"/>
          <w:sz w:val="22"/>
          <w:szCs w:val="22"/>
        </w:rPr>
        <w:br/>
        <w:t>Bitcoin, Ethereum, and other cryptocurrencies offer decentralized payment options without intermediaries like Visa. Blockchain supports secure, fast, and low-cost transactions</w:t>
      </w:r>
      <w:r w:rsidR="00EF3724" w:rsidRPr="007D737D">
        <w:rPr>
          <w:rFonts w:ascii="Times New Roman" w:hAnsi="Times New Roman" w:cs="Times New Roman"/>
          <w:sz w:val="22"/>
          <w:szCs w:val="22"/>
        </w:rPr>
        <w:t xml:space="preserve"> (</w:t>
      </w:r>
      <w:proofErr w:type="spellStart"/>
      <w:r w:rsidR="00EF3724" w:rsidRPr="007D737D">
        <w:rPr>
          <w:rFonts w:ascii="Times New Roman" w:hAnsi="Times New Roman" w:cs="Times New Roman"/>
          <w:sz w:val="22"/>
          <w:szCs w:val="22"/>
        </w:rPr>
        <w:t>Alamsyah</w:t>
      </w:r>
      <w:proofErr w:type="spellEnd"/>
      <w:r w:rsidR="00EF3724" w:rsidRPr="007D737D">
        <w:rPr>
          <w:rFonts w:ascii="Times New Roman" w:hAnsi="Times New Roman" w:cs="Times New Roman"/>
          <w:sz w:val="22"/>
          <w:szCs w:val="22"/>
        </w:rPr>
        <w:t xml:space="preserve"> &amp; </w:t>
      </w:r>
      <w:proofErr w:type="spellStart"/>
      <w:r w:rsidR="00EF3724" w:rsidRPr="007D737D">
        <w:rPr>
          <w:rFonts w:ascii="Times New Roman" w:hAnsi="Times New Roman" w:cs="Times New Roman"/>
          <w:sz w:val="22"/>
          <w:szCs w:val="22"/>
        </w:rPr>
        <w:t>Syahrir</w:t>
      </w:r>
      <w:proofErr w:type="spellEnd"/>
      <w:r w:rsidR="00EF3724" w:rsidRPr="007D737D">
        <w:rPr>
          <w:rFonts w:ascii="Times New Roman" w:hAnsi="Times New Roman" w:cs="Times New Roman"/>
          <w:sz w:val="22"/>
          <w:szCs w:val="22"/>
        </w:rPr>
        <w:t>, 2023; Tripathi, Abdul Ahad &amp; Casalino, 2023).</w:t>
      </w:r>
    </w:p>
    <w:p w14:paraId="6EA62EE8" w14:textId="77777777" w:rsidR="00BB1A43" w:rsidRPr="007D737D" w:rsidRDefault="00BB1A43" w:rsidP="007D737D">
      <w:pPr>
        <w:spacing w:line="360" w:lineRule="auto"/>
        <w:rPr>
          <w:rFonts w:ascii="Times New Roman" w:hAnsi="Times New Roman" w:cs="Times New Roman"/>
          <w:b/>
          <w:bCs/>
          <w:sz w:val="22"/>
          <w:szCs w:val="22"/>
        </w:rPr>
      </w:pPr>
    </w:p>
    <w:p w14:paraId="0B5ED9F8" w14:textId="6B976D7A" w:rsidR="00661E03" w:rsidRPr="007D737D" w:rsidRDefault="00661E03" w:rsidP="007D737D">
      <w:pPr>
        <w:pStyle w:val="Subtitle"/>
        <w:spacing w:line="360" w:lineRule="auto"/>
        <w:rPr>
          <w:rFonts w:ascii="Times New Roman" w:hAnsi="Times New Roman" w:cs="Times New Roman"/>
          <w:b/>
          <w:bCs/>
          <w:color w:val="auto"/>
          <w:sz w:val="22"/>
          <w:szCs w:val="22"/>
        </w:rPr>
      </w:pPr>
      <w:r w:rsidRPr="007D737D">
        <w:rPr>
          <w:rFonts w:ascii="Times New Roman" w:hAnsi="Times New Roman" w:cs="Times New Roman"/>
          <w:b/>
          <w:bCs/>
          <w:color w:val="auto"/>
          <w:sz w:val="22"/>
          <w:szCs w:val="22"/>
        </w:rPr>
        <w:t>New Market</w:t>
      </w:r>
      <w:r w:rsidR="00616013" w:rsidRPr="007D737D">
        <w:rPr>
          <w:rFonts w:ascii="Times New Roman" w:hAnsi="Times New Roman" w:cs="Times New Roman"/>
          <w:b/>
          <w:bCs/>
          <w:color w:val="auto"/>
          <w:sz w:val="22"/>
          <w:szCs w:val="22"/>
        </w:rPr>
        <w:t>s</w:t>
      </w:r>
    </w:p>
    <w:p w14:paraId="0071EB84" w14:textId="20FEFB6C" w:rsidR="00B76281" w:rsidRPr="006D6C8C" w:rsidRDefault="00E430C6" w:rsidP="007D737D">
      <w:pPr>
        <w:spacing w:line="360" w:lineRule="auto"/>
        <w:rPr>
          <w:rFonts w:ascii="Times New Roman" w:hAnsi="Times New Roman" w:cs="Times New Roman"/>
          <w:b/>
          <w:bCs/>
          <w:sz w:val="22"/>
          <w:szCs w:val="22"/>
        </w:rPr>
      </w:pPr>
      <w:r w:rsidRPr="006D6C8C">
        <w:rPr>
          <w:rFonts w:ascii="Times New Roman" w:hAnsi="Times New Roman" w:cs="Times New Roman"/>
          <w:b/>
          <w:bCs/>
          <w:sz w:val="22"/>
          <w:szCs w:val="22"/>
        </w:rPr>
        <w:t>Cryptocurrency and Blockchain Integration</w:t>
      </w:r>
      <w:r w:rsidR="005E0562" w:rsidRPr="006D6C8C">
        <w:rPr>
          <w:rFonts w:ascii="Times New Roman" w:hAnsi="Times New Roman" w:cs="Times New Roman"/>
          <w:b/>
          <w:bCs/>
          <w:sz w:val="22"/>
          <w:szCs w:val="22"/>
        </w:rPr>
        <w:t>:</w:t>
      </w:r>
      <w:r w:rsidRPr="007D737D">
        <w:rPr>
          <w:rFonts w:ascii="Times New Roman" w:hAnsi="Times New Roman" w:cs="Times New Roman"/>
          <w:b/>
          <w:bCs/>
          <w:sz w:val="22"/>
          <w:szCs w:val="22"/>
        </w:rPr>
        <w:br/>
      </w:r>
      <w:r w:rsidRPr="007D737D">
        <w:rPr>
          <w:rFonts w:ascii="Times New Roman" w:hAnsi="Times New Roman" w:cs="Times New Roman"/>
          <w:sz w:val="22"/>
          <w:szCs w:val="22"/>
        </w:rPr>
        <w:t>Visa is working to incorporate cryptocurrency payments, allowing purchases and settlements in digital assets. Partnerships with Coinbase and efforts in CBDCs support this goal</w:t>
      </w:r>
      <w:r w:rsidR="00541F50" w:rsidRPr="007D737D">
        <w:rPr>
          <w:rFonts w:ascii="Times New Roman" w:hAnsi="Times New Roman" w:cs="Times New Roman"/>
          <w:sz w:val="22"/>
          <w:szCs w:val="22"/>
        </w:rPr>
        <w:t xml:space="preserve"> (</w:t>
      </w:r>
      <w:proofErr w:type="spellStart"/>
      <w:r w:rsidR="00541F50" w:rsidRPr="007D737D">
        <w:rPr>
          <w:rFonts w:ascii="Times New Roman" w:hAnsi="Times New Roman" w:cs="Times New Roman"/>
          <w:sz w:val="22"/>
          <w:szCs w:val="22"/>
        </w:rPr>
        <w:t>Alamsyah</w:t>
      </w:r>
      <w:proofErr w:type="spellEnd"/>
      <w:r w:rsidR="00541F50" w:rsidRPr="007D737D">
        <w:rPr>
          <w:rFonts w:ascii="Times New Roman" w:hAnsi="Times New Roman" w:cs="Times New Roman"/>
          <w:sz w:val="22"/>
          <w:szCs w:val="22"/>
        </w:rPr>
        <w:t xml:space="preserve"> &amp; </w:t>
      </w:r>
      <w:proofErr w:type="spellStart"/>
      <w:r w:rsidR="00541F50" w:rsidRPr="007D737D">
        <w:rPr>
          <w:rFonts w:ascii="Times New Roman" w:hAnsi="Times New Roman" w:cs="Times New Roman"/>
          <w:sz w:val="22"/>
          <w:szCs w:val="22"/>
        </w:rPr>
        <w:t>Syahrir</w:t>
      </w:r>
      <w:proofErr w:type="spellEnd"/>
      <w:r w:rsidR="00541F50" w:rsidRPr="007D737D">
        <w:rPr>
          <w:rFonts w:ascii="Times New Roman" w:hAnsi="Times New Roman" w:cs="Times New Roman"/>
          <w:sz w:val="22"/>
          <w:szCs w:val="22"/>
        </w:rPr>
        <w:t>, 2023; Tripathi, Abdul Ahad &amp; Casalino, 2023).</w:t>
      </w:r>
    </w:p>
    <w:p w14:paraId="268347D2" w14:textId="07E6888E" w:rsidR="00E430C6" w:rsidRPr="007D737D" w:rsidRDefault="00E430C6" w:rsidP="007D737D">
      <w:pPr>
        <w:spacing w:line="360" w:lineRule="auto"/>
        <w:rPr>
          <w:rFonts w:ascii="Times New Roman" w:hAnsi="Times New Roman" w:cs="Times New Roman"/>
          <w:sz w:val="22"/>
          <w:szCs w:val="22"/>
        </w:rPr>
      </w:pPr>
      <w:r w:rsidRPr="006D6C8C">
        <w:rPr>
          <w:rFonts w:ascii="Times New Roman" w:hAnsi="Times New Roman" w:cs="Times New Roman"/>
          <w:b/>
          <w:bCs/>
          <w:sz w:val="22"/>
          <w:szCs w:val="22"/>
        </w:rPr>
        <w:t>Open</w:t>
      </w:r>
      <w:r w:rsidR="00B76281" w:rsidRPr="006D6C8C">
        <w:rPr>
          <w:rFonts w:ascii="Times New Roman" w:hAnsi="Times New Roman" w:cs="Times New Roman"/>
          <w:b/>
          <w:bCs/>
          <w:sz w:val="22"/>
          <w:szCs w:val="22"/>
        </w:rPr>
        <w:t xml:space="preserve"> </w:t>
      </w:r>
      <w:r w:rsidRPr="006D6C8C">
        <w:rPr>
          <w:rFonts w:ascii="Times New Roman" w:hAnsi="Times New Roman" w:cs="Times New Roman"/>
          <w:b/>
          <w:bCs/>
          <w:sz w:val="22"/>
          <w:szCs w:val="22"/>
        </w:rPr>
        <w:t>Banking</w:t>
      </w:r>
      <w:r w:rsidR="005E0562" w:rsidRPr="006D6C8C">
        <w:rPr>
          <w:rFonts w:ascii="Times New Roman" w:hAnsi="Times New Roman" w:cs="Times New Roman"/>
          <w:b/>
          <w:bCs/>
          <w:sz w:val="22"/>
          <w:szCs w:val="22"/>
        </w:rPr>
        <w:t>:</w:t>
      </w:r>
      <w:r w:rsidRPr="007D737D">
        <w:rPr>
          <w:rFonts w:ascii="Times New Roman" w:hAnsi="Times New Roman" w:cs="Times New Roman"/>
          <w:b/>
          <w:bCs/>
          <w:sz w:val="22"/>
          <w:szCs w:val="22"/>
        </w:rPr>
        <w:br/>
      </w:r>
      <w:r w:rsidRPr="007D737D">
        <w:rPr>
          <w:rFonts w:ascii="Times New Roman" w:hAnsi="Times New Roman" w:cs="Times New Roman"/>
          <w:sz w:val="22"/>
          <w:szCs w:val="22"/>
        </w:rPr>
        <w:t>Visa is entering open banking, enabling third-party providers to access bank data for more customized services. This expands Visa's offerings beyond card</w:t>
      </w:r>
      <w:r w:rsidRPr="007D737D">
        <w:rPr>
          <w:rFonts w:ascii="Times New Roman" w:hAnsi="Times New Roman" w:cs="Times New Roman"/>
          <w:b/>
          <w:bCs/>
          <w:sz w:val="22"/>
          <w:szCs w:val="22"/>
        </w:rPr>
        <w:t xml:space="preserve"> </w:t>
      </w:r>
      <w:r w:rsidRPr="007D737D">
        <w:rPr>
          <w:rFonts w:ascii="Times New Roman" w:hAnsi="Times New Roman" w:cs="Times New Roman"/>
          <w:sz w:val="22"/>
          <w:szCs w:val="22"/>
        </w:rPr>
        <w:t>payments</w:t>
      </w:r>
      <w:r w:rsidR="00C40389" w:rsidRPr="007D737D">
        <w:rPr>
          <w:rFonts w:ascii="Times New Roman" w:hAnsi="Times New Roman" w:cs="Times New Roman"/>
          <w:sz w:val="22"/>
          <w:szCs w:val="22"/>
        </w:rPr>
        <w:t xml:space="preserve"> (Visa Navigate, 2024)</w:t>
      </w:r>
      <w:r w:rsidRPr="007D737D">
        <w:rPr>
          <w:rFonts w:ascii="Times New Roman" w:hAnsi="Times New Roman" w:cs="Times New Roman"/>
          <w:sz w:val="22"/>
          <w:szCs w:val="22"/>
        </w:rPr>
        <w:t>.</w:t>
      </w:r>
    </w:p>
    <w:p w14:paraId="1566F9B1" w14:textId="41557E99" w:rsidR="00E430C6" w:rsidRPr="007D737D" w:rsidRDefault="00E430C6" w:rsidP="007D737D">
      <w:pPr>
        <w:spacing w:line="360" w:lineRule="auto"/>
        <w:rPr>
          <w:rFonts w:ascii="Times New Roman" w:hAnsi="Times New Roman" w:cs="Times New Roman"/>
          <w:b/>
          <w:bCs/>
          <w:sz w:val="22"/>
          <w:szCs w:val="22"/>
        </w:rPr>
      </w:pPr>
      <w:r w:rsidRPr="006D6C8C">
        <w:rPr>
          <w:rFonts w:ascii="Times New Roman" w:hAnsi="Times New Roman" w:cs="Times New Roman"/>
          <w:b/>
          <w:bCs/>
          <w:sz w:val="22"/>
          <w:szCs w:val="22"/>
        </w:rPr>
        <w:t>Contactless and Biometric Payments</w:t>
      </w:r>
      <w:r w:rsidR="005E0562" w:rsidRPr="006D6C8C">
        <w:rPr>
          <w:rFonts w:ascii="Times New Roman" w:hAnsi="Times New Roman" w:cs="Times New Roman"/>
          <w:b/>
          <w:bCs/>
          <w:sz w:val="22"/>
          <w:szCs w:val="22"/>
        </w:rPr>
        <w:t>:</w:t>
      </w:r>
      <w:r w:rsidRPr="007D737D">
        <w:rPr>
          <w:rFonts w:ascii="Times New Roman" w:hAnsi="Times New Roman" w:cs="Times New Roman"/>
          <w:sz w:val="22"/>
          <w:szCs w:val="22"/>
        </w:rPr>
        <w:br/>
        <w:t>As contactless and biometric technologies grow, Visa is developing payment methods using facial recognition, fingerprints, and other ID forms for more secure transactions</w:t>
      </w:r>
      <w:r w:rsidR="00CD4BD9" w:rsidRPr="007D737D">
        <w:rPr>
          <w:rFonts w:ascii="Times New Roman" w:hAnsi="Times New Roman" w:cs="Times New Roman"/>
          <w:sz w:val="22"/>
          <w:szCs w:val="22"/>
        </w:rPr>
        <w:t xml:space="preserve"> (Yahoo Finance, 2024)</w:t>
      </w:r>
      <w:r w:rsidRPr="007D737D">
        <w:rPr>
          <w:rFonts w:ascii="Times New Roman" w:hAnsi="Times New Roman" w:cs="Times New Roman"/>
          <w:sz w:val="22"/>
          <w:szCs w:val="22"/>
        </w:rPr>
        <w:t>.</w:t>
      </w:r>
    </w:p>
    <w:p w14:paraId="2E76C3F4" w14:textId="77777777" w:rsidR="00E430C6" w:rsidRPr="007D737D" w:rsidRDefault="00E430C6" w:rsidP="007D737D">
      <w:pPr>
        <w:pStyle w:val="Subtitle"/>
        <w:spacing w:line="360" w:lineRule="auto"/>
        <w:rPr>
          <w:rFonts w:ascii="Times New Roman" w:hAnsi="Times New Roman" w:cs="Times New Roman"/>
          <w:sz w:val="22"/>
          <w:szCs w:val="22"/>
        </w:rPr>
      </w:pPr>
    </w:p>
    <w:p w14:paraId="3E1BA549" w14:textId="6A57341A" w:rsidR="00661E03" w:rsidRPr="005B2EF3" w:rsidRDefault="00661E03" w:rsidP="007D737D">
      <w:pPr>
        <w:pStyle w:val="Subtitle"/>
        <w:spacing w:line="360" w:lineRule="auto"/>
        <w:rPr>
          <w:rFonts w:ascii="Times New Roman" w:hAnsi="Times New Roman" w:cs="Times New Roman"/>
          <w:b/>
          <w:bCs/>
          <w:color w:val="auto"/>
          <w:sz w:val="22"/>
          <w:szCs w:val="22"/>
        </w:rPr>
      </w:pPr>
      <w:r w:rsidRPr="005B2EF3">
        <w:rPr>
          <w:rFonts w:ascii="Times New Roman" w:hAnsi="Times New Roman" w:cs="Times New Roman"/>
          <w:b/>
          <w:bCs/>
          <w:color w:val="auto"/>
          <w:sz w:val="22"/>
          <w:szCs w:val="22"/>
        </w:rPr>
        <w:t>4. Key Revenue and Cost Drivers</w:t>
      </w:r>
    </w:p>
    <w:p w14:paraId="4419F25D" w14:textId="103BE330" w:rsidR="004D7E2C" w:rsidRPr="00EF5201" w:rsidRDefault="004073C1" w:rsidP="007D737D">
      <w:pPr>
        <w:spacing w:line="360" w:lineRule="auto"/>
        <w:rPr>
          <w:rFonts w:ascii="Times New Roman" w:hAnsi="Times New Roman" w:cs="Times New Roman"/>
          <w:sz w:val="22"/>
          <w:szCs w:val="22"/>
        </w:rPr>
      </w:pPr>
      <w:proofErr w:type="spellStart"/>
      <w:r w:rsidRPr="00EF5201">
        <w:rPr>
          <w:rFonts w:ascii="Times New Roman" w:hAnsi="Times New Roman" w:cs="Times New Roman"/>
          <w:sz w:val="22"/>
          <w:szCs w:val="22"/>
        </w:rPr>
        <w:t>Trefis</w:t>
      </w:r>
      <w:proofErr w:type="spellEnd"/>
      <w:r w:rsidRPr="00EF5201">
        <w:rPr>
          <w:rFonts w:ascii="Times New Roman" w:hAnsi="Times New Roman" w:cs="Times New Roman"/>
          <w:sz w:val="22"/>
          <w:szCs w:val="22"/>
        </w:rPr>
        <w:t xml:space="preserve"> Team (2019) and th</w:t>
      </w:r>
      <w:r w:rsidR="004D7E2C" w:rsidRPr="00EF5201">
        <w:rPr>
          <w:rFonts w:ascii="Times New Roman" w:hAnsi="Times New Roman" w:cs="Times New Roman"/>
          <w:sz w:val="22"/>
          <w:szCs w:val="22"/>
        </w:rPr>
        <w:t>e annual report 2023 published by Visa (2023) revealed the following as the revenue and cost drivers.</w:t>
      </w:r>
    </w:p>
    <w:p w14:paraId="45A0AF85" w14:textId="77777777" w:rsidR="00661E03" w:rsidRPr="007D737D" w:rsidRDefault="00661E03"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Revenue Drivers:</w:t>
      </w:r>
    </w:p>
    <w:p w14:paraId="21FF9299" w14:textId="77777777" w:rsidR="00AB2BA8" w:rsidRPr="00E71530" w:rsidRDefault="00AB2BA8" w:rsidP="007D737D">
      <w:pPr>
        <w:spacing w:line="360" w:lineRule="auto"/>
        <w:rPr>
          <w:rFonts w:ascii="Times New Roman" w:hAnsi="Times New Roman" w:cs="Times New Roman"/>
          <w:b/>
          <w:bCs/>
          <w:sz w:val="22"/>
          <w:szCs w:val="22"/>
        </w:rPr>
      </w:pPr>
      <w:r w:rsidRPr="00E71530">
        <w:rPr>
          <w:rFonts w:ascii="Times New Roman" w:hAnsi="Times New Roman" w:cs="Times New Roman"/>
          <w:b/>
          <w:bCs/>
          <w:sz w:val="22"/>
          <w:szCs w:val="22"/>
        </w:rPr>
        <w:t>Transaction Fees</w:t>
      </w:r>
    </w:p>
    <w:p w14:paraId="75FE12E4" w14:textId="77777777" w:rsidR="00E71530" w:rsidRDefault="00AB2BA8"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Visa earns revenue from fees charged on each transaction processed through its network. These include interchange fees (paid by merchants' banks to cardholders' banks) and network fees (paid by merchants or acquirers to Visa). Higher transaction volumes lead to increased revenue.</w:t>
      </w:r>
    </w:p>
    <w:p w14:paraId="5414961B" w14:textId="4681A0AE" w:rsidR="00AB2BA8" w:rsidRPr="00E71530" w:rsidRDefault="00AB2BA8" w:rsidP="007D737D">
      <w:pPr>
        <w:spacing w:line="360" w:lineRule="auto"/>
        <w:rPr>
          <w:rFonts w:ascii="Times New Roman" w:hAnsi="Times New Roman" w:cs="Times New Roman"/>
          <w:b/>
          <w:bCs/>
          <w:sz w:val="22"/>
          <w:szCs w:val="22"/>
        </w:rPr>
      </w:pPr>
      <w:r w:rsidRPr="00E71530">
        <w:rPr>
          <w:rFonts w:ascii="Times New Roman" w:hAnsi="Times New Roman" w:cs="Times New Roman"/>
          <w:b/>
          <w:bCs/>
          <w:sz w:val="22"/>
          <w:szCs w:val="22"/>
        </w:rPr>
        <w:lastRenderedPageBreak/>
        <w:t>Data Processing Fees</w:t>
      </w:r>
    </w:p>
    <w:p w14:paraId="34CF64EC" w14:textId="77777777" w:rsidR="00AB2BA8" w:rsidRPr="007D737D" w:rsidRDefault="00AB2BA8"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Visa charges fees for the authorization, clearing, and settlement of transactions. These data processing fees are generated based on the number of transactions processed, making it a major revenue stream.</w:t>
      </w:r>
    </w:p>
    <w:p w14:paraId="52C2605A" w14:textId="77777777" w:rsidR="00AB2BA8" w:rsidRPr="00E71530" w:rsidRDefault="00AB2BA8" w:rsidP="007D737D">
      <w:pPr>
        <w:spacing w:line="360" w:lineRule="auto"/>
        <w:rPr>
          <w:rFonts w:ascii="Times New Roman" w:hAnsi="Times New Roman" w:cs="Times New Roman"/>
          <w:b/>
          <w:bCs/>
          <w:sz w:val="22"/>
          <w:szCs w:val="22"/>
        </w:rPr>
      </w:pPr>
      <w:r w:rsidRPr="00E71530">
        <w:rPr>
          <w:rFonts w:ascii="Times New Roman" w:hAnsi="Times New Roman" w:cs="Times New Roman"/>
          <w:b/>
          <w:bCs/>
          <w:sz w:val="22"/>
          <w:szCs w:val="22"/>
        </w:rPr>
        <w:t>International Transaction Fees</w:t>
      </w:r>
    </w:p>
    <w:p w14:paraId="0EA96629" w14:textId="77777777" w:rsidR="00AB2BA8" w:rsidRPr="007D737D" w:rsidRDefault="00AB2BA8"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Visa generates significant revenue from cross-border transactions. Fees for these international transactions are typically higher than domestic ones due to exchange rate conversion and higher risk.</w:t>
      </w:r>
      <w:r w:rsidRPr="007D737D">
        <w:rPr>
          <w:rFonts w:ascii="Times New Roman" w:hAnsi="Times New Roman" w:cs="Times New Roman"/>
          <w:b/>
          <w:bCs/>
          <w:sz w:val="22"/>
          <w:szCs w:val="22"/>
        </w:rPr>
        <w:t xml:space="preserve"> </w:t>
      </w:r>
    </w:p>
    <w:p w14:paraId="694500A1" w14:textId="77777777" w:rsidR="00541F50" w:rsidRPr="007D737D" w:rsidRDefault="00541F50" w:rsidP="007D737D">
      <w:pPr>
        <w:spacing w:line="360" w:lineRule="auto"/>
        <w:rPr>
          <w:rFonts w:ascii="Times New Roman" w:hAnsi="Times New Roman" w:cs="Times New Roman"/>
          <w:b/>
          <w:bCs/>
          <w:sz w:val="22"/>
          <w:szCs w:val="22"/>
        </w:rPr>
      </w:pPr>
    </w:p>
    <w:p w14:paraId="622BAE08" w14:textId="46F61308" w:rsidR="00661E03" w:rsidRPr="007D737D" w:rsidRDefault="00661E03"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Cost Drivers:</w:t>
      </w:r>
    </w:p>
    <w:p w14:paraId="228CE55B" w14:textId="77777777" w:rsidR="00AB2BA8" w:rsidRPr="004D5717" w:rsidRDefault="00AB2BA8" w:rsidP="007D737D">
      <w:pPr>
        <w:spacing w:line="360" w:lineRule="auto"/>
        <w:rPr>
          <w:rFonts w:ascii="Times New Roman" w:hAnsi="Times New Roman" w:cs="Times New Roman"/>
          <w:b/>
          <w:bCs/>
          <w:sz w:val="22"/>
          <w:szCs w:val="22"/>
        </w:rPr>
      </w:pPr>
      <w:r w:rsidRPr="004D5717">
        <w:rPr>
          <w:rFonts w:ascii="Times New Roman" w:hAnsi="Times New Roman" w:cs="Times New Roman"/>
          <w:b/>
          <w:bCs/>
          <w:sz w:val="22"/>
          <w:szCs w:val="22"/>
        </w:rPr>
        <w:t>Technology and Innovation Investment</w:t>
      </w:r>
    </w:p>
    <w:p w14:paraId="0B8E140F" w14:textId="6621F8D1" w:rsidR="00E272B6" w:rsidRDefault="00AB2BA8"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Significant investments are made in research and development (R&amp;D) to enhance security, innovate payment solutions (e.g., contactless and mobile payments), and improve the overall payment experience. This also includes blockchain and cryptocurrency innovations.</w:t>
      </w:r>
    </w:p>
    <w:p w14:paraId="41271696" w14:textId="37391883" w:rsidR="00AB2BA8" w:rsidRPr="004D5717" w:rsidRDefault="00AB2BA8" w:rsidP="007D737D">
      <w:pPr>
        <w:spacing w:line="360" w:lineRule="auto"/>
        <w:rPr>
          <w:rFonts w:ascii="Times New Roman" w:hAnsi="Times New Roman" w:cs="Times New Roman"/>
          <w:b/>
          <w:bCs/>
          <w:sz w:val="22"/>
          <w:szCs w:val="22"/>
        </w:rPr>
      </w:pPr>
      <w:r w:rsidRPr="004D5717">
        <w:rPr>
          <w:rFonts w:ascii="Times New Roman" w:hAnsi="Times New Roman" w:cs="Times New Roman"/>
          <w:b/>
          <w:bCs/>
          <w:sz w:val="22"/>
          <w:szCs w:val="22"/>
        </w:rPr>
        <w:t>Regulatory and Compliance Costs</w:t>
      </w:r>
    </w:p>
    <w:p w14:paraId="22054D9F" w14:textId="09F34609" w:rsidR="00323592" w:rsidRPr="007D737D" w:rsidRDefault="00AB2BA8"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Operating globally, Visa faces compliance costs related to different countries' regulations, data privacy laws, and anti-money laundering (AML) rules. Keeping up with these regulations requires ongoing investment.</w:t>
      </w:r>
      <w:r w:rsidRPr="007D737D">
        <w:rPr>
          <w:rFonts w:ascii="Times New Roman" w:hAnsi="Times New Roman" w:cs="Times New Roman"/>
          <w:b/>
          <w:bCs/>
          <w:sz w:val="22"/>
          <w:szCs w:val="22"/>
        </w:rPr>
        <w:t xml:space="preserve"> </w:t>
      </w:r>
    </w:p>
    <w:p w14:paraId="1B7D79B3" w14:textId="15ACD21D" w:rsidR="00AB2BA8" w:rsidRPr="007D737D" w:rsidRDefault="00AB2BA8"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Operational Costs</w:t>
      </w:r>
    </w:p>
    <w:p w14:paraId="37B290A2" w14:textId="2B03DEB1" w:rsidR="00AB2BA8" w:rsidRPr="00B6322B" w:rsidRDefault="00AB2BA8" w:rsidP="007D737D">
      <w:pPr>
        <w:spacing w:line="360" w:lineRule="auto"/>
        <w:rPr>
          <w:rFonts w:ascii="Times New Roman" w:hAnsi="Times New Roman" w:cs="Times New Roman"/>
          <w:sz w:val="22"/>
          <w:szCs w:val="22"/>
        </w:rPr>
      </w:pPr>
      <w:r w:rsidRPr="00B6322B">
        <w:rPr>
          <w:rFonts w:ascii="Times New Roman" w:hAnsi="Times New Roman" w:cs="Times New Roman"/>
          <w:sz w:val="22"/>
          <w:szCs w:val="22"/>
        </w:rPr>
        <w:t xml:space="preserve">Visa incurs significant expenses in managing its global payment network, including costs related to data </w:t>
      </w:r>
      <w:r w:rsidR="00555D6D" w:rsidRPr="00B6322B">
        <w:rPr>
          <w:rFonts w:ascii="Times New Roman" w:hAnsi="Times New Roman" w:cs="Times New Roman"/>
          <w:sz w:val="22"/>
          <w:szCs w:val="22"/>
        </w:rPr>
        <w:t>centres</w:t>
      </w:r>
      <w:r w:rsidRPr="00B6322B">
        <w:rPr>
          <w:rFonts w:ascii="Times New Roman" w:hAnsi="Times New Roman" w:cs="Times New Roman"/>
          <w:sz w:val="22"/>
          <w:szCs w:val="22"/>
        </w:rPr>
        <w:t>, transaction processing infrastructure, and cybersecurity measures.</w:t>
      </w:r>
    </w:p>
    <w:p w14:paraId="5C7ECDEE" w14:textId="77777777" w:rsidR="00AB2BA8" w:rsidRPr="007D737D" w:rsidRDefault="00AB2BA8" w:rsidP="007D737D">
      <w:pPr>
        <w:spacing w:line="360" w:lineRule="auto"/>
        <w:rPr>
          <w:rFonts w:ascii="Times New Roman" w:hAnsi="Times New Roman" w:cs="Times New Roman"/>
          <w:b/>
          <w:bCs/>
          <w:sz w:val="22"/>
          <w:szCs w:val="22"/>
        </w:rPr>
      </w:pPr>
    </w:p>
    <w:p w14:paraId="16BDCB83" w14:textId="1F13FA87" w:rsidR="00661E03" w:rsidRPr="005B2EF3" w:rsidRDefault="00661E03" w:rsidP="007D737D">
      <w:pPr>
        <w:spacing w:line="360" w:lineRule="auto"/>
        <w:rPr>
          <w:rFonts w:ascii="Times New Roman" w:hAnsi="Times New Roman" w:cs="Times New Roman"/>
          <w:b/>
          <w:bCs/>
          <w:sz w:val="22"/>
          <w:szCs w:val="22"/>
        </w:rPr>
      </w:pPr>
      <w:r w:rsidRPr="005B2EF3">
        <w:rPr>
          <w:rFonts w:ascii="Times New Roman" w:hAnsi="Times New Roman" w:cs="Times New Roman"/>
          <w:b/>
          <w:bCs/>
          <w:sz w:val="22"/>
          <w:szCs w:val="22"/>
        </w:rPr>
        <w:t>5. Current Industry/Market Trends</w:t>
      </w:r>
    </w:p>
    <w:p w14:paraId="4ED63139" w14:textId="6951AA31" w:rsidR="00210B76" w:rsidRPr="00B6322B" w:rsidRDefault="005A690E" w:rsidP="007D737D">
      <w:pPr>
        <w:spacing w:line="360" w:lineRule="auto"/>
        <w:rPr>
          <w:rFonts w:ascii="Times New Roman" w:hAnsi="Times New Roman" w:cs="Times New Roman"/>
          <w:sz w:val="22"/>
          <w:szCs w:val="22"/>
        </w:rPr>
      </w:pPr>
      <w:r w:rsidRPr="00B6322B">
        <w:rPr>
          <w:rFonts w:ascii="Times New Roman" w:hAnsi="Times New Roman" w:cs="Times New Roman"/>
          <w:sz w:val="22"/>
          <w:szCs w:val="22"/>
        </w:rPr>
        <w:t xml:space="preserve">McKinsey &amp; Company (2023) and </w:t>
      </w:r>
      <w:r w:rsidR="00210B76" w:rsidRPr="00B6322B">
        <w:rPr>
          <w:rFonts w:ascii="Times New Roman" w:hAnsi="Times New Roman" w:cs="Times New Roman"/>
          <w:sz w:val="22"/>
          <w:szCs w:val="22"/>
        </w:rPr>
        <w:t>Visa (2024)</w:t>
      </w:r>
      <w:r w:rsidRPr="00B6322B">
        <w:rPr>
          <w:rFonts w:ascii="Times New Roman" w:hAnsi="Times New Roman" w:cs="Times New Roman"/>
          <w:sz w:val="22"/>
          <w:szCs w:val="22"/>
        </w:rPr>
        <w:t xml:space="preserve"> stated that the current </w:t>
      </w:r>
      <w:r w:rsidR="00031517" w:rsidRPr="00B6322B">
        <w:rPr>
          <w:rFonts w:ascii="Times New Roman" w:hAnsi="Times New Roman" w:cs="Times New Roman"/>
          <w:sz w:val="22"/>
          <w:szCs w:val="22"/>
        </w:rPr>
        <w:t xml:space="preserve">market trends </w:t>
      </w:r>
      <w:proofErr w:type="gramStart"/>
      <w:r w:rsidR="00031517" w:rsidRPr="00B6322B">
        <w:rPr>
          <w:rFonts w:ascii="Times New Roman" w:hAnsi="Times New Roman" w:cs="Times New Roman"/>
          <w:sz w:val="22"/>
          <w:szCs w:val="22"/>
        </w:rPr>
        <w:t>are;</w:t>
      </w:r>
      <w:proofErr w:type="gramEnd"/>
    </w:p>
    <w:p w14:paraId="1A882A8C" w14:textId="77777777" w:rsidR="00A16AE2" w:rsidRPr="00515DDF" w:rsidRDefault="00AB2BA8" w:rsidP="007D737D">
      <w:pPr>
        <w:spacing w:line="360" w:lineRule="auto"/>
        <w:rPr>
          <w:rFonts w:ascii="Times New Roman" w:hAnsi="Times New Roman" w:cs="Times New Roman"/>
          <w:b/>
          <w:bCs/>
          <w:sz w:val="22"/>
          <w:szCs w:val="22"/>
        </w:rPr>
      </w:pPr>
      <w:r w:rsidRPr="00515DDF">
        <w:rPr>
          <w:rFonts w:ascii="Times New Roman" w:hAnsi="Times New Roman" w:cs="Times New Roman"/>
          <w:b/>
          <w:bCs/>
          <w:sz w:val="22"/>
          <w:szCs w:val="22"/>
        </w:rPr>
        <w:t>Digital Transformation and Contactless Payments</w:t>
      </w:r>
      <w:r w:rsidR="00B6322B" w:rsidRPr="00515DDF">
        <w:rPr>
          <w:rFonts w:ascii="Times New Roman" w:hAnsi="Times New Roman" w:cs="Times New Roman"/>
          <w:b/>
          <w:bCs/>
          <w:sz w:val="22"/>
          <w:szCs w:val="22"/>
        </w:rPr>
        <w:t xml:space="preserve">. </w:t>
      </w:r>
    </w:p>
    <w:p w14:paraId="7DEF6607" w14:textId="79207244" w:rsidR="00AB2BA8" w:rsidRPr="007D737D" w:rsidRDefault="00AB2BA8"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The shift to digital and contactless payments, accelerated by the pandemic, remains strong. Visa promotes contactless cards, mobile payments, and digital wallets like Apple Pay and Google Pay.</w:t>
      </w:r>
    </w:p>
    <w:p w14:paraId="642A08FC" w14:textId="77777777" w:rsidR="00AB2BA8" w:rsidRPr="00515DDF" w:rsidRDefault="00AB2BA8" w:rsidP="007D737D">
      <w:pPr>
        <w:spacing w:line="360" w:lineRule="auto"/>
        <w:rPr>
          <w:rFonts w:ascii="Times New Roman" w:hAnsi="Times New Roman" w:cs="Times New Roman"/>
          <w:b/>
          <w:bCs/>
          <w:sz w:val="22"/>
          <w:szCs w:val="22"/>
        </w:rPr>
      </w:pPr>
      <w:r w:rsidRPr="00515DDF">
        <w:rPr>
          <w:rFonts w:ascii="Times New Roman" w:hAnsi="Times New Roman" w:cs="Times New Roman"/>
          <w:b/>
          <w:bCs/>
          <w:sz w:val="22"/>
          <w:szCs w:val="22"/>
        </w:rPr>
        <w:t>Growth in E-commerce and Online Payments</w:t>
      </w:r>
    </w:p>
    <w:p w14:paraId="3BA7A1DC" w14:textId="77777777" w:rsidR="00AB2BA8" w:rsidRPr="007D737D" w:rsidRDefault="00AB2BA8"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E-commerce growth drives demand for secure online payments. Visa benefits from increased card use and invests in fraud prevention and technologies like tokenization to maintain leadership.</w:t>
      </w:r>
    </w:p>
    <w:p w14:paraId="7E388D0E" w14:textId="77777777" w:rsidR="00AB2BA8" w:rsidRPr="00515DDF" w:rsidRDefault="00AB2BA8" w:rsidP="007D737D">
      <w:pPr>
        <w:spacing w:line="360" w:lineRule="auto"/>
        <w:rPr>
          <w:rFonts w:ascii="Times New Roman" w:hAnsi="Times New Roman" w:cs="Times New Roman"/>
          <w:b/>
          <w:bCs/>
          <w:sz w:val="22"/>
          <w:szCs w:val="22"/>
        </w:rPr>
      </w:pPr>
      <w:r w:rsidRPr="00515DDF">
        <w:rPr>
          <w:rFonts w:ascii="Times New Roman" w:hAnsi="Times New Roman" w:cs="Times New Roman"/>
          <w:b/>
          <w:bCs/>
          <w:sz w:val="22"/>
          <w:szCs w:val="22"/>
        </w:rPr>
        <w:t>Rise of Cryptocurrencies and Blockchain</w:t>
      </w:r>
    </w:p>
    <w:p w14:paraId="7ECBB99B" w14:textId="77777777" w:rsidR="00AB2BA8" w:rsidRPr="007D737D" w:rsidRDefault="00AB2BA8"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lastRenderedPageBreak/>
        <w:t>Visa is integrating cryptocurrencies into its network, partnering with platforms like Coinbase, and supporting stablecoins and CBDCs to stay relevant in blockchain-based payments.</w:t>
      </w:r>
      <w:r w:rsidRPr="007D737D">
        <w:rPr>
          <w:rFonts w:ascii="Times New Roman" w:hAnsi="Times New Roman" w:cs="Times New Roman"/>
          <w:b/>
          <w:bCs/>
          <w:sz w:val="22"/>
          <w:szCs w:val="22"/>
        </w:rPr>
        <w:t xml:space="preserve"> </w:t>
      </w:r>
    </w:p>
    <w:p w14:paraId="51414ADC" w14:textId="77777777" w:rsidR="00AB2BA8" w:rsidRPr="00231A65" w:rsidRDefault="00AB2BA8" w:rsidP="007D737D">
      <w:pPr>
        <w:spacing w:line="360" w:lineRule="auto"/>
        <w:rPr>
          <w:rFonts w:ascii="Times New Roman" w:hAnsi="Times New Roman" w:cs="Times New Roman"/>
          <w:b/>
          <w:bCs/>
        </w:rPr>
      </w:pPr>
    </w:p>
    <w:p w14:paraId="60DE82F1" w14:textId="1FFAA9DF" w:rsidR="00D2089D" w:rsidRPr="007D737D" w:rsidRDefault="00661E03" w:rsidP="007D737D">
      <w:pPr>
        <w:spacing w:line="360" w:lineRule="auto"/>
        <w:rPr>
          <w:rFonts w:ascii="Times New Roman" w:hAnsi="Times New Roman" w:cs="Times New Roman"/>
          <w:b/>
          <w:bCs/>
          <w:sz w:val="22"/>
          <w:szCs w:val="22"/>
        </w:rPr>
      </w:pPr>
      <w:r w:rsidRPr="005B2EF3">
        <w:rPr>
          <w:rFonts w:ascii="Times New Roman" w:hAnsi="Times New Roman" w:cs="Times New Roman"/>
          <w:b/>
          <w:bCs/>
          <w:sz w:val="22"/>
          <w:szCs w:val="22"/>
        </w:rPr>
        <w:t>6. SWOT Analysis</w:t>
      </w:r>
      <w:r w:rsidR="0063499D" w:rsidRPr="00231A65">
        <w:rPr>
          <w:rFonts w:ascii="Times New Roman" w:hAnsi="Times New Roman" w:cs="Times New Roman"/>
        </w:rPr>
        <w:t xml:space="preserve"> </w:t>
      </w:r>
      <w:r w:rsidR="0063499D" w:rsidRPr="007D737D">
        <w:rPr>
          <w:rFonts w:ascii="Times New Roman" w:hAnsi="Times New Roman" w:cs="Times New Roman"/>
          <w:b/>
          <w:bCs/>
          <w:sz w:val="22"/>
          <w:szCs w:val="22"/>
        </w:rPr>
        <w:t>(</w:t>
      </w:r>
      <w:r w:rsidR="0063499D" w:rsidRPr="007D737D">
        <w:rPr>
          <w:rFonts w:ascii="Times New Roman" w:hAnsi="Times New Roman" w:cs="Times New Roman"/>
          <w:sz w:val="22"/>
          <w:szCs w:val="22"/>
        </w:rPr>
        <w:t>S&amp;P, 2023; The Strategy Story, no date</w:t>
      </w:r>
      <w:r w:rsidR="00887F9C" w:rsidRPr="007D737D">
        <w:rPr>
          <w:rFonts w:ascii="Times New Roman" w:hAnsi="Times New Roman" w:cs="Times New Roman"/>
          <w:sz w:val="22"/>
          <w:szCs w:val="22"/>
        </w:rPr>
        <w:t xml:space="preserve">; </w:t>
      </w:r>
      <w:proofErr w:type="spellStart"/>
      <w:r w:rsidR="00887F9C" w:rsidRPr="00A16AE2">
        <w:rPr>
          <w:rFonts w:ascii="Times New Roman" w:hAnsi="Times New Roman" w:cs="Times New Roman"/>
          <w:sz w:val="22"/>
          <w:szCs w:val="22"/>
        </w:rPr>
        <w:t>GuruFocus</w:t>
      </w:r>
      <w:proofErr w:type="spellEnd"/>
      <w:r w:rsidR="00887F9C" w:rsidRPr="00A16AE2">
        <w:rPr>
          <w:rFonts w:ascii="Times New Roman" w:hAnsi="Times New Roman" w:cs="Times New Roman"/>
          <w:sz w:val="22"/>
          <w:szCs w:val="22"/>
        </w:rPr>
        <w:t xml:space="preserve"> Research, 2024</w:t>
      </w:r>
      <w:r w:rsidR="0063499D" w:rsidRPr="007D737D">
        <w:rPr>
          <w:rFonts w:ascii="Times New Roman" w:hAnsi="Times New Roman" w:cs="Times New Roman"/>
          <w:sz w:val="22"/>
          <w:szCs w:val="22"/>
        </w:rPr>
        <w:t>).</w:t>
      </w:r>
    </w:p>
    <w:tbl>
      <w:tblPr>
        <w:tblStyle w:val="TableGrid"/>
        <w:tblW w:w="18032" w:type="dxa"/>
        <w:tblLook w:val="04A0" w:firstRow="1" w:lastRow="0" w:firstColumn="1" w:lastColumn="0" w:noHBand="0" w:noVBand="1"/>
      </w:tblPr>
      <w:tblGrid>
        <w:gridCol w:w="4508"/>
        <w:gridCol w:w="4508"/>
        <w:gridCol w:w="4508"/>
        <w:gridCol w:w="4508"/>
      </w:tblGrid>
      <w:tr w:rsidR="00D2089D" w:rsidRPr="007D737D" w14:paraId="12A39D06" w14:textId="77777777" w:rsidTr="003F50BB">
        <w:tc>
          <w:tcPr>
            <w:tcW w:w="4508" w:type="dxa"/>
            <w:vAlign w:val="center"/>
          </w:tcPr>
          <w:p w14:paraId="32B1010F" w14:textId="6C2381E6"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Strengths</w:t>
            </w:r>
          </w:p>
        </w:tc>
        <w:tc>
          <w:tcPr>
            <w:tcW w:w="4508" w:type="dxa"/>
            <w:vAlign w:val="center"/>
          </w:tcPr>
          <w:p w14:paraId="4B8270BE" w14:textId="293B3D75"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Weaknesses</w:t>
            </w:r>
          </w:p>
        </w:tc>
        <w:tc>
          <w:tcPr>
            <w:tcW w:w="4508" w:type="dxa"/>
          </w:tcPr>
          <w:p w14:paraId="6A65C8ED" w14:textId="44E8D144"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5DDA16A5"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73D252EB" w14:textId="77777777" w:rsidTr="003F50BB">
        <w:tc>
          <w:tcPr>
            <w:tcW w:w="4508" w:type="dxa"/>
            <w:vAlign w:val="center"/>
          </w:tcPr>
          <w:p w14:paraId="43737311" w14:textId="60B1705E"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Global brand recognition</w:t>
            </w:r>
          </w:p>
        </w:tc>
        <w:tc>
          <w:tcPr>
            <w:tcW w:w="4508" w:type="dxa"/>
            <w:vAlign w:val="center"/>
          </w:tcPr>
          <w:p w14:paraId="3F122C0B" w14:textId="1230AF33"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Dependence on traditional banking partnerships</w:t>
            </w:r>
          </w:p>
        </w:tc>
        <w:tc>
          <w:tcPr>
            <w:tcW w:w="4508" w:type="dxa"/>
          </w:tcPr>
          <w:p w14:paraId="29CBA3EE" w14:textId="662C101F"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45CB682"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1F523BD2" w14:textId="77777777" w:rsidTr="003F50BB">
        <w:tc>
          <w:tcPr>
            <w:tcW w:w="4508" w:type="dxa"/>
            <w:vAlign w:val="center"/>
          </w:tcPr>
          <w:p w14:paraId="56BE786F" w14:textId="70BE0454"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Extensive network of merchants and financial institutions</w:t>
            </w:r>
          </w:p>
        </w:tc>
        <w:tc>
          <w:tcPr>
            <w:tcW w:w="4508" w:type="dxa"/>
            <w:vAlign w:val="center"/>
          </w:tcPr>
          <w:p w14:paraId="641F2A0A" w14:textId="44B8EB53"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Vulnerability to disruptive technologies</w:t>
            </w:r>
          </w:p>
        </w:tc>
        <w:tc>
          <w:tcPr>
            <w:tcW w:w="4508" w:type="dxa"/>
          </w:tcPr>
          <w:p w14:paraId="66C3FC54" w14:textId="373065CF"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7B3FF35"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118DEA04" w14:textId="77777777" w:rsidTr="003F50BB">
        <w:tc>
          <w:tcPr>
            <w:tcW w:w="4508" w:type="dxa"/>
            <w:vAlign w:val="center"/>
          </w:tcPr>
          <w:p w14:paraId="09C52BED" w14:textId="05289CB5"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Strong financial position</w:t>
            </w:r>
          </w:p>
        </w:tc>
        <w:tc>
          <w:tcPr>
            <w:tcW w:w="4508" w:type="dxa"/>
            <w:vAlign w:val="center"/>
          </w:tcPr>
          <w:p w14:paraId="6C32EBA0" w14:textId="02107F29"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Regulatory scrutiny and potential for increased regulation</w:t>
            </w:r>
          </w:p>
        </w:tc>
        <w:tc>
          <w:tcPr>
            <w:tcW w:w="4508" w:type="dxa"/>
          </w:tcPr>
          <w:p w14:paraId="30CD972B" w14:textId="1A9CBB2B"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5A2D2915"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6B67A0F2" w14:textId="77777777" w:rsidTr="003F50BB">
        <w:tc>
          <w:tcPr>
            <w:tcW w:w="4508" w:type="dxa"/>
            <w:vAlign w:val="center"/>
          </w:tcPr>
          <w:p w14:paraId="5420C8A4" w14:textId="4DEAEC3C"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Advanced fraud detection capabilities</w:t>
            </w:r>
          </w:p>
        </w:tc>
        <w:tc>
          <w:tcPr>
            <w:tcW w:w="4508" w:type="dxa"/>
            <w:vAlign w:val="center"/>
          </w:tcPr>
          <w:p w14:paraId="08BE2D66" w14:textId="4875974F"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Limited presence in certain emerging markets</w:t>
            </w:r>
          </w:p>
        </w:tc>
        <w:tc>
          <w:tcPr>
            <w:tcW w:w="4508" w:type="dxa"/>
          </w:tcPr>
          <w:p w14:paraId="0C5757B3" w14:textId="788652BB"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DCC2301"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12AA4345" w14:textId="77777777" w:rsidTr="00D2089D">
        <w:tc>
          <w:tcPr>
            <w:tcW w:w="4508" w:type="dxa"/>
          </w:tcPr>
          <w:p w14:paraId="72BCB9E5" w14:textId="77777777"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4D347F94" w14:textId="77777777"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1965DFA" w14:textId="02E0522A"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09FEF41"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63261BBD" w14:textId="77777777" w:rsidTr="007E4E73">
        <w:tc>
          <w:tcPr>
            <w:tcW w:w="4508" w:type="dxa"/>
            <w:vAlign w:val="center"/>
          </w:tcPr>
          <w:p w14:paraId="4A13574B" w14:textId="6A32C408"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Opportunities</w:t>
            </w:r>
          </w:p>
        </w:tc>
        <w:tc>
          <w:tcPr>
            <w:tcW w:w="4508" w:type="dxa"/>
            <w:vAlign w:val="center"/>
          </w:tcPr>
          <w:p w14:paraId="6308A798" w14:textId="389747A4"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Threats</w:t>
            </w:r>
          </w:p>
        </w:tc>
        <w:tc>
          <w:tcPr>
            <w:tcW w:w="4508" w:type="dxa"/>
          </w:tcPr>
          <w:p w14:paraId="28E364F3" w14:textId="720F2535"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36A49648"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7F20BFB3" w14:textId="77777777" w:rsidTr="007E4E73">
        <w:tc>
          <w:tcPr>
            <w:tcW w:w="4508" w:type="dxa"/>
            <w:vAlign w:val="center"/>
          </w:tcPr>
          <w:p w14:paraId="010AB575" w14:textId="1EA4252A"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Expansion in emerging markets</w:t>
            </w:r>
          </w:p>
        </w:tc>
        <w:tc>
          <w:tcPr>
            <w:tcW w:w="4508" w:type="dxa"/>
            <w:vAlign w:val="center"/>
          </w:tcPr>
          <w:p w14:paraId="12E009A5" w14:textId="1A3273C8"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Increasing competition from FinTech startups</w:t>
            </w:r>
          </w:p>
        </w:tc>
        <w:tc>
          <w:tcPr>
            <w:tcW w:w="4508" w:type="dxa"/>
          </w:tcPr>
          <w:p w14:paraId="48030012" w14:textId="5E1259C5"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36268749"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02542AF6" w14:textId="77777777" w:rsidTr="007E4E73">
        <w:tc>
          <w:tcPr>
            <w:tcW w:w="4508" w:type="dxa"/>
            <w:vAlign w:val="center"/>
          </w:tcPr>
          <w:p w14:paraId="1B7B52BE" w14:textId="7200D995"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Development of blockchain-based solutions</w:t>
            </w:r>
          </w:p>
        </w:tc>
        <w:tc>
          <w:tcPr>
            <w:tcW w:w="4508" w:type="dxa"/>
            <w:vAlign w:val="center"/>
          </w:tcPr>
          <w:p w14:paraId="65220DBA" w14:textId="25A82E81"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Cybersecurity risks and data breaches</w:t>
            </w:r>
          </w:p>
        </w:tc>
        <w:tc>
          <w:tcPr>
            <w:tcW w:w="4508" w:type="dxa"/>
          </w:tcPr>
          <w:p w14:paraId="66757614" w14:textId="77777777"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433FD17B"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173171AA" w14:textId="77777777" w:rsidTr="007E4E73">
        <w:tc>
          <w:tcPr>
            <w:tcW w:w="4508" w:type="dxa"/>
            <w:vAlign w:val="center"/>
          </w:tcPr>
          <w:p w14:paraId="623DCAE4" w14:textId="5EE2374F"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Partnerships with tech giants for digital wallets</w:t>
            </w:r>
          </w:p>
        </w:tc>
        <w:tc>
          <w:tcPr>
            <w:tcW w:w="4508" w:type="dxa"/>
            <w:vAlign w:val="center"/>
          </w:tcPr>
          <w:p w14:paraId="779D6B62" w14:textId="2770C684"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Economic downturns affecting consumer spending</w:t>
            </w:r>
          </w:p>
        </w:tc>
        <w:tc>
          <w:tcPr>
            <w:tcW w:w="4508" w:type="dxa"/>
          </w:tcPr>
          <w:p w14:paraId="6D2D97A5" w14:textId="77777777"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091F7753"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03819236" w14:textId="77777777" w:rsidTr="007E4E73">
        <w:tc>
          <w:tcPr>
            <w:tcW w:w="4508" w:type="dxa"/>
            <w:vAlign w:val="center"/>
          </w:tcPr>
          <w:p w14:paraId="103E3216" w14:textId="1CD2CEA7"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Growth in e-commerce and mobile payments</w:t>
            </w:r>
          </w:p>
        </w:tc>
        <w:tc>
          <w:tcPr>
            <w:tcW w:w="4508" w:type="dxa"/>
            <w:vAlign w:val="center"/>
          </w:tcPr>
          <w:p w14:paraId="3D142054" w14:textId="5E4E9683"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Geopolitical tensions affecting cross-border transactions</w:t>
            </w:r>
          </w:p>
        </w:tc>
        <w:tc>
          <w:tcPr>
            <w:tcW w:w="4508" w:type="dxa"/>
          </w:tcPr>
          <w:p w14:paraId="4829020B" w14:textId="77777777" w:rsidR="00D2089D" w:rsidRPr="007D737D" w:rsidRDefault="00D2089D" w:rsidP="007D737D">
            <w:pPr>
              <w:spacing w:line="360" w:lineRule="auto"/>
              <w:rPr>
                <w:rFonts w:ascii="Times New Roman" w:hAnsi="Times New Roman" w:cs="Times New Roman"/>
                <w:b/>
                <w:bCs/>
                <w:sz w:val="22"/>
                <w:szCs w:val="22"/>
              </w:rPr>
            </w:pPr>
          </w:p>
        </w:tc>
        <w:tc>
          <w:tcPr>
            <w:tcW w:w="4508" w:type="dxa"/>
          </w:tcPr>
          <w:p w14:paraId="68403D6E" w14:textId="77777777" w:rsidR="00D2089D" w:rsidRPr="007D737D" w:rsidRDefault="00D2089D" w:rsidP="007D737D">
            <w:pPr>
              <w:spacing w:line="360" w:lineRule="auto"/>
              <w:rPr>
                <w:rFonts w:ascii="Times New Roman" w:hAnsi="Times New Roman" w:cs="Times New Roman"/>
                <w:b/>
                <w:bCs/>
                <w:sz w:val="22"/>
                <w:szCs w:val="22"/>
              </w:rPr>
            </w:pPr>
          </w:p>
        </w:tc>
      </w:tr>
    </w:tbl>
    <w:p w14:paraId="38D1D357" w14:textId="77777777" w:rsidR="00D2089D" w:rsidRPr="007D737D" w:rsidRDefault="00D2089D" w:rsidP="007D737D">
      <w:pPr>
        <w:spacing w:line="360" w:lineRule="auto"/>
        <w:rPr>
          <w:rFonts w:ascii="Times New Roman" w:hAnsi="Times New Roman" w:cs="Times New Roman"/>
          <w:sz w:val="22"/>
          <w:szCs w:val="22"/>
        </w:rPr>
      </w:pPr>
    </w:p>
    <w:p w14:paraId="3C4D19A4" w14:textId="77777777" w:rsidR="00D2089D" w:rsidRPr="005B2EF3" w:rsidRDefault="00D2089D" w:rsidP="007D737D">
      <w:pPr>
        <w:spacing w:line="360" w:lineRule="auto"/>
        <w:rPr>
          <w:rFonts w:ascii="Times New Roman" w:hAnsi="Times New Roman" w:cs="Times New Roman"/>
          <w:vanish/>
          <w:sz w:val="22"/>
          <w:szCs w:val="22"/>
        </w:rPr>
      </w:pPr>
    </w:p>
    <w:p w14:paraId="56B8A918" w14:textId="0D5EA1F0" w:rsidR="00661E03" w:rsidRPr="007D737D" w:rsidRDefault="00661E03" w:rsidP="007D737D">
      <w:pPr>
        <w:spacing w:line="360" w:lineRule="auto"/>
        <w:rPr>
          <w:rFonts w:ascii="Times New Roman" w:hAnsi="Times New Roman" w:cs="Times New Roman"/>
          <w:b/>
          <w:bCs/>
          <w:sz w:val="22"/>
          <w:szCs w:val="22"/>
        </w:rPr>
      </w:pPr>
      <w:r w:rsidRPr="005B2EF3">
        <w:rPr>
          <w:rFonts w:ascii="Times New Roman" w:hAnsi="Times New Roman" w:cs="Times New Roman"/>
          <w:b/>
          <w:bCs/>
          <w:sz w:val="22"/>
          <w:szCs w:val="22"/>
        </w:rPr>
        <w:t>7. PESTEL Analysis</w:t>
      </w:r>
      <w:r w:rsidR="00BC406D" w:rsidRPr="007D737D">
        <w:rPr>
          <w:rFonts w:ascii="Times New Roman" w:hAnsi="Times New Roman" w:cs="Times New Roman"/>
          <w:b/>
          <w:bCs/>
          <w:sz w:val="22"/>
          <w:szCs w:val="22"/>
        </w:rPr>
        <w:t xml:space="preserve"> (</w:t>
      </w:r>
      <w:r w:rsidR="00BC406D" w:rsidRPr="007D737D">
        <w:rPr>
          <w:rFonts w:ascii="Times New Roman" w:hAnsi="Times New Roman" w:cs="Times New Roman"/>
          <w:sz w:val="22"/>
          <w:szCs w:val="22"/>
        </w:rPr>
        <w:t>S&amp;P, 2023; The Strategy Story, no date</w:t>
      </w:r>
      <w:r w:rsidR="00887F9C" w:rsidRPr="007D737D">
        <w:rPr>
          <w:rFonts w:ascii="Times New Roman" w:hAnsi="Times New Roman" w:cs="Times New Roman"/>
          <w:sz w:val="22"/>
          <w:szCs w:val="22"/>
        </w:rPr>
        <w:t xml:space="preserve">; </w:t>
      </w:r>
      <w:proofErr w:type="spellStart"/>
      <w:r w:rsidR="00887F9C" w:rsidRPr="009059A6">
        <w:rPr>
          <w:rFonts w:ascii="Times New Roman" w:hAnsi="Times New Roman" w:cs="Times New Roman"/>
          <w:sz w:val="22"/>
          <w:szCs w:val="22"/>
        </w:rPr>
        <w:t>GuruFocus</w:t>
      </w:r>
      <w:proofErr w:type="spellEnd"/>
      <w:r w:rsidR="00887F9C" w:rsidRPr="009059A6">
        <w:rPr>
          <w:rFonts w:ascii="Times New Roman" w:hAnsi="Times New Roman" w:cs="Times New Roman"/>
          <w:sz w:val="22"/>
          <w:szCs w:val="22"/>
        </w:rPr>
        <w:t xml:space="preserve"> Research, 2024</w:t>
      </w:r>
      <w:r w:rsidR="00BC406D" w:rsidRPr="007D737D">
        <w:rPr>
          <w:rFonts w:ascii="Times New Roman" w:hAnsi="Times New Roman" w:cs="Times New Roman"/>
          <w:sz w:val="22"/>
          <w:szCs w:val="22"/>
        </w:rPr>
        <w:t>).</w:t>
      </w:r>
    </w:p>
    <w:tbl>
      <w:tblPr>
        <w:tblStyle w:val="TableGrid"/>
        <w:tblW w:w="12021" w:type="dxa"/>
        <w:tblLook w:val="04A0" w:firstRow="1" w:lastRow="0" w:firstColumn="1" w:lastColumn="0" w:noHBand="0" w:noVBand="1"/>
      </w:tblPr>
      <w:tblGrid>
        <w:gridCol w:w="3005"/>
        <w:gridCol w:w="3005"/>
        <w:gridCol w:w="3005"/>
        <w:gridCol w:w="3006"/>
      </w:tblGrid>
      <w:tr w:rsidR="00D2089D" w:rsidRPr="007D737D" w14:paraId="5F50162E" w14:textId="77777777" w:rsidTr="00D2089D">
        <w:tc>
          <w:tcPr>
            <w:tcW w:w="3005" w:type="dxa"/>
            <w:vAlign w:val="center"/>
          </w:tcPr>
          <w:p w14:paraId="423F6A8B" w14:textId="5FA63B8E"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Political</w:t>
            </w:r>
          </w:p>
        </w:tc>
        <w:tc>
          <w:tcPr>
            <w:tcW w:w="3005" w:type="dxa"/>
            <w:vAlign w:val="center"/>
          </w:tcPr>
          <w:p w14:paraId="15E72147" w14:textId="0747B2E5"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Economic</w:t>
            </w:r>
          </w:p>
        </w:tc>
        <w:tc>
          <w:tcPr>
            <w:tcW w:w="3005" w:type="dxa"/>
            <w:vAlign w:val="center"/>
          </w:tcPr>
          <w:p w14:paraId="5EF45EE8" w14:textId="64A6BBC7"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Social</w:t>
            </w:r>
          </w:p>
        </w:tc>
        <w:tc>
          <w:tcPr>
            <w:tcW w:w="3006" w:type="dxa"/>
          </w:tcPr>
          <w:p w14:paraId="410E5E9A"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3265409B" w14:textId="77777777" w:rsidTr="00D2089D">
        <w:tc>
          <w:tcPr>
            <w:tcW w:w="3005" w:type="dxa"/>
            <w:vAlign w:val="center"/>
          </w:tcPr>
          <w:p w14:paraId="296B6487" w14:textId="6B7EB129"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Government regulations on data privacy</w:t>
            </w:r>
          </w:p>
        </w:tc>
        <w:tc>
          <w:tcPr>
            <w:tcW w:w="3005" w:type="dxa"/>
            <w:vAlign w:val="center"/>
          </w:tcPr>
          <w:p w14:paraId="17FC45BE" w14:textId="765F5300"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Global economic growth trends</w:t>
            </w:r>
          </w:p>
        </w:tc>
        <w:tc>
          <w:tcPr>
            <w:tcW w:w="3005" w:type="dxa"/>
            <w:vAlign w:val="center"/>
          </w:tcPr>
          <w:p w14:paraId="440C546D" w14:textId="4200106D"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Changing consumer preferences towards digital payments</w:t>
            </w:r>
          </w:p>
        </w:tc>
        <w:tc>
          <w:tcPr>
            <w:tcW w:w="3006" w:type="dxa"/>
          </w:tcPr>
          <w:p w14:paraId="6667AD03"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3399673D" w14:textId="77777777" w:rsidTr="00D2089D">
        <w:tc>
          <w:tcPr>
            <w:tcW w:w="3005" w:type="dxa"/>
            <w:vAlign w:val="center"/>
          </w:tcPr>
          <w:p w14:paraId="7F82E8EA" w14:textId="1782EEF5"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Cross-border transaction policies</w:t>
            </w:r>
          </w:p>
        </w:tc>
        <w:tc>
          <w:tcPr>
            <w:tcW w:w="3005" w:type="dxa"/>
            <w:vAlign w:val="center"/>
          </w:tcPr>
          <w:p w14:paraId="5C2E4D25" w14:textId="1515D9D0"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Foreign exchange fluctuations</w:t>
            </w:r>
          </w:p>
        </w:tc>
        <w:tc>
          <w:tcPr>
            <w:tcW w:w="3005" w:type="dxa"/>
            <w:vAlign w:val="center"/>
          </w:tcPr>
          <w:p w14:paraId="77527342" w14:textId="0251CBDF"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Increasing financial inclusion initiatives</w:t>
            </w:r>
          </w:p>
        </w:tc>
        <w:tc>
          <w:tcPr>
            <w:tcW w:w="3006" w:type="dxa"/>
          </w:tcPr>
          <w:p w14:paraId="59127182"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22FC420A" w14:textId="77777777" w:rsidTr="00D2089D">
        <w:tc>
          <w:tcPr>
            <w:tcW w:w="3005" w:type="dxa"/>
            <w:vAlign w:val="center"/>
          </w:tcPr>
          <w:p w14:paraId="31D78CF1" w14:textId="1706CC2F"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Antitrust scrutiny</w:t>
            </w:r>
          </w:p>
        </w:tc>
        <w:tc>
          <w:tcPr>
            <w:tcW w:w="3005" w:type="dxa"/>
            <w:vAlign w:val="center"/>
          </w:tcPr>
          <w:p w14:paraId="3546CB86" w14:textId="7AD3D3F5"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Interest rate environment</w:t>
            </w:r>
          </w:p>
        </w:tc>
        <w:tc>
          <w:tcPr>
            <w:tcW w:w="3005" w:type="dxa"/>
            <w:vAlign w:val="center"/>
          </w:tcPr>
          <w:p w14:paraId="77FAA293" w14:textId="2B774748"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Demographic shifts towards younger, tech-savvy consumers</w:t>
            </w:r>
          </w:p>
        </w:tc>
        <w:tc>
          <w:tcPr>
            <w:tcW w:w="3006" w:type="dxa"/>
          </w:tcPr>
          <w:p w14:paraId="305E0BED"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0432B92C" w14:textId="77777777" w:rsidTr="00D2089D">
        <w:tc>
          <w:tcPr>
            <w:tcW w:w="3005" w:type="dxa"/>
          </w:tcPr>
          <w:p w14:paraId="46D49743" w14:textId="77777777" w:rsidR="00D2089D" w:rsidRPr="007D737D" w:rsidRDefault="00D2089D" w:rsidP="007D737D">
            <w:pPr>
              <w:spacing w:line="360" w:lineRule="auto"/>
              <w:rPr>
                <w:rFonts w:ascii="Times New Roman" w:hAnsi="Times New Roman" w:cs="Times New Roman"/>
                <w:b/>
                <w:bCs/>
                <w:sz w:val="22"/>
                <w:szCs w:val="22"/>
              </w:rPr>
            </w:pPr>
          </w:p>
        </w:tc>
        <w:tc>
          <w:tcPr>
            <w:tcW w:w="3005" w:type="dxa"/>
          </w:tcPr>
          <w:p w14:paraId="64BBC998" w14:textId="77777777" w:rsidR="00D2089D" w:rsidRPr="007D737D" w:rsidRDefault="00D2089D" w:rsidP="007D737D">
            <w:pPr>
              <w:spacing w:line="360" w:lineRule="auto"/>
              <w:rPr>
                <w:rFonts w:ascii="Times New Roman" w:hAnsi="Times New Roman" w:cs="Times New Roman"/>
                <w:b/>
                <w:bCs/>
                <w:sz w:val="22"/>
                <w:szCs w:val="22"/>
              </w:rPr>
            </w:pPr>
          </w:p>
        </w:tc>
        <w:tc>
          <w:tcPr>
            <w:tcW w:w="3005" w:type="dxa"/>
          </w:tcPr>
          <w:p w14:paraId="1331A769" w14:textId="77777777" w:rsidR="00D2089D" w:rsidRPr="007D737D" w:rsidRDefault="00D2089D" w:rsidP="007D737D">
            <w:pPr>
              <w:spacing w:line="360" w:lineRule="auto"/>
              <w:rPr>
                <w:rFonts w:ascii="Times New Roman" w:hAnsi="Times New Roman" w:cs="Times New Roman"/>
                <w:b/>
                <w:bCs/>
                <w:sz w:val="22"/>
                <w:szCs w:val="22"/>
              </w:rPr>
            </w:pPr>
          </w:p>
        </w:tc>
        <w:tc>
          <w:tcPr>
            <w:tcW w:w="3006" w:type="dxa"/>
          </w:tcPr>
          <w:p w14:paraId="6782137E"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0AF164F8" w14:textId="77777777" w:rsidTr="004F77AF">
        <w:tc>
          <w:tcPr>
            <w:tcW w:w="3005" w:type="dxa"/>
            <w:vAlign w:val="center"/>
          </w:tcPr>
          <w:p w14:paraId="008D73B0" w14:textId="3ABF840F"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Technological</w:t>
            </w:r>
          </w:p>
        </w:tc>
        <w:tc>
          <w:tcPr>
            <w:tcW w:w="3005" w:type="dxa"/>
            <w:vAlign w:val="center"/>
          </w:tcPr>
          <w:p w14:paraId="4D9BD59E" w14:textId="603A15FA"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Environmental</w:t>
            </w:r>
          </w:p>
        </w:tc>
        <w:tc>
          <w:tcPr>
            <w:tcW w:w="3005" w:type="dxa"/>
            <w:vAlign w:val="center"/>
          </w:tcPr>
          <w:p w14:paraId="6E5EEE75" w14:textId="2F6A128E"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b/>
                <w:bCs/>
                <w:sz w:val="22"/>
                <w:szCs w:val="22"/>
              </w:rPr>
              <w:t>Legal</w:t>
            </w:r>
          </w:p>
        </w:tc>
        <w:tc>
          <w:tcPr>
            <w:tcW w:w="3006" w:type="dxa"/>
          </w:tcPr>
          <w:p w14:paraId="266BA6F9"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58450B8B" w14:textId="77777777" w:rsidTr="004F77AF">
        <w:tc>
          <w:tcPr>
            <w:tcW w:w="3005" w:type="dxa"/>
            <w:vAlign w:val="center"/>
          </w:tcPr>
          <w:p w14:paraId="48DD0F0E" w14:textId="1356994C"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Advancements in AI and machine learning</w:t>
            </w:r>
          </w:p>
        </w:tc>
        <w:tc>
          <w:tcPr>
            <w:tcW w:w="3005" w:type="dxa"/>
            <w:vAlign w:val="center"/>
          </w:tcPr>
          <w:p w14:paraId="639776A2" w14:textId="7C43A590"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Pressure for sustainable business practices</w:t>
            </w:r>
          </w:p>
        </w:tc>
        <w:tc>
          <w:tcPr>
            <w:tcW w:w="3005" w:type="dxa"/>
            <w:vAlign w:val="center"/>
          </w:tcPr>
          <w:p w14:paraId="44AF09EE" w14:textId="4A3384EA"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Data protection laws (e.g., GDPR)</w:t>
            </w:r>
          </w:p>
        </w:tc>
        <w:tc>
          <w:tcPr>
            <w:tcW w:w="3006" w:type="dxa"/>
          </w:tcPr>
          <w:p w14:paraId="169B20C6"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0636D455" w14:textId="77777777" w:rsidTr="004F77AF">
        <w:tc>
          <w:tcPr>
            <w:tcW w:w="3005" w:type="dxa"/>
            <w:vAlign w:val="center"/>
          </w:tcPr>
          <w:p w14:paraId="0D943E73" w14:textId="357EEBBC"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lastRenderedPageBreak/>
              <w:t>- Blockchain and cryptocurrency developments</w:t>
            </w:r>
          </w:p>
        </w:tc>
        <w:tc>
          <w:tcPr>
            <w:tcW w:w="3005" w:type="dxa"/>
            <w:vAlign w:val="center"/>
          </w:tcPr>
          <w:p w14:paraId="0B2C7B7A" w14:textId="61266642"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Shift towards paperless transactions</w:t>
            </w:r>
          </w:p>
        </w:tc>
        <w:tc>
          <w:tcPr>
            <w:tcW w:w="3005" w:type="dxa"/>
            <w:vAlign w:val="center"/>
          </w:tcPr>
          <w:p w14:paraId="4489A58D" w14:textId="192DDF73" w:rsidR="00D2089D" w:rsidRPr="007D737D" w:rsidRDefault="00D2089D" w:rsidP="007D737D">
            <w:pPr>
              <w:spacing w:line="360" w:lineRule="auto"/>
              <w:rPr>
                <w:rFonts w:ascii="Times New Roman" w:hAnsi="Times New Roman" w:cs="Times New Roman"/>
                <w:b/>
                <w:bCs/>
                <w:sz w:val="22"/>
                <w:szCs w:val="22"/>
              </w:rPr>
            </w:pPr>
            <w:r w:rsidRPr="007D737D">
              <w:rPr>
                <w:rFonts w:ascii="Times New Roman" w:hAnsi="Times New Roman" w:cs="Times New Roman"/>
                <w:sz w:val="22"/>
                <w:szCs w:val="22"/>
              </w:rPr>
              <w:t>- Antitrust regulations</w:t>
            </w:r>
          </w:p>
        </w:tc>
        <w:tc>
          <w:tcPr>
            <w:tcW w:w="3006" w:type="dxa"/>
          </w:tcPr>
          <w:p w14:paraId="7012398D" w14:textId="77777777" w:rsidR="00D2089D" w:rsidRPr="007D737D" w:rsidRDefault="00D2089D" w:rsidP="007D737D">
            <w:pPr>
              <w:spacing w:line="360" w:lineRule="auto"/>
              <w:rPr>
                <w:rFonts w:ascii="Times New Roman" w:hAnsi="Times New Roman" w:cs="Times New Roman"/>
                <w:b/>
                <w:bCs/>
                <w:sz w:val="22"/>
                <w:szCs w:val="22"/>
              </w:rPr>
            </w:pPr>
          </w:p>
        </w:tc>
      </w:tr>
      <w:tr w:rsidR="00D2089D" w:rsidRPr="007D737D" w14:paraId="1820EB52" w14:textId="77777777" w:rsidTr="004F77AF">
        <w:tc>
          <w:tcPr>
            <w:tcW w:w="3005" w:type="dxa"/>
            <w:vAlign w:val="center"/>
          </w:tcPr>
          <w:p w14:paraId="002B5ABA" w14:textId="41F066FB"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- 5G network expansion</w:t>
            </w:r>
          </w:p>
        </w:tc>
        <w:tc>
          <w:tcPr>
            <w:tcW w:w="3005" w:type="dxa"/>
            <w:vAlign w:val="center"/>
          </w:tcPr>
          <w:p w14:paraId="1A443BE8" w14:textId="35DC05FE"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xml:space="preserve">- Energy efficiency in data </w:t>
            </w:r>
            <w:r w:rsidR="00541F50" w:rsidRPr="007D737D">
              <w:rPr>
                <w:rFonts w:ascii="Times New Roman" w:hAnsi="Times New Roman" w:cs="Times New Roman"/>
                <w:sz w:val="22"/>
                <w:szCs w:val="22"/>
              </w:rPr>
              <w:t>centres</w:t>
            </w:r>
          </w:p>
        </w:tc>
        <w:tc>
          <w:tcPr>
            <w:tcW w:w="3005" w:type="dxa"/>
            <w:vAlign w:val="center"/>
          </w:tcPr>
          <w:p w14:paraId="46BAFECF" w14:textId="53BC58A1" w:rsidR="00D2089D" w:rsidRPr="007D737D" w:rsidRDefault="00D2089D" w:rsidP="007D737D">
            <w:pPr>
              <w:spacing w:line="360" w:lineRule="auto"/>
              <w:rPr>
                <w:rFonts w:ascii="Times New Roman" w:hAnsi="Times New Roman" w:cs="Times New Roman"/>
                <w:sz w:val="22"/>
                <w:szCs w:val="22"/>
              </w:rPr>
            </w:pPr>
            <w:r w:rsidRPr="007D737D">
              <w:rPr>
                <w:rFonts w:ascii="Times New Roman" w:hAnsi="Times New Roman" w:cs="Times New Roman"/>
                <w:sz w:val="22"/>
                <w:szCs w:val="22"/>
              </w:rPr>
              <w:t>- Intellectual property rights</w:t>
            </w:r>
          </w:p>
        </w:tc>
        <w:tc>
          <w:tcPr>
            <w:tcW w:w="3006" w:type="dxa"/>
          </w:tcPr>
          <w:p w14:paraId="0ECE3701" w14:textId="77777777" w:rsidR="00D2089D" w:rsidRPr="007D737D" w:rsidRDefault="00D2089D" w:rsidP="007D737D">
            <w:pPr>
              <w:spacing w:line="360" w:lineRule="auto"/>
              <w:rPr>
                <w:rFonts w:ascii="Times New Roman" w:hAnsi="Times New Roman" w:cs="Times New Roman"/>
                <w:b/>
                <w:bCs/>
                <w:sz w:val="22"/>
                <w:szCs w:val="22"/>
              </w:rPr>
            </w:pPr>
          </w:p>
        </w:tc>
      </w:tr>
    </w:tbl>
    <w:p w14:paraId="18D27752" w14:textId="77777777" w:rsidR="005B0C75" w:rsidRPr="004A6373" w:rsidRDefault="005B0C75" w:rsidP="007D737D">
      <w:pPr>
        <w:spacing w:line="360" w:lineRule="auto"/>
        <w:rPr>
          <w:rFonts w:ascii="Times New Roman" w:hAnsi="Times New Roman" w:cs="Times New Roman"/>
          <w:b/>
          <w:bCs/>
          <w:sz w:val="28"/>
          <w:szCs w:val="28"/>
        </w:rPr>
      </w:pPr>
    </w:p>
    <w:p w14:paraId="0FCBEC0E" w14:textId="77777777" w:rsidR="00661E03" w:rsidRPr="005B2EF3" w:rsidRDefault="00661E03" w:rsidP="007D737D">
      <w:pPr>
        <w:spacing w:line="360" w:lineRule="auto"/>
        <w:rPr>
          <w:rFonts w:ascii="Times New Roman" w:hAnsi="Times New Roman" w:cs="Times New Roman"/>
          <w:vanish/>
          <w:sz w:val="22"/>
          <w:szCs w:val="22"/>
        </w:rPr>
      </w:pPr>
    </w:p>
    <w:p w14:paraId="1B2F2AF4" w14:textId="43D06E71" w:rsidR="00661E03" w:rsidRPr="007D737D" w:rsidRDefault="00661E03" w:rsidP="007D737D">
      <w:pPr>
        <w:spacing w:line="360" w:lineRule="auto"/>
        <w:rPr>
          <w:rFonts w:ascii="Times New Roman" w:hAnsi="Times New Roman" w:cs="Times New Roman"/>
          <w:b/>
          <w:bCs/>
          <w:sz w:val="22"/>
          <w:szCs w:val="22"/>
        </w:rPr>
      </w:pPr>
      <w:r w:rsidRPr="005B2EF3">
        <w:rPr>
          <w:rFonts w:ascii="Times New Roman" w:hAnsi="Times New Roman" w:cs="Times New Roman"/>
          <w:b/>
          <w:bCs/>
          <w:sz w:val="22"/>
          <w:szCs w:val="22"/>
        </w:rPr>
        <w:t>8. Competitive Environment Analysis</w:t>
      </w:r>
      <w:r w:rsidR="00813AF4" w:rsidRPr="007D737D">
        <w:rPr>
          <w:rFonts w:ascii="Times New Roman" w:hAnsi="Times New Roman" w:cs="Times New Roman"/>
          <w:b/>
          <w:bCs/>
          <w:sz w:val="22"/>
          <w:szCs w:val="22"/>
        </w:rPr>
        <w:t xml:space="preserve"> </w:t>
      </w:r>
      <w:r w:rsidR="00813AF4" w:rsidRPr="009059A6">
        <w:rPr>
          <w:rFonts w:ascii="Times New Roman" w:hAnsi="Times New Roman" w:cs="Times New Roman"/>
          <w:sz w:val="22"/>
          <w:szCs w:val="22"/>
        </w:rPr>
        <w:t>(Benzinga Insights, 2024).</w:t>
      </w:r>
    </w:p>
    <w:tbl>
      <w:tblPr>
        <w:tblStyle w:val="TableGrid"/>
        <w:tblW w:w="9936" w:type="dxa"/>
        <w:tblLook w:val="04A0" w:firstRow="1" w:lastRow="0" w:firstColumn="1" w:lastColumn="0" w:noHBand="0" w:noVBand="1"/>
      </w:tblPr>
      <w:tblGrid>
        <w:gridCol w:w="1992"/>
        <w:gridCol w:w="835"/>
        <w:gridCol w:w="834"/>
        <w:gridCol w:w="834"/>
        <w:gridCol w:w="1054"/>
        <w:gridCol w:w="1485"/>
        <w:gridCol w:w="1485"/>
        <w:gridCol w:w="1417"/>
      </w:tblGrid>
      <w:tr w:rsidR="00666791" w:rsidRPr="007D737D" w14:paraId="5354FA08" w14:textId="77777777" w:rsidTr="00666791">
        <w:trPr>
          <w:trHeight w:val="1423"/>
        </w:trPr>
        <w:tc>
          <w:tcPr>
            <w:tcW w:w="1942" w:type="dxa"/>
          </w:tcPr>
          <w:p w14:paraId="1B3FC88E" w14:textId="5219FE55" w:rsidR="00E82EC3" w:rsidRPr="007D737D" w:rsidRDefault="00E82EC3" w:rsidP="007D737D">
            <w:pPr>
              <w:spacing w:line="360" w:lineRule="auto"/>
              <w:rPr>
                <w:rFonts w:ascii="Times New Roman" w:hAnsi="Times New Roman" w:cs="Times New Roman"/>
                <w:b/>
                <w:bCs/>
                <w:sz w:val="22"/>
                <w:szCs w:val="22"/>
              </w:rPr>
            </w:pPr>
            <w:r w:rsidRPr="007D737D">
              <w:rPr>
                <w:rFonts w:ascii="Times New Roman" w:eastAsia="Times New Roman" w:hAnsi="Times New Roman" w:cs="Times New Roman"/>
                <w:b/>
                <w:bCs/>
                <w:caps/>
                <w:color w:val="08062A"/>
                <w:kern w:val="0"/>
                <w:sz w:val="22"/>
                <w:szCs w:val="22"/>
                <w:lang w:eastAsia="en-GB"/>
                <w14:ligatures w14:val="none"/>
              </w:rPr>
              <w:t>C</w:t>
            </w:r>
            <w:r w:rsidRPr="00E82EC3">
              <w:rPr>
                <w:rFonts w:ascii="Times New Roman" w:eastAsia="Times New Roman" w:hAnsi="Times New Roman" w:cs="Times New Roman"/>
                <w:b/>
                <w:bCs/>
                <w:caps/>
                <w:color w:val="08062A"/>
                <w:kern w:val="0"/>
                <w:sz w:val="22"/>
                <w:szCs w:val="22"/>
                <w:lang w:eastAsia="en-GB"/>
                <w14:ligatures w14:val="none"/>
              </w:rPr>
              <w:t>ompany</w:t>
            </w:r>
          </w:p>
        </w:tc>
        <w:tc>
          <w:tcPr>
            <w:tcW w:w="841" w:type="dxa"/>
          </w:tcPr>
          <w:p w14:paraId="78FDB830" w14:textId="442C9E32"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P/E</w:t>
            </w:r>
          </w:p>
        </w:tc>
        <w:tc>
          <w:tcPr>
            <w:tcW w:w="841" w:type="dxa"/>
          </w:tcPr>
          <w:p w14:paraId="38900A04" w14:textId="7EBDCDCF"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P/B</w:t>
            </w:r>
          </w:p>
        </w:tc>
        <w:tc>
          <w:tcPr>
            <w:tcW w:w="841" w:type="dxa"/>
          </w:tcPr>
          <w:p w14:paraId="08DD099B" w14:textId="528D82BF"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P/S</w:t>
            </w:r>
          </w:p>
        </w:tc>
        <w:tc>
          <w:tcPr>
            <w:tcW w:w="1063" w:type="dxa"/>
          </w:tcPr>
          <w:p w14:paraId="22C64418" w14:textId="19DDBFAB"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ROE</w:t>
            </w:r>
          </w:p>
        </w:tc>
        <w:tc>
          <w:tcPr>
            <w:tcW w:w="1492" w:type="dxa"/>
          </w:tcPr>
          <w:p w14:paraId="2B2F1CD2" w14:textId="6B0EB446"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EBITDA (in billions)</w:t>
            </w:r>
          </w:p>
        </w:tc>
        <w:tc>
          <w:tcPr>
            <w:tcW w:w="1492" w:type="dxa"/>
          </w:tcPr>
          <w:p w14:paraId="49715E6F" w14:textId="2E26C144"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Gross Profit (in billions)</w:t>
            </w:r>
          </w:p>
        </w:tc>
        <w:tc>
          <w:tcPr>
            <w:tcW w:w="1424" w:type="dxa"/>
          </w:tcPr>
          <w:p w14:paraId="1D40A05E" w14:textId="1FD10D78" w:rsidR="00E82EC3" w:rsidRPr="007D737D" w:rsidRDefault="00E82EC3" w:rsidP="007D737D">
            <w:pPr>
              <w:spacing w:line="360" w:lineRule="auto"/>
              <w:rPr>
                <w:rFonts w:ascii="Times New Roman" w:hAnsi="Times New Roman" w:cs="Times New Roman"/>
                <w:b/>
                <w:bCs/>
                <w:sz w:val="22"/>
                <w:szCs w:val="22"/>
              </w:rPr>
            </w:pPr>
            <w:r w:rsidRPr="00E82EC3">
              <w:rPr>
                <w:rFonts w:ascii="Times New Roman" w:eastAsia="Times New Roman" w:hAnsi="Times New Roman" w:cs="Times New Roman"/>
                <w:b/>
                <w:bCs/>
                <w:caps/>
                <w:color w:val="08062A"/>
                <w:kern w:val="0"/>
                <w:sz w:val="22"/>
                <w:szCs w:val="22"/>
                <w:lang w:eastAsia="en-GB"/>
                <w14:ligatures w14:val="none"/>
              </w:rPr>
              <w:t>Revenue Growth</w:t>
            </w:r>
          </w:p>
        </w:tc>
      </w:tr>
      <w:tr w:rsidR="00916F1B" w:rsidRPr="007D737D" w14:paraId="696E8D14" w14:textId="77777777" w:rsidTr="00666791">
        <w:trPr>
          <w:trHeight w:val="361"/>
        </w:trPr>
        <w:tc>
          <w:tcPr>
            <w:tcW w:w="0" w:type="auto"/>
            <w:noWrap/>
            <w:hideMark/>
          </w:tcPr>
          <w:p w14:paraId="5A9FBFED" w14:textId="0B3B4610"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Visa Inc</w:t>
            </w:r>
          </w:p>
        </w:tc>
        <w:tc>
          <w:tcPr>
            <w:tcW w:w="0" w:type="auto"/>
            <w:noWrap/>
            <w:hideMark/>
          </w:tcPr>
          <w:p w14:paraId="3D92BB64" w14:textId="7D39BFC4"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30.70</w:t>
            </w:r>
          </w:p>
        </w:tc>
        <w:tc>
          <w:tcPr>
            <w:tcW w:w="0" w:type="auto"/>
            <w:noWrap/>
            <w:hideMark/>
          </w:tcPr>
          <w:p w14:paraId="412BD26E" w14:textId="36657F04"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14.21</w:t>
            </w:r>
          </w:p>
        </w:tc>
        <w:tc>
          <w:tcPr>
            <w:tcW w:w="0" w:type="auto"/>
            <w:noWrap/>
            <w:hideMark/>
          </w:tcPr>
          <w:p w14:paraId="49349D67" w14:textId="518F434A"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16.54</w:t>
            </w:r>
          </w:p>
        </w:tc>
        <w:tc>
          <w:tcPr>
            <w:tcW w:w="0" w:type="auto"/>
            <w:noWrap/>
            <w:hideMark/>
          </w:tcPr>
          <w:p w14:paraId="02875149" w14:textId="4EBA6FDB"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11.86%</w:t>
            </w:r>
          </w:p>
        </w:tc>
        <w:tc>
          <w:tcPr>
            <w:tcW w:w="0" w:type="auto"/>
            <w:noWrap/>
            <w:hideMark/>
          </w:tcPr>
          <w:p w14:paraId="1C462155" w14:textId="09BF5378"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$5.84</w:t>
            </w:r>
          </w:p>
        </w:tc>
        <w:tc>
          <w:tcPr>
            <w:tcW w:w="0" w:type="auto"/>
            <w:noWrap/>
            <w:hideMark/>
          </w:tcPr>
          <w:p w14:paraId="49797C1E" w14:textId="55F955DE"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$6.98</w:t>
            </w:r>
          </w:p>
        </w:tc>
        <w:tc>
          <w:tcPr>
            <w:tcW w:w="0" w:type="auto"/>
            <w:noWrap/>
            <w:hideMark/>
          </w:tcPr>
          <w:p w14:paraId="549B6B41" w14:textId="54AADB21" w:rsidR="00E82EC3" w:rsidRPr="00E82EC3" w:rsidRDefault="00E82EC3" w:rsidP="007D737D">
            <w:pPr>
              <w:spacing w:line="360" w:lineRule="auto"/>
              <w:rPr>
                <w:rFonts w:ascii="Times New Roman" w:eastAsia="Times New Roman" w:hAnsi="Times New Roman" w:cs="Times New Roman"/>
                <w:caps/>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9.89%</w:t>
            </w:r>
          </w:p>
        </w:tc>
      </w:tr>
      <w:tr w:rsidR="00916F1B" w:rsidRPr="007D737D" w14:paraId="3CF0ACEE" w14:textId="77777777" w:rsidTr="00666791">
        <w:trPr>
          <w:trHeight w:val="350"/>
        </w:trPr>
        <w:tc>
          <w:tcPr>
            <w:tcW w:w="0" w:type="auto"/>
            <w:hideMark/>
          </w:tcPr>
          <w:p w14:paraId="51272AC1" w14:textId="1AF8A1E4"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Mastercard Inc</w:t>
            </w:r>
          </w:p>
        </w:tc>
        <w:tc>
          <w:tcPr>
            <w:tcW w:w="0" w:type="auto"/>
            <w:noWrap/>
            <w:hideMark/>
          </w:tcPr>
          <w:p w14:paraId="66A01CEE" w14:textId="4F879E92"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35.86</w:t>
            </w:r>
          </w:p>
        </w:tc>
        <w:tc>
          <w:tcPr>
            <w:tcW w:w="0" w:type="auto"/>
            <w:noWrap/>
            <w:hideMark/>
          </w:tcPr>
          <w:p w14:paraId="2782C91A" w14:textId="12132335"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57.91</w:t>
            </w:r>
          </w:p>
        </w:tc>
        <w:tc>
          <w:tcPr>
            <w:tcW w:w="0" w:type="auto"/>
            <w:noWrap/>
            <w:hideMark/>
          </w:tcPr>
          <w:p w14:paraId="5F69C0D6" w14:textId="6FE6B1BA"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16.52</w:t>
            </w:r>
          </w:p>
        </w:tc>
        <w:tc>
          <w:tcPr>
            <w:tcW w:w="0" w:type="auto"/>
            <w:noWrap/>
            <w:hideMark/>
          </w:tcPr>
          <w:p w14:paraId="7717BC23" w14:textId="417943D1"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42.49%</w:t>
            </w:r>
          </w:p>
        </w:tc>
        <w:tc>
          <w:tcPr>
            <w:tcW w:w="0" w:type="auto"/>
            <w:noWrap/>
            <w:hideMark/>
          </w:tcPr>
          <w:p w14:paraId="64998838" w14:textId="75F0C5FD"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$3.92</w:t>
            </w:r>
          </w:p>
        </w:tc>
        <w:tc>
          <w:tcPr>
            <w:tcW w:w="0" w:type="auto"/>
            <w:noWrap/>
            <w:hideMark/>
          </w:tcPr>
          <w:p w14:paraId="710BAFC5" w14:textId="60F602CC"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$4.83</w:t>
            </w:r>
          </w:p>
        </w:tc>
        <w:tc>
          <w:tcPr>
            <w:tcW w:w="0" w:type="auto"/>
            <w:noWrap/>
            <w:hideMark/>
          </w:tcPr>
          <w:p w14:paraId="68631A31" w14:textId="2B974026" w:rsidR="00E82EC3" w:rsidRPr="00E82EC3" w:rsidRDefault="00E82EC3" w:rsidP="007D737D">
            <w:pPr>
              <w:spacing w:line="360" w:lineRule="auto"/>
              <w:rPr>
                <w:rFonts w:ascii="Times New Roman" w:eastAsia="Times New Roman" w:hAnsi="Times New Roman" w:cs="Times New Roman"/>
                <w:color w:val="08062A"/>
                <w:kern w:val="0"/>
                <w:sz w:val="22"/>
                <w:szCs w:val="22"/>
                <w:lang w:eastAsia="en-GB"/>
                <w14:ligatures w14:val="none"/>
              </w:rPr>
            </w:pPr>
            <w:r w:rsidRPr="00E82EC3">
              <w:rPr>
                <w:rFonts w:ascii="Times New Roman" w:eastAsia="Times New Roman" w:hAnsi="Times New Roman" w:cs="Times New Roman"/>
                <w:color w:val="08062A"/>
                <w:kern w:val="0"/>
                <w:sz w:val="22"/>
                <w:szCs w:val="22"/>
                <w:lang w:eastAsia="en-GB"/>
                <w14:ligatures w14:val="none"/>
              </w:rPr>
              <w:t>10.44%</w:t>
            </w:r>
          </w:p>
        </w:tc>
      </w:tr>
      <w:tr w:rsidR="00916F1B" w:rsidRPr="007D737D" w14:paraId="3EE133F2" w14:textId="77777777" w:rsidTr="00666791">
        <w:trPr>
          <w:trHeight w:val="711"/>
        </w:trPr>
        <w:tc>
          <w:tcPr>
            <w:tcW w:w="0" w:type="auto"/>
            <w:hideMark/>
          </w:tcPr>
          <w:p w14:paraId="0DAC077F"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PayPal Holdings Inc</w:t>
            </w:r>
          </w:p>
        </w:tc>
        <w:tc>
          <w:tcPr>
            <w:tcW w:w="0" w:type="auto"/>
            <w:noWrap/>
            <w:hideMark/>
          </w:tcPr>
          <w:p w14:paraId="1BA849C3"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15.53</w:t>
            </w:r>
          </w:p>
        </w:tc>
        <w:tc>
          <w:tcPr>
            <w:tcW w:w="0" w:type="auto"/>
            <w:noWrap/>
            <w:hideMark/>
          </w:tcPr>
          <w:p w14:paraId="22228147"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3.11</w:t>
            </w:r>
          </w:p>
        </w:tc>
        <w:tc>
          <w:tcPr>
            <w:tcW w:w="0" w:type="auto"/>
            <w:noWrap/>
            <w:hideMark/>
          </w:tcPr>
          <w:p w14:paraId="20C6468E"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2.21</w:t>
            </w:r>
          </w:p>
        </w:tc>
        <w:tc>
          <w:tcPr>
            <w:tcW w:w="0" w:type="auto"/>
            <w:noWrap/>
            <w:hideMark/>
          </w:tcPr>
          <w:p w14:paraId="718D6D2E"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4.25%</w:t>
            </w:r>
          </w:p>
        </w:tc>
        <w:tc>
          <w:tcPr>
            <w:tcW w:w="0" w:type="auto"/>
            <w:noWrap/>
            <w:hideMark/>
          </w:tcPr>
          <w:p w14:paraId="59A2755F"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$1.56</w:t>
            </w:r>
          </w:p>
        </w:tc>
        <w:tc>
          <w:tcPr>
            <w:tcW w:w="0" w:type="auto"/>
            <w:noWrap/>
            <w:hideMark/>
          </w:tcPr>
          <w:p w14:paraId="487D9A7F"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$3.46</w:t>
            </w:r>
          </w:p>
        </w:tc>
        <w:tc>
          <w:tcPr>
            <w:tcW w:w="0" w:type="auto"/>
            <w:noWrap/>
            <w:hideMark/>
          </w:tcPr>
          <w:p w14:paraId="159CE3F0" w14:textId="77777777" w:rsidR="00D73322" w:rsidRPr="00D73322" w:rsidRDefault="00D73322" w:rsidP="007D737D">
            <w:pPr>
              <w:spacing w:line="360" w:lineRule="auto"/>
              <w:rPr>
                <w:rFonts w:ascii="Times New Roman" w:eastAsia="Times New Roman" w:hAnsi="Times New Roman" w:cs="Times New Roman"/>
                <w:color w:val="08062A"/>
                <w:kern w:val="0"/>
                <w:sz w:val="22"/>
                <w:szCs w:val="22"/>
                <w:lang w:eastAsia="en-GB"/>
                <w14:ligatures w14:val="none"/>
              </w:rPr>
            </w:pPr>
            <w:r w:rsidRPr="00D73322">
              <w:rPr>
                <w:rFonts w:ascii="Times New Roman" w:eastAsia="Times New Roman" w:hAnsi="Times New Roman" w:cs="Times New Roman"/>
                <w:color w:val="08062A"/>
                <w:kern w:val="0"/>
                <w:sz w:val="22"/>
                <w:szCs w:val="22"/>
                <w:lang w:eastAsia="en-GB"/>
                <w14:ligatures w14:val="none"/>
              </w:rPr>
              <w:t>9.36%</w:t>
            </w:r>
          </w:p>
        </w:tc>
      </w:tr>
    </w:tbl>
    <w:p w14:paraId="2B3E3CC6" w14:textId="77777777" w:rsidR="008165A3" w:rsidRPr="007D737D" w:rsidRDefault="008165A3" w:rsidP="007D737D">
      <w:pPr>
        <w:spacing w:line="360" w:lineRule="auto"/>
        <w:rPr>
          <w:rFonts w:ascii="Times New Roman" w:hAnsi="Times New Roman" w:cs="Times New Roman"/>
          <w:b/>
          <w:bCs/>
          <w:sz w:val="22"/>
          <w:szCs w:val="22"/>
        </w:rPr>
      </w:pPr>
    </w:p>
    <w:p w14:paraId="0E91DFCE" w14:textId="77777777" w:rsidR="00ED159A" w:rsidRPr="00ED159A" w:rsidRDefault="00ED159A" w:rsidP="007D737D">
      <w:pPr>
        <w:spacing w:line="360" w:lineRule="auto"/>
        <w:rPr>
          <w:rFonts w:ascii="Times New Roman" w:hAnsi="Times New Roman" w:cs="Times New Roman"/>
          <w:b/>
          <w:bCs/>
          <w:sz w:val="22"/>
          <w:szCs w:val="22"/>
          <w:lang w:eastAsia="en-GB"/>
        </w:rPr>
      </w:pPr>
      <w:r w:rsidRPr="00ED159A">
        <w:rPr>
          <w:rFonts w:ascii="Times New Roman" w:hAnsi="Times New Roman" w:cs="Times New Roman"/>
          <w:b/>
          <w:bCs/>
          <w:sz w:val="22"/>
          <w:szCs w:val="22"/>
          <w:lang w:eastAsia="en-GB"/>
        </w:rPr>
        <w:t>Analysis of Key Players</w:t>
      </w:r>
    </w:p>
    <w:p w14:paraId="0D4398B0" w14:textId="77777777" w:rsidR="00ED159A" w:rsidRPr="00ED159A" w:rsidRDefault="00ED159A" w:rsidP="007D737D">
      <w:pPr>
        <w:spacing w:line="360" w:lineRule="auto"/>
        <w:rPr>
          <w:rFonts w:ascii="Times New Roman" w:hAnsi="Times New Roman" w:cs="Times New Roman"/>
          <w:b/>
          <w:bCs/>
          <w:sz w:val="22"/>
          <w:szCs w:val="22"/>
          <w:lang w:eastAsia="en-GB"/>
        </w:rPr>
      </w:pPr>
      <w:r w:rsidRPr="00ED159A">
        <w:rPr>
          <w:rFonts w:ascii="Times New Roman" w:hAnsi="Times New Roman" w:cs="Times New Roman"/>
          <w:b/>
          <w:bCs/>
          <w:sz w:val="22"/>
          <w:szCs w:val="22"/>
          <w:lang w:eastAsia="en-GB"/>
        </w:rPr>
        <w:t>Visa Inc.</w:t>
      </w:r>
    </w:p>
    <w:p w14:paraId="754549E9" w14:textId="77777777" w:rsidR="00ED159A" w:rsidRPr="00ED159A" w:rsidRDefault="00ED159A" w:rsidP="00892245">
      <w:pPr>
        <w:spacing w:before="100" w:beforeAutospacing="1" w:after="100" w:afterAutospacing="1" w:line="360" w:lineRule="auto"/>
        <w:ind w:firstLine="360"/>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Performance</w:t>
      </w:r>
      <w:r w:rsidRPr="00ED159A">
        <w:rPr>
          <w:rFonts w:ascii="Times New Roman" w:eastAsia="Times New Roman" w:hAnsi="Times New Roman" w:cs="Times New Roman"/>
          <w:kern w:val="0"/>
          <w:sz w:val="22"/>
          <w:szCs w:val="22"/>
          <w:lang w:eastAsia="en-GB"/>
          <w14:ligatures w14:val="none"/>
        </w:rPr>
        <w:t xml:space="preserve">: </w:t>
      </w:r>
    </w:p>
    <w:p w14:paraId="7E3175C3" w14:textId="77777777" w:rsidR="00ED159A" w:rsidRPr="007D737D" w:rsidRDefault="00ED159A" w:rsidP="007D737D">
      <w:pPr>
        <w:pStyle w:val="ListParagraph"/>
        <w:numPr>
          <w:ilvl w:val="0"/>
          <w:numId w:val="19"/>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Strong financial performance with the highest EBITDA and gross profit among peers</w:t>
      </w:r>
    </w:p>
    <w:p w14:paraId="4A7FBF70" w14:textId="77777777" w:rsidR="00ED159A" w:rsidRPr="007D737D" w:rsidRDefault="00ED159A" w:rsidP="007D737D">
      <w:pPr>
        <w:pStyle w:val="ListParagraph"/>
        <w:numPr>
          <w:ilvl w:val="0"/>
          <w:numId w:val="19"/>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Solid revenue growth at 9.89%</w:t>
      </w:r>
    </w:p>
    <w:p w14:paraId="21E0006F" w14:textId="77777777" w:rsidR="00ED159A" w:rsidRPr="007D737D" w:rsidRDefault="00ED159A" w:rsidP="007D737D">
      <w:pPr>
        <w:pStyle w:val="ListParagraph"/>
        <w:numPr>
          <w:ilvl w:val="0"/>
          <w:numId w:val="19"/>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Moderate P/E ratio indicating balanced investor expectations</w:t>
      </w:r>
    </w:p>
    <w:p w14:paraId="297D6683" w14:textId="77777777" w:rsidR="00ED159A" w:rsidRPr="00ED159A" w:rsidRDefault="00ED159A" w:rsidP="00892245">
      <w:pPr>
        <w:spacing w:before="100" w:beforeAutospacing="1" w:after="100" w:afterAutospacing="1" w:line="360" w:lineRule="auto"/>
        <w:ind w:firstLine="360"/>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Key Strategies</w:t>
      </w:r>
      <w:r w:rsidRPr="00ED159A">
        <w:rPr>
          <w:rFonts w:ascii="Times New Roman" w:eastAsia="Times New Roman" w:hAnsi="Times New Roman" w:cs="Times New Roman"/>
          <w:kern w:val="0"/>
          <w:sz w:val="22"/>
          <w:szCs w:val="22"/>
          <w:lang w:eastAsia="en-GB"/>
          <w14:ligatures w14:val="none"/>
        </w:rPr>
        <w:t xml:space="preserve">: </w:t>
      </w:r>
    </w:p>
    <w:p w14:paraId="4AD26E4E" w14:textId="77777777" w:rsidR="00ED159A" w:rsidRPr="00ED159A" w:rsidRDefault="00ED159A" w:rsidP="007D737D">
      <w:pPr>
        <w:numPr>
          <w:ilvl w:val="0"/>
          <w:numId w:val="12"/>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Expansion into new payment flows (B2B, P2P)</w:t>
      </w:r>
    </w:p>
    <w:p w14:paraId="05DE8174" w14:textId="77777777" w:rsidR="00ED159A" w:rsidRPr="00ED159A" w:rsidRDefault="00ED159A" w:rsidP="007D737D">
      <w:pPr>
        <w:numPr>
          <w:ilvl w:val="0"/>
          <w:numId w:val="12"/>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Investment in cybersecurity and fraud prevention technologies</w:t>
      </w:r>
    </w:p>
    <w:p w14:paraId="4418EDD2" w14:textId="77777777" w:rsidR="00ED159A" w:rsidRPr="00ED159A" w:rsidRDefault="00ED159A" w:rsidP="007D737D">
      <w:pPr>
        <w:numPr>
          <w:ilvl w:val="0"/>
          <w:numId w:val="12"/>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Strategic partnerships with FinTech companies for innovation</w:t>
      </w:r>
    </w:p>
    <w:p w14:paraId="377C8940" w14:textId="73A040D0" w:rsidR="00D145B2" w:rsidRPr="007D737D" w:rsidRDefault="00ED159A" w:rsidP="007D737D">
      <w:pPr>
        <w:spacing w:line="360" w:lineRule="auto"/>
        <w:rPr>
          <w:rFonts w:ascii="Times New Roman" w:hAnsi="Times New Roman" w:cs="Times New Roman"/>
          <w:b/>
          <w:bCs/>
          <w:sz w:val="22"/>
          <w:szCs w:val="22"/>
        </w:rPr>
      </w:pPr>
      <w:r w:rsidRPr="00ED159A">
        <w:rPr>
          <w:rFonts w:ascii="Times New Roman" w:hAnsi="Times New Roman" w:cs="Times New Roman"/>
          <w:b/>
          <w:bCs/>
          <w:sz w:val="22"/>
          <w:szCs w:val="22"/>
          <w:lang w:eastAsia="en-GB"/>
        </w:rPr>
        <w:t>Mastercard Inc.</w:t>
      </w:r>
    </w:p>
    <w:p w14:paraId="355B5BB6" w14:textId="225BD163" w:rsidR="00ED159A" w:rsidRPr="00ED159A" w:rsidRDefault="00ED159A" w:rsidP="00892245">
      <w:pPr>
        <w:spacing w:line="360" w:lineRule="auto"/>
        <w:ind w:firstLine="360"/>
        <w:rPr>
          <w:rFonts w:ascii="Times New Roman" w:hAnsi="Times New Roman" w:cs="Times New Roman"/>
          <w:b/>
          <w:bCs/>
          <w:sz w:val="22"/>
          <w:szCs w:val="22"/>
          <w:lang w:eastAsia="en-GB"/>
        </w:rPr>
      </w:pPr>
      <w:r w:rsidRPr="00ED159A">
        <w:rPr>
          <w:rFonts w:ascii="Times New Roman" w:hAnsi="Times New Roman" w:cs="Times New Roman"/>
          <w:b/>
          <w:bCs/>
          <w:sz w:val="22"/>
          <w:szCs w:val="22"/>
          <w:lang w:eastAsia="en-GB"/>
        </w:rPr>
        <w:t xml:space="preserve">Performance: </w:t>
      </w:r>
    </w:p>
    <w:p w14:paraId="0CDA1C14" w14:textId="77777777" w:rsidR="00ED159A" w:rsidRPr="007D737D" w:rsidRDefault="00ED159A" w:rsidP="007D737D">
      <w:pPr>
        <w:pStyle w:val="ListParagraph"/>
        <w:numPr>
          <w:ilvl w:val="0"/>
          <w:numId w:val="13"/>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Highest revenue growth at 10.44%</w:t>
      </w:r>
    </w:p>
    <w:p w14:paraId="2673DF45" w14:textId="77777777" w:rsidR="00ED159A" w:rsidRPr="007D737D" w:rsidRDefault="00ED159A" w:rsidP="007D737D">
      <w:pPr>
        <w:pStyle w:val="ListParagraph"/>
        <w:numPr>
          <w:ilvl w:val="0"/>
          <w:numId w:val="13"/>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Exceptional ROE at 42.49%, indicating efficient use of equity</w:t>
      </w:r>
    </w:p>
    <w:p w14:paraId="1E4B855A" w14:textId="5BBA8CC1" w:rsidR="004052F2" w:rsidRPr="00433D87" w:rsidRDefault="00ED159A" w:rsidP="007D737D">
      <w:pPr>
        <w:pStyle w:val="ListParagraph"/>
        <w:numPr>
          <w:ilvl w:val="0"/>
          <w:numId w:val="13"/>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kern w:val="0"/>
          <w:sz w:val="22"/>
          <w:szCs w:val="22"/>
          <w:lang w:eastAsia="en-GB"/>
          <w14:ligatures w14:val="none"/>
        </w:rPr>
        <w:t>Highest P/E and P/B ratios, suggesting high investor expectations</w:t>
      </w:r>
    </w:p>
    <w:p w14:paraId="7BEF9B49" w14:textId="17BF3B1D" w:rsidR="00ED159A" w:rsidRPr="00ED159A" w:rsidRDefault="00ED159A" w:rsidP="00892245">
      <w:pPr>
        <w:spacing w:before="100" w:beforeAutospacing="1" w:after="100" w:afterAutospacing="1" w:line="360" w:lineRule="auto"/>
        <w:ind w:firstLine="360"/>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lastRenderedPageBreak/>
        <w:t>Key Strategies</w:t>
      </w:r>
      <w:r w:rsidRPr="00ED159A">
        <w:rPr>
          <w:rFonts w:ascii="Times New Roman" w:eastAsia="Times New Roman" w:hAnsi="Times New Roman" w:cs="Times New Roman"/>
          <w:kern w:val="0"/>
          <w:sz w:val="22"/>
          <w:szCs w:val="22"/>
          <w:lang w:eastAsia="en-GB"/>
          <w14:ligatures w14:val="none"/>
        </w:rPr>
        <w:t xml:space="preserve">: </w:t>
      </w:r>
    </w:p>
    <w:p w14:paraId="322536BB" w14:textId="77777777" w:rsidR="00ED159A" w:rsidRPr="00ED159A" w:rsidRDefault="00ED159A" w:rsidP="007D737D">
      <w:pPr>
        <w:numPr>
          <w:ilvl w:val="0"/>
          <w:numId w:val="14"/>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Emphasis on digital identity solutions</w:t>
      </w:r>
    </w:p>
    <w:p w14:paraId="58B17D79" w14:textId="77777777" w:rsidR="00ED159A" w:rsidRPr="00ED159A" w:rsidRDefault="00ED159A" w:rsidP="007D737D">
      <w:pPr>
        <w:numPr>
          <w:ilvl w:val="0"/>
          <w:numId w:val="14"/>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Aggressive expansion in emerging markets</w:t>
      </w:r>
    </w:p>
    <w:p w14:paraId="1FC578D9" w14:textId="0AC7337B" w:rsidR="00D145B2" w:rsidRPr="00F90CD7" w:rsidRDefault="00ED159A" w:rsidP="00F52882">
      <w:pPr>
        <w:pStyle w:val="ListParagraph"/>
        <w:numPr>
          <w:ilvl w:val="0"/>
          <w:numId w:val="14"/>
        </w:numPr>
        <w:rPr>
          <w:rFonts w:ascii="Times New Roman" w:hAnsi="Times New Roman" w:cs="Times New Roman"/>
          <w:sz w:val="22"/>
          <w:szCs w:val="22"/>
          <w:lang w:eastAsia="en-GB"/>
        </w:rPr>
      </w:pPr>
      <w:r w:rsidRPr="00F90CD7">
        <w:rPr>
          <w:rFonts w:ascii="Times New Roman" w:hAnsi="Times New Roman" w:cs="Times New Roman"/>
          <w:sz w:val="22"/>
          <w:szCs w:val="22"/>
          <w:lang w:eastAsia="en-GB"/>
        </w:rPr>
        <w:t>Focus on contactless payment technologies</w:t>
      </w:r>
    </w:p>
    <w:p w14:paraId="2AEC1F81" w14:textId="77777777" w:rsidR="00F52882" w:rsidRPr="00F52882" w:rsidRDefault="00F52882" w:rsidP="00F52882">
      <w:pPr>
        <w:pStyle w:val="ListParagraph"/>
        <w:rPr>
          <w:lang w:eastAsia="en-GB"/>
        </w:rPr>
      </w:pPr>
    </w:p>
    <w:p w14:paraId="20E81FA9" w14:textId="26D6F6C4" w:rsidR="00ED159A" w:rsidRPr="00ED159A" w:rsidRDefault="00ED159A" w:rsidP="007D737D">
      <w:pPr>
        <w:spacing w:line="360" w:lineRule="auto"/>
        <w:rPr>
          <w:rFonts w:ascii="Times New Roman" w:hAnsi="Times New Roman" w:cs="Times New Roman"/>
          <w:b/>
          <w:bCs/>
          <w:sz w:val="22"/>
          <w:szCs w:val="22"/>
          <w:lang w:eastAsia="en-GB"/>
        </w:rPr>
      </w:pPr>
      <w:r w:rsidRPr="00ED159A">
        <w:rPr>
          <w:rFonts w:ascii="Times New Roman" w:hAnsi="Times New Roman" w:cs="Times New Roman"/>
          <w:b/>
          <w:bCs/>
          <w:sz w:val="22"/>
          <w:szCs w:val="22"/>
          <w:lang w:eastAsia="en-GB"/>
        </w:rPr>
        <w:t>PayPal Holdings Inc.</w:t>
      </w:r>
    </w:p>
    <w:p w14:paraId="041349E0" w14:textId="1EEBA1A6" w:rsidR="00ED159A" w:rsidRPr="00ED159A" w:rsidRDefault="00D145B2" w:rsidP="00892245">
      <w:pPr>
        <w:spacing w:before="100" w:beforeAutospacing="1" w:after="100" w:afterAutospacing="1" w:line="360" w:lineRule="auto"/>
        <w:ind w:firstLine="360"/>
        <w:rPr>
          <w:rFonts w:ascii="Times New Roman" w:eastAsia="Times New Roman" w:hAnsi="Times New Roman" w:cs="Times New Roman"/>
          <w:kern w:val="0"/>
          <w:sz w:val="22"/>
          <w:szCs w:val="22"/>
          <w:lang w:eastAsia="en-GB"/>
          <w14:ligatures w14:val="none"/>
        </w:rPr>
      </w:pPr>
      <w:r w:rsidRPr="007D737D">
        <w:rPr>
          <w:rFonts w:ascii="Times New Roman" w:eastAsia="Times New Roman" w:hAnsi="Times New Roman" w:cs="Times New Roman"/>
          <w:b/>
          <w:bCs/>
          <w:kern w:val="0"/>
          <w:sz w:val="22"/>
          <w:szCs w:val="22"/>
          <w:lang w:eastAsia="en-GB"/>
          <w14:ligatures w14:val="none"/>
        </w:rPr>
        <w:t>P</w:t>
      </w:r>
      <w:r w:rsidR="00ED159A" w:rsidRPr="00ED159A">
        <w:rPr>
          <w:rFonts w:ascii="Times New Roman" w:eastAsia="Times New Roman" w:hAnsi="Times New Roman" w:cs="Times New Roman"/>
          <w:b/>
          <w:bCs/>
          <w:kern w:val="0"/>
          <w:sz w:val="22"/>
          <w:szCs w:val="22"/>
          <w:lang w:eastAsia="en-GB"/>
          <w14:ligatures w14:val="none"/>
        </w:rPr>
        <w:t>erformance</w:t>
      </w:r>
      <w:r w:rsidR="00ED159A" w:rsidRPr="00ED159A">
        <w:rPr>
          <w:rFonts w:ascii="Times New Roman" w:eastAsia="Times New Roman" w:hAnsi="Times New Roman" w:cs="Times New Roman"/>
          <w:kern w:val="0"/>
          <w:sz w:val="22"/>
          <w:szCs w:val="22"/>
          <w:lang w:eastAsia="en-GB"/>
          <w14:ligatures w14:val="none"/>
        </w:rPr>
        <w:t xml:space="preserve">: </w:t>
      </w:r>
    </w:p>
    <w:p w14:paraId="7305C1AE" w14:textId="77777777" w:rsidR="00ED159A" w:rsidRPr="00ED159A" w:rsidRDefault="00ED159A" w:rsidP="007D737D">
      <w:pPr>
        <w:numPr>
          <w:ilvl w:val="0"/>
          <w:numId w:val="15"/>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Lowest P/E, P/B, and P/S ratios, potentially indicating undervaluation</w:t>
      </w:r>
    </w:p>
    <w:p w14:paraId="3EE42FF7" w14:textId="77777777" w:rsidR="00ED159A" w:rsidRPr="00ED159A" w:rsidRDefault="00ED159A" w:rsidP="007D737D">
      <w:pPr>
        <w:numPr>
          <w:ilvl w:val="0"/>
          <w:numId w:val="15"/>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Solid revenue growth at 9.36%, close to Visa's</w:t>
      </w:r>
    </w:p>
    <w:p w14:paraId="5310E508" w14:textId="77777777" w:rsidR="00ED159A" w:rsidRPr="00ED159A" w:rsidRDefault="00ED159A" w:rsidP="007D737D">
      <w:pPr>
        <w:numPr>
          <w:ilvl w:val="0"/>
          <w:numId w:val="15"/>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Lower EBITDA and ROE compared to card network peers</w:t>
      </w:r>
    </w:p>
    <w:p w14:paraId="4A2F36A0" w14:textId="77777777" w:rsidR="00ED159A" w:rsidRPr="00ED159A" w:rsidRDefault="00ED159A" w:rsidP="00892245">
      <w:pPr>
        <w:spacing w:before="100" w:beforeAutospacing="1" w:after="100" w:afterAutospacing="1" w:line="360" w:lineRule="auto"/>
        <w:ind w:firstLine="360"/>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Key Strategies</w:t>
      </w:r>
      <w:r w:rsidRPr="00ED159A">
        <w:rPr>
          <w:rFonts w:ascii="Times New Roman" w:eastAsia="Times New Roman" w:hAnsi="Times New Roman" w:cs="Times New Roman"/>
          <w:kern w:val="0"/>
          <w:sz w:val="22"/>
          <w:szCs w:val="22"/>
          <w:lang w:eastAsia="en-GB"/>
          <w14:ligatures w14:val="none"/>
        </w:rPr>
        <w:t xml:space="preserve">: </w:t>
      </w:r>
    </w:p>
    <w:p w14:paraId="104F8659" w14:textId="77777777" w:rsidR="00ED159A" w:rsidRPr="00ED159A" w:rsidRDefault="00ED159A" w:rsidP="007D737D">
      <w:pPr>
        <w:numPr>
          <w:ilvl w:val="0"/>
          <w:numId w:val="16"/>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Expansion of peer-to-peer payment services (Venmo)</w:t>
      </w:r>
    </w:p>
    <w:p w14:paraId="55E1BF3A" w14:textId="77777777" w:rsidR="00ED159A" w:rsidRPr="00ED159A" w:rsidRDefault="00ED159A" w:rsidP="007D737D">
      <w:pPr>
        <w:numPr>
          <w:ilvl w:val="0"/>
          <w:numId w:val="16"/>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Strategic acquisitions to broaden service offerings</w:t>
      </w:r>
    </w:p>
    <w:p w14:paraId="5071E511" w14:textId="77777777" w:rsidR="00ED159A" w:rsidRPr="00ED159A" w:rsidRDefault="00ED159A" w:rsidP="007D737D">
      <w:pPr>
        <w:numPr>
          <w:ilvl w:val="0"/>
          <w:numId w:val="16"/>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kern w:val="0"/>
          <w:sz w:val="22"/>
          <w:szCs w:val="22"/>
          <w:lang w:eastAsia="en-GB"/>
          <w14:ligatures w14:val="none"/>
        </w:rPr>
        <w:t>Partnerships with traditional retailers for in-store payments</w:t>
      </w:r>
    </w:p>
    <w:p w14:paraId="554F8EB7" w14:textId="6FDE5577" w:rsidR="00ED159A" w:rsidRPr="00ED159A" w:rsidRDefault="00031772" w:rsidP="007D737D">
      <w:pPr>
        <w:spacing w:line="360" w:lineRule="auto"/>
        <w:rPr>
          <w:rFonts w:ascii="Times New Roman" w:hAnsi="Times New Roman" w:cs="Times New Roman"/>
          <w:b/>
          <w:bCs/>
          <w:sz w:val="22"/>
          <w:szCs w:val="22"/>
          <w:lang w:eastAsia="en-GB"/>
        </w:rPr>
      </w:pPr>
      <w:r w:rsidRPr="007D737D">
        <w:rPr>
          <w:rFonts w:ascii="Times New Roman" w:hAnsi="Times New Roman" w:cs="Times New Roman"/>
          <w:b/>
          <w:bCs/>
          <w:sz w:val="22"/>
          <w:szCs w:val="22"/>
          <w:lang w:eastAsia="en-GB"/>
        </w:rPr>
        <w:t>Analysis of the c</w:t>
      </w:r>
      <w:r w:rsidR="00ED159A" w:rsidRPr="00ED159A">
        <w:rPr>
          <w:rFonts w:ascii="Times New Roman" w:hAnsi="Times New Roman" w:cs="Times New Roman"/>
          <w:b/>
          <w:bCs/>
          <w:sz w:val="22"/>
          <w:szCs w:val="22"/>
          <w:lang w:eastAsia="en-GB"/>
        </w:rPr>
        <w:t xml:space="preserve">ompetitive </w:t>
      </w:r>
      <w:r w:rsidRPr="007D737D">
        <w:rPr>
          <w:rFonts w:ascii="Times New Roman" w:hAnsi="Times New Roman" w:cs="Times New Roman"/>
          <w:b/>
          <w:bCs/>
          <w:sz w:val="22"/>
          <w:szCs w:val="22"/>
          <w:lang w:eastAsia="en-GB"/>
        </w:rPr>
        <w:t>e</w:t>
      </w:r>
      <w:r w:rsidR="00ED159A" w:rsidRPr="00ED159A">
        <w:rPr>
          <w:rFonts w:ascii="Times New Roman" w:hAnsi="Times New Roman" w:cs="Times New Roman"/>
          <w:b/>
          <w:bCs/>
          <w:sz w:val="22"/>
          <w:szCs w:val="22"/>
          <w:lang w:eastAsia="en-GB"/>
        </w:rPr>
        <w:t xml:space="preserve">nvironment </w:t>
      </w:r>
    </w:p>
    <w:p w14:paraId="6822F139" w14:textId="77777777" w:rsidR="00ED159A" w:rsidRPr="00ED159A" w:rsidRDefault="00ED159A" w:rsidP="007D737D">
      <w:pPr>
        <w:numPr>
          <w:ilvl w:val="0"/>
          <w:numId w:val="18"/>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Market Dominance</w:t>
      </w:r>
      <w:r w:rsidRPr="00ED159A">
        <w:rPr>
          <w:rFonts w:ascii="Times New Roman" w:eastAsia="Times New Roman" w:hAnsi="Times New Roman" w:cs="Times New Roman"/>
          <w:kern w:val="0"/>
          <w:sz w:val="22"/>
          <w:szCs w:val="22"/>
          <w:lang w:eastAsia="en-GB"/>
          <w14:ligatures w14:val="none"/>
        </w:rPr>
        <w:t>: Visa and Mastercard dominate the traditional card network space, while PayPal leads in online and mobile payments.</w:t>
      </w:r>
    </w:p>
    <w:p w14:paraId="1F8D0362" w14:textId="77777777" w:rsidR="00ED159A" w:rsidRPr="00ED159A" w:rsidRDefault="00ED159A" w:rsidP="007D737D">
      <w:pPr>
        <w:numPr>
          <w:ilvl w:val="0"/>
          <w:numId w:val="18"/>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Profitability</w:t>
      </w:r>
      <w:r w:rsidRPr="00ED159A">
        <w:rPr>
          <w:rFonts w:ascii="Times New Roman" w:eastAsia="Times New Roman" w:hAnsi="Times New Roman" w:cs="Times New Roman"/>
          <w:kern w:val="0"/>
          <w:sz w:val="22"/>
          <w:szCs w:val="22"/>
          <w:lang w:eastAsia="en-GB"/>
          <w14:ligatures w14:val="none"/>
        </w:rPr>
        <w:t>: Visa shows the highest absolute profitability (EBITDA and gross profit), while Mastercard demonstrates the most efficient use of equity (ROE).</w:t>
      </w:r>
    </w:p>
    <w:p w14:paraId="7FC77AC0" w14:textId="77777777" w:rsidR="00ED159A" w:rsidRPr="00ED159A" w:rsidRDefault="00ED159A" w:rsidP="007D737D">
      <w:pPr>
        <w:numPr>
          <w:ilvl w:val="0"/>
          <w:numId w:val="18"/>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Growth</w:t>
      </w:r>
      <w:r w:rsidRPr="00ED159A">
        <w:rPr>
          <w:rFonts w:ascii="Times New Roman" w:eastAsia="Times New Roman" w:hAnsi="Times New Roman" w:cs="Times New Roman"/>
          <w:kern w:val="0"/>
          <w:sz w:val="22"/>
          <w:szCs w:val="22"/>
          <w:lang w:eastAsia="en-GB"/>
          <w14:ligatures w14:val="none"/>
        </w:rPr>
        <w:t>: All three companies show strong, comparable revenue growth rates, indicating a growing market for digital payments.</w:t>
      </w:r>
    </w:p>
    <w:p w14:paraId="22BD01C7" w14:textId="77777777" w:rsidR="00ED159A" w:rsidRPr="00ED159A" w:rsidRDefault="00ED159A" w:rsidP="007D737D">
      <w:pPr>
        <w:numPr>
          <w:ilvl w:val="0"/>
          <w:numId w:val="18"/>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Valuation</w:t>
      </w:r>
      <w:r w:rsidRPr="00ED159A">
        <w:rPr>
          <w:rFonts w:ascii="Times New Roman" w:eastAsia="Times New Roman" w:hAnsi="Times New Roman" w:cs="Times New Roman"/>
          <w:kern w:val="0"/>
          <w:sz w:val="22"/>
          <w:szCs w:val="22"/>
          <w:lang w:eastAsia="en-GB"/>
          <w14:ligatures w14:val="none"/>
        </w:rPr>
        <w:t>: PayPal's lower valuation ratios suggest it may be undervalued compared to its peers, or that investors see more growth potential in the traditional card networks.</w:t>
      </w:r>
    </w:p>
    <w:p w14:paraId="589FEFAF" w14:textId="77777777" w:rsidR="00ED159A" w:rsidRPr="00ED159A" w:rsidRDefault="00ED159A" w:rsidP="007D737D">
      <w:pPr>
        <w:numPr>
          <w:ilvl w:val="0"/>
          <w:numId w:val="18"/>
        </w:numPr>
        <w:spacing w:before="100" w:beforeAutospacing="1" w:after="100" w:afterAutospacing="1" w:line="360" w:lineRule="auto"/>
        <w:rPr>
          <w:rFonts w:ascii="Times New Roman" w:eastAsia="Times New Roman" w:hAnsi="Times New Roman" w:cs="Times New Roman"/>
          <w:kern w:val="0"/>
          <w:sz w:val="22"/>
          <w:szCs w:val="22"/>
          <w:lang w:eastAsia="en-GB"/>
          <w14:ligatures w14:val="none"/>
        </w:rPr>
      </w:pPr>
      <w:r w:rsidRPr="00ED159A">
        <w:rPr>
          <w:rFonts w:ascii="Times New Roman" w:eastAsia="Times New Roman" w:hAnsi="Times New Roman" w:cs="Times New Roman"/>
          <w:b/>
          <w:bCs/>
          <w:kern w:val="0"/>
          <w:sz w:val="22"/>
          <w:szCs w:val="22"/>
          <w:lang w:eastAsia="en-GB"/>
          <w14:ligatures w14:val="none"/>
        </w:rPr>
        <w:t>Market Perception</w:t>
      </w:r>
      <w:r w:rsidRPr="00ED159A">
        <w:rPr>
          <w:rFonts w:ascii="Times New Roman" w:eastAsia="Times New Roman" w:hAnsi="Times New Roman" w:cs="Times New Roman"/>
          <w:kern w:val="0"/>
          <w:sz w:val="22"/>
          <w:szCs w:val="22"/>
          <w:lang w:eastAsia="en-GB"/>
          <w14:ligatures w14:val="none"/>
        </w:rPr>
        <w:t>: Higher P/E ratios for Visa and Mastercard indicate stronger investor confidence in their future growth prospects compared to PayPal.</w:t>
      </w:r>
    </w:p>
    <w:p w14:paraId="746133EA" w14:textId="672C8D4B" w:rsidR="00892245" w:rsidRPr="005B2EF3" w:rsidRDefault="00661E03" w:rsidP="005B2EF3">
      <w:pPr>
        <w:spacing w:line="360" w:lineRule="auto"/>
        <w:rPr>
          <w:rFonts w:ascii="Times New Roman" w:hAnsi="Times New Roman" w:cs="Times New Roman"/>
          <w:sz w:val="22"/>
          <w:szCs w:val="22"/>
        </w:rPr>
      </w:pPr>
      <w:r w:rsidRPr="007D737D">
        <w:rPr>
          <w:rFonts w:ascii="Times New Roman" w:hAnsi="Times New Roman" w:cs="Times New Roman"/>
          <w:sz w:val="22"/>
          <w:szCs w:val="22"/>
        </w:rPr>
        <w:t xml:space="preserve">In the competitive landscape, Visa maintains a leading position due to its extensive network and brand recognition. However, it faces increasing competition from both traditional rivals like Mastercard and newer entrants like PayPal. The industry is characterized by rapid technological change, requiring constant innovation and </w:t>
      </w:r>
      <w:r w:rsidR="00892245" w:rsidRPr="007D737D">
        <w:rPr>
          <w:rFonts w:ascii="Times New Roman" w:hAnsi="Times New Roman" w:cs="Times New Roman"/>
          <w:sz w:val="22"/>
          <w:szCs w:val="22"/>
        </w:rPr>
        <w:t>adaptation. Visa’s</w:t>
      </w:r>
      <w:r w:rsidRPr="007D737D">
        <w:rPr>
          <w:rFonts w:ascii="Times New Roman" w:hAnsi="Times New Roman" w:cs="Times New Roman"/>
          <w:sz w:val="22"/>
          <w:szCs w:val="22"/>
        </w:rPr>
        <w:t xml:space="preserve"> strengths in security and global reach position it well to capitalize on the growth of digital payments. However, it must continue to innovate to counter threats from emerging payment technologies and maintain its market leadership.</w:t>
      </w:r>
    </w:p>
    <w:p w14:paraId="06776758" w14:textId="7A536115" w:rsidR="00481C10" w:rsidRPr="00481C10" w:rsidRDefault="00FE4276" w:rsidP="00481C10">
      <w:pPr>
        <w:spacing w:line="360" w:lineRule="auto"/>
        <w:jc w:val="center"/>
        <w:rPr>
          <w:rFonts w:ascii="Times New Roman" w:hAnsi="Times New Roman" w:cs="Times New Roman"/>
          <w:b/>
          <w:bCs/>
          <w:sz w:val="22"/>
          <w:szCs w:val="22"/>
        </w:rPr>
      </w:pPr>
      <w:r w:rsidRPr="00FE4276">
        <w:rPr>
          <w:rFonts w:ascii="Times New Roman" w:hAnsi="Times New Roman" w:cs="Times New Roman"/>
          <w:b/>
          <w:bCs/>
          <w:sz w:val="22"/>
          <w:szCs w:val="22"/>
        </w:rPr>
        <w:lastRenderedPageBreak/>
        <w:t>REFERENCES</w:t>
      </w:r>
    </w:p>
    <w:p w14:paraId="2DC45B09" w14:textId="77777777" w:rsidR="00481C10" w:rsidRDefault="00481C10" w:rsidP="00D87239">
      <w:pPr>
        <w:spacing w:line="360" w:lineRule="auto"/>
        <w:ind w:left="720" w:hanging="720"/>
        <w:rPr>
          <w:rFonts w:ascii="Times New Roman" w:hAnsi="Times New Roman" w:cs="Times New Roman"/>
          <w:sz w:val="22"/>
          <w:szCs w:val="22"/>
        </w:rPr>
      </w:pPr>
      <w:proofErr w:type="spellStart"/>
      <w:r w:rsidRPr="00186C05">
        <w:rPr>
          <w:rFonts w:ascii="Times New Roman" w:hAnsi="Times New Roman" w:cs="Times New Roman"/>
          <w:sz w:val="22"/>
          <w:szCs w:val="22"/>
        </w:rPr>
        <w:t>Alamsyah</w:t>
      </w:r>
      <w:proofErr w:type="spellEnd"/>
      <w:r w:rsidRPr="00186C05">
        <w:rPr>
          <w:rFonts w:ascii="Times New Roman" w:hAnsi="Times New Roman" w:cs="Times New Roman"/>
          <w:sz w:val="22"/>
          <w:szCs w:val="22"/>
        </w:rPr>
        <w:t xml:space="preserve">, A., &amp; </w:t>
      </w:r>
      <w:proofErr w:type="spellStart"/>
      <w:r w:rsidRPr="00186C05">
        <w:rPr>
          <w:rFonts w:ascii="Times New Roman" w:hAnsi="Times New Roman" w:cs="Times New Roman"/>
          <w:sz w:val="22"/>
          <w:szCs w:val="22"/>
        </w:rPr>
        <w:t>Syahrir</w:t>
      </w:r>
      <w:proofErr w:type="spellEnd"/>
      <w:r w:rsidRPr="00186C05">
        <w:rPr>
          <w:rFonts w:ascii="Times New Roman" w:hAnsi="Times New Roman" w:cs="Times New Roman"/>
          <w:sz w:val="22"/>
          <w:szCs w:val="22"/>
        </w:rPr>
        <w:t>, S. (2023). The Taxonomy of Blockchain-based Technology in the Financial Industry. </w:t>
      </w:r>
      <w:r w:rsidRPr="00186C05">
        <w:rPr>
          <w:rFonts w:ascii="Times New Roman" w:hAnsi="Times New Roman" w:cs="Times New Roman"/>
          <w:i/>
          <w:iCs/>
          <w:sz w:val="22"/>
          <w:szCs w:val="22"/>
        </w:rPr>
        <w:t>F1000Research</w:t>
      </w:r>
      <w:r w:rsidRPr="00186C05">
        <w:rPr>
          <w:rFonts w:ascii="Times New Roman" w:hAnsi="Times New Roman" w:cs="Times New Roman"/>
          <w:sz w:val="22"/>
          <w:szCs w:val="22"/>
        </w:rPr>
        <w:t>, </w:t>
      </w:r>
      <w:r w:rsidRPr="00186C05">
        <w:rPr>
          <w:rFonts w:ascii="Times New Roman" w:hAnsi="Times New Roman" w:cs="Times New Roman"/>
          <w:i/>
          <w:iCs/>
          <w:sz w:val="22"/>
          <w:szCs w:val="22"/>
        </w:rPr>
        <w:t>12</w:t>
      </w:r>
      <w:r w:rsidRPr="00186C05">
        <w:rPr>
          <w:rFonts w:ascii="Times New Roman" w:hAnsi="Times New Roman" w:cs="Times New Roman"/>
          <w:sz w:val="22"/>
          <w:szCs w:val="22"/>
        </w:rPr>
        <w:t xml:space="preserve">, 457. </w:t>
      </w:r>
      <w:hyperlink r:id="rId7" w:history="1">
        <w:r w:rsidRPr="0017198E">
          <w:rPr>
            <w:rStyle w:val="Hyperlink"/>
            <w:rFonts w:ascii="Times New Roman" w:hAnsi="Times New Roman" w:cs="Times New Roman"/>
            <w:sz w:val="22"/>
            <w:szCs w:val="22"/>
          </w:rPr>
          <w:t>https://doi.org/10.12688/f1000research.133518.2</w:t>
        </w:r>
      </w:hyperlink>
    </w:p>
    <w:p w14:paraId="60E5275C"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Benzinga Insights (2024). Competitor Analysis: Evaluating Visa </w:t>
      </w:r>
      <w:proofErr w:type="gramStart"/>
      <w:r w:rsidRPr="00186C05">
        <w:rPr>
          <w:rFonts w:ascii="Times New Roman" w:hAnsi="Times New Roman" w:cs="Times New Roman"/>
          <w:sz w:val="22"/>
          <w:szCs w:val="22"/>
        </w:rPr>
        <w:t>And</w:t>
      </w:r>
      <w:proofErr w:type="gramEnd"/>
      <w:r w:rsidRPr="00186C05">
        <w:rPr>
          <w:rFonts w:ascii="Times New Roman" w:hAnsi="Times New Roman" w:cs="Times New Roman"/>
          <w:sz w:val="22"/>
          <w:szCs w:val="22"/>
        </w:rPr>
        <w:t xml:space="preserve"> Competitors In Financial Services Industry. NASDAQ, May 25. Available at </w:t>
      </w:r>
      <w:hyperlink r:id="rId8" w:history="1">
        <w:r w:rsidRPr="0017198E">
          <w:rPr>
            <w:rStyle w:val="Hyperlink"/>
            <w:rFonts w:ascii="Times New Roman" w:hAnsi="Times New Roman" w:cs="Times New Roman"/>
            <w:sz w:val="22"/>
            <w:szCs w:val="22"/>
          </w:rPr>
          <w:t>https://www.nasdaq.com/articles/competitor-analysis:-evaluating-visa-and-competitors-in-financial-services-industry</w:t>
        </w:r>
      </w:hyperlink>
    </w:p>
    <w:p w14:paraId="5223CC03" w14:textId="77777777" w:rsidR="00481C10" w:rsidRDefault="00000000" w:rsidP="00D87239">
      <w:pPr>
        <w:spacing w:line="360" w:lineRule="auto"/>
        <w:ind w:left="720" w:hanging="720"/>
        <w:rPr>
          <w:rStyle w:val="Hyperlink"/>
          <w:rFonts w:ascii="Times New Roman" w:hAnsi="Times New Roman" w:cs="Times New Roman"/>
          <w:color w:val="auto"/>
          <w:sz w:val="22"/>
          <w:szCs w:val="22"/>
          <w:u w:val="none"/>
        </w:rPr>
      </w:pPr>
      <w:hyperlink r:id="rId9" w:tgtFrame="_self" w:history="1">
        <w:r w:rsidR="00481C10" w:rsidRPr="00186C05">
          <w:rPr>
            <w:rStyle w:val="Hyperlink"/>
            <w:rFonts w:ascii="Times New Roman" w:hAnsi="Times New Roman" w:cs="Times New Roman"/>
            <w:color w:val="auto"/>
            <w:sz w:val="22"/>
            <w:szCs w:val="22"/>
            <w:u w:val="none"/>
          </w:rPr>
          <w:t>Ferreira</w:t>
        </w:r>
      </w:hyperlink>
      <w:r w:rsidR="00481C10" w:rsidRPr="00186C05">
        <w:rPr>
          <w:rFonts w:ascii="Times New Roman" w:hAnsi="Times New Roman" w:cs="Times New Roman"/>
          <w:sz w:val="22"/>
          <w:szCs w:val="22"/>
        </w:rPr>
        <w:t xml:space="preserve">, P. (2023). Best Alternatives to Visa or Mastercard. Finance Magnates, September 27. Available at </w:t>
      </w:r>
      <w:hyperlink r:id="rId10" w:history="1">
        <w:r w:rsidR="00481C10" w:rsidRPr="00186C05">
          <w:rPr>
            <w:rStyle w:val="Hyperlink"/>
            <w:rFonts w:ascii="Times New Roman" w:hAnsi="Times New Roman" w:cs="Times New Roman"/>
            <w:color w:val="auto"/>
            <w:sz w:val="22"/>
            <w:szCs w:val="22"/>
            <w:u w:val="none"/>
          </w:rPr>
          <w:t>https://www.financemagnates.com/fintech/payments/best-alternatives-to-visa-or-mastercard/</w:t>
        </w:r>
      </w:hyperlink>
    </w:p>
    <w:p w14:paraId="425675E4" w14:textId="77777777" w:rsidR="00481C10" w:rsidRDefault="00481C10" w:rsidP="00D87239">
      <w:pPr>
        <w:spacing w:line="360" w:lineRule="auto"/>
        <w:ind w:left="720" w:hanging="720"/>
        <w:rPr>
          <w:rStyle w:val="Hyperlink"/>
          <w:rFonts w:ascii="Times New Roman" w:hAnsi="Times New Roman" w:cs="Times New Roman"/>
          <w:color w:val="auto"/>
          <w:sz w:val="22"/>
          <w:szCs w:val="22"/>
          <w:u w:val="none"/>
        </w:rPr>
      </w:pPr>
      <w:r w:rsidRPr="00186C05">
        <w:rPr>
          <w:rFonts w:ascii="Times New Roman" w:hAnsi="Times New Roman" w:cs="Times New Roman"/>
          <w:sz w:val="22"/>
          <w:szCs w:val="22"/>
        </w:rPr>
        <w:t xml:space="preserve">Financial Conduct Authority (2022). The potential competition impacts of Big Tech entry and expansion in retail financial services. Available at </w:t>
      </w:r>
      <w:hyperlink r:id="rId11" w:history="1">
        <w:r w:rsidRPr="00186C05">
          <w:rPr>
            <w:rStyle w:val="Hyperlink"/>
            <w:rFonts w:ascii="Times New Roman" w:hAnsi="Times New Roman" w:cs="Times New Roman"/>
            <w:color w:val="auto"/>
            <w:sz w:val="22"/>
            <w:szCs w:val="22"/>
            <w:u w:val="none"/>
          </w:rPr>
          <w:t>https://www.fca.org.uk/publication/discussion/dp22-5.pdf</w:t>
        </w:r>
      </w:hyperlink>
    </w:p>
    <w:p w14:paraId="09F58DC3" w14:textId="77777777" w:rsidR="00481C10" w:rsidRDefault="00481C10" w:rsidP="00D87239">
      <w:pPr>
        <w:spacing w:line="360" w:lineRule="auto"/>
        <w:ind w:left="720" w:hanging="720"/>
        <w:rPr>
          <w:rFonts w:ascii="Times New Roman" w:hAnsi="Times New Roman" w:cs="Times New Roman"/>
          <w:sz w:val="22"/>
          <w:szCs w:val="22"/>
        </w:rPr>
      </w:pPr>
      <w:proofErr w:type="spellStart"/>
      <w:r w:rsidRPr="00186C05">
        <w:rPr>
          <w:rFonts w:ascii="Times New Roman" w:hAnsi="Times New Roman" w:cs="Times New Roman"/>
          <w:sz w:val="22"/>
          <w:szCs w:val="22"/>
        </w:rPr>
        <w:t>GuruFocus</w:t>
      </w:r>
      <w:proofErr w:type="spellEnd"/>
      <w:r w:rsidRPr="00186C05">
        <w:rPr>
          <w:rFonts w:ascii="Times New Roman" w:hAnsi="Times New Roman" w:cs="Times New Roman"/>
          <w:sz w:val="22"/>
          <w:szCs w:val="22"/>
        </w:rPr>
        <w:t xml:space="preserve"> Research (2024). </w:t>
      </w:r>
      <w:r w:rsidRPr="00217C60">
        <w:rPr>
          <w:rFonts w:ascii="Times New Roman" w:hAnsi="Times New Roman" w:cs="Times New Roman"/>
          <w:sz w:val="22"/>
          <w:szCs w:val="22"/>
        </w:rPr>
        <w:t>Decoding Visa Inc (V): A Strategic SWOT Insight</w:t>
      </w:r>
      <w:r w:rsidRPr="00186C05">
        <w:rPr>
          <w:rFonts w:ascii="Times New Roman" w:hAnsi="Times New Roman" w:cs="Times New Roman"/>
          <w:sz w:val="22"/>
          <w:szCs w:val="22"/>
        </w:rPr>
        <w:t xml:space="preserve">. Yahoo Finance, July 25. Available at </w:t>
      </w:r>
      <w:hyperlink r:id="rId12" w:history="1">
        <w:r w:rsidRPr="00186C05">
          <w:rPr>
            <w:rStyle w:val="Hyperlink"/>
            <w:rFonts w:ascii="Times New Roman" w:hAnsi="Times New Roman" w:cs="Times New Roman"/>
            <w:color w:val="auto"/>
            <w:sz w:val="22"/>
            <w:szCs w:val="22"/>
            <w:u w:val="none"/>
          </w:rPr>
          <w:t>https://finance.yahoo.com/news/decoding-visa-inc-v-strategic-050430076.html</w:t>
        </w:r>
      </w:hyperlink>
    </w:p>
    <w:p w14:paraId="2C4C34D4" w14:textId="77777777" w:rsidR="00481C10" w:rsidRDefault="00000000" w:rsidP="00D87239">
      <w:pPr>
        <w:spacing w:line="360" w:lineRule="auto"/>
        <w:ind w:left="720" w:hanging="720"/>
        <w:rPr>
          <w:rStyle w:val="Hyperlink"/>
          <w:rFonts w:ascii="Times New Roman" w:hAnsi="Times New Roman" w:cs="Times New Roman"/>
          <w:color w:val="auto"/>
          <w:sz w:val="22"/>
          <w:szCs w:val="22"/>
          <w:u w:val="none"/>
        </w:rPr>
      </w:pPr>
      <w:hyperlink r:id="rId13" w:anchor="peer-group" w:history="1">
        <w:r w:rsidR="00481C10" w:rsidRPr="00186C05">
          <w:rPr>
            <w:rStyle w:val="Hyperlink"/>
            <w:rFonts w:ascii="Times New Roman" w:hAnsi="Times New Roman" w:cs="Times New Roman"/>
            <w:color w:val="auto"/>
            <w:sz w:val="22"/>
            <w:szCs w:val="22"/>
            <w:u w:val="none"/>
          </w:rPr>
          <w:t>https://trendlyne.com/us/fundamentals/peer-group/1405027/V/visa-inc-ordinary-shares-class-a/#peer-group</w:t>
        </w:r>
      </w:hyperlink>
    </w:p>
    <w:p w14:paraId="02936B55" w14:textId="77777777" w:rsidR="00481C10" w:rsidRDefault="00481C10" w:rsidP="00D87239">
      <w:pPr>
        <w:spacing w:line="360" w:lineRule="auto"/>
        <w:ind w:left="720" w:hanging="720"/>
        <w:rPr>
          <w:rFonts w:ascii="Times New Roman" w:hAnsi="Times New Roman" w:cs="Times New Roman"/>
          <w:sz w:val="22"/>
          <w:szCs w:val="22"/>
        </w:rPr>
      </w:pPr>
      <w:proofErr w:type="spellStart"/>
      <w:r w:rsidRPr="00186C05">
        <w:rPr>
          <w:rFonts w:ascii="Times New Roman" w:hAnsi="Times New Roman" w:cs="Times New Roman"/>
          <w:sz w:val="22"/>
          <w:szCs w:val="22"/>
        </w:rPr>
        <w:t>Marquit</w:t>
      </w:r>
      <w:proofErr w:type="spellEnd"/>
      <w:r w:rsidRPr="00186C05">
        <w:rPr>
          <w:rFonts w:ascii="Times New Roman" w:hAnsi="Times New Roman" w:cs="Times New Roman"/>
          <w:sz w:val="22"/>
          <w:szCs w:val="22"/>
        </w:rPr>
        <w:t>, M. (2024, January 18). </w:t>
      </w:r>
      <w:r w:rsidRPr="00186C05">
        <w:rPr>
          <w:rFonts w:ascii="Times New Roman" w:hAnsi="Times New Roman" w:cs="Times New Roman"/>
          <w:i/>
          <w:iCs/>
          <w:sz w:val="22"/>
          <w:szCs w:val="22"/>
        </w:rPr>
        <w:t>Peer-to-peer payments: How and when to use Venmo, Zelle, and others</w:t>
      </w:r>
      <w:r w:rsidRPr="00186C05">
        <w:rPr>
          <w:rFonts w:ascii="Times New Roman" w:hAnsi="Times New Roman" w:cs="Times New Roman"/>
          <w:sz w:val="22"/>
          <w:szCs w:val="22"/>
        </w:rPr>
        <w:t>. </w:t>
      </w:r>
      <w:proofErr w:type="spellStart"/>
      <w:r w:rsidRPr="00186C05">
        <w:rPr>
          <w:rFonts w:ascii="Times New Roman" w:hAnsi="Times New Roman" w:cs="Times New Roman"/>
          <w:i/>
          <w:iCs/>
          <w:sz w:val="22"/>
          <w:szCs w:val="22"/>
        </w:rPr>
        <w:t>Encyclopedia</w:t>
      </w:r>
      <w:proofErr w:type="spellEnd"/>
      <w:r w:rsidRPr="00186C05">
        <w:rPr>
          <w:rFonts w:ascii="Times New Roman" w:hAnsi="Times New Roman" w:cs="Times New Roman"/>
          <w:i/>
          <w:iCs/>
          <w:sz w:val="22"/>
          <w:szCs w:val="22"/>
        </w:rPr>
        <w:t xml:space="preserve"> Britannica</w:t>
      </w:r>
      <w:r w:rsidRPr="00186C05">
        <w:rPr>
          <w:rFonts w:ascii="Times New Roman" w:hAnsi="Times New Roman" w:cs="Times New Roman"/>
          <w:sz w:val="22"/>
          <w:szCs w:val="22"/>
        </w:rPr>
        <w:t>. </w:t>
      </w:r>
      <w:hyperlink r:id="rId14" w:history="1">
        <w:r w:rsidRPr="0017198E">
          <w:rPr>
            <w:rStyle w:val="Hyperlink"/>
            <w:rFonts w:ascii="Times New Roman" w:hAnsi="Times New Roman" w:cs="Times New Roman"/>
            <w:sz w:val="22"/>
            <w:szCs w:val="22"/>
          </w:rPr>
          <w:t>https://www.britannica.com/money/peer-to-peer-payment-overview</w:t>
        </w:r>
      </w:hyperlink>
    </w:p>
    <w:p w14:paraId="6C8945D6"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McKinsey &amp; Company (2023). On the cusp of the next payments era: Future opportunities for banks. Available at </w:t>
      </w:r>
      <w:hyperlink r:id="rId15" w:history="1">
        <w:r w:rsidRPr="00186C05">
          <w:rPr>
            <w:rStyle w:val="Hyperlink"/>
            <w:rFonts w:ascii="Times New Roman" w:hAnsi="Times New Roman" w:cs="Times New Roman"/>
            <w:color w:val="auto"/>
            <w:sz w:val="22"/>
            <w:szCs w:val="22"/>
            <w:u w:val="none"/>
          </w:rPr>
          <w:t>https://www.mckinsey.com/industries/financial-services/our-insights/the-2023-mckinsey-global-payments-report</w:t>
        </w:r>
      </w:hyperlink>
    </w:p>
    <w:p w14:paraId="69491828" w14:textId="77777777" w:rsidR="00481C10" w:rsidRDefault="00481C10" w:rsidP="00D87239">
      <w:pPr>
        <w:spacing w:line="360" w:lineRule="auto"/>
        <w:ind w:left="720" w:hanging="720"/>
        <w:rPr>
          <w:rStyle w:val="Hyperlink"/>
          <w:rFonts w:ascii="Times New Roman" w:hAnsi="Times New Roman" w:cs="Times New Roman"/>
          <w:color w:val="auto"/>
          <w:sz w:val="22"/>
          <w:szCs w:val="22"/>
          <w:u w:val="none"/>
        </w:rPr>
      </w:pPr>
      <w:r w:rsidRPr="00186C05">
        <w:rPr>
          <w:rFonts w:ascii="Times New Roman" w:hAnsi="Times New Roman" w:cs="Times New Roman"/>
          <w:sz w:val="22"/>
          <w:szCs w:val="22"/>
        </w:rPr>
        <w:t>PayPal Editorial Staff (2024). What are P2P payments? Available at</w:t>
      </w:r>
      <w:r>
        <w:rPr>
          <w:rFonts w:ascii="Times New Roman" w:hAnsi="Times New Roman" w:cs="Times New Roman"/>
          <w:sz w:val="22"/>
          <w:szCs w:val="22"/>
        </w:rPr>
        <w:t xml:space="preserve"> </w:t>
      </w:r>
      <w:hyperlink r:id="rId16" w:history="1">
        <w:r w:rsidRPr="0017198E">
          <w:rPr>
            <w:rStyle w:val="Hyperlink"/>
            <w:rFonts w:ascii="Times New Roman" w:hAnsi="Times New Roman" w:cs="Times New Roman"/>
            <w:sz w:val="22"/>
            <w:szCs w:val="22"/>
          </w:rPr>
          <w:t>https://www.paypal.com/us/money-hub/article/what-are-p2p-payments</w:t>
        </w:r>
      </w:hyperlink>
    </w:p>
    <w:p w14:paraId="34309936" w14:textId="77777777" w:rsidR="00481C10" w:rsidRPr="00186C05"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S&amp;P (2023). VISA SWOT and PESTLE Analysis. Available at https://www.swotandpestle.com/visa/</w:t>
      </w:r>
    </w:p>
    <w:p w14:paraId="47728EEC"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Seeking Alpha (2024). V-Visa Inc. Peers &amp; Competitors. Available at</w:t>
      </w:r>
      <w:r>
        <w:rPr>
          <w:rFonts w:ascii="Times New Roman" w:hAnsi="Times New Roman" w:cs="Times New Roman"/>
          <w:sz w:val="22"/>
          <w:szCs w:val="22"/>
        </w:rPr>
        <w:t xml:space="preserve"> </w:t>
      </w:r>
      <w:hyperlink r:id="rId17" w:history="1">
        <w:r w:rsidRPr="0017198E">
          <w:rPr>
            <w:rStyle w:val="Hyperlink"/>
            <w:rFonts w:ascii="Times New Roman" w:hAnsi="Times New Roman" w:cs="Times New Roman"/>
            <w:sz w:val="22"/>
            <w:szCs w:val="22"/>
          </w:rPr>
          <w:t>https://seekingalpha.com/symbol/V/peers/comparison</w:t>
        </w:r>
      </w:hyperlink>
      <w:r w:rsidRPr="00186C05">
        <w:rPr>
          <w:rFonts w:ascii="Times New Roman" w:hAnsi="Times New Roman" w:cs="Times New Roman"/>
          <w:sz w:val="22"/>
          <w:szCs w:val="22"/>
        </w:rPr>
        <w:t>.</w:t>
      </w:r>
    </w:p>
    <w:p w14:paraId="10E1D991" w14:textId="77777777" w:rsidR="00481C10" w:rsidRDefault="00481C10" w:rsidP="00D87239">
      <w:pPr>
        <w:spacing w:line="360" w:lineRule="auto"/>
        <w:ind w:left="720" w:hanging="720"/>
        <w:rPr>
          <w:rStyle w:val="Hyperlink"/>
          <w:rFonts w:ascii="Times New Roman" w:hAnsi="Times New Roman" w:cs="Times New Roman"/>
          <w:color w:val="auto"/>
          <w:sz w:val="22"/>
          <w:szCs w:val="22"/>
          <w:u w:val="none"/>
        </w:rPr>
      </w:pPr>
      <w:r w:rsidRPr="00186C05">
        <w:rPr>
          <w:rFonts w:ascii="Times New Roman" w:hAnsi="Times New Roman" w:cs="Times New Roman"/>
          <w:sz w:val="22"/>
          <w:szCs w:val="22"/>
        </w:rPr>
        <w:t xml:space="preserve">Sheng, E. (2022). Peer-to-peer payment apps like Venmo, Cash, PayPal are booming. Do you still need a bank? CNBC, April 11. Available at </w:t>
      </w:r>
      <w:hyperlink r:id="rId18" w:history="1">
        <w:r w:rsidRPr="00186C05">
          <w:rPr>
            <w:rStyle w:val="Hyperlink"/>
            <w:rFonts w:ascii="Times New Roman" w:hAnsi="Times New Roman" w:cs="Times New Roman"/>
            <w:color w:val="auto"/>
            <w:sz w:val="22"/>
            <w:szCs w:val="22"/>
            <w:u w:val="none"/>
          </w:rPr>
          <w:t>https://www.cnbc.com/2022/04/11/how-to-use-peer-to-peer-payment-apps-like-venmo-cash-paypal-zelle.html</w:t>
        </w:r>
      </w:hyperlink>
    </w:p>
    <w:p w14:paraId="43643D62"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lastRenderedPageBreak/>
        <w:t xml:space="preserve">The Strategy Story (no date). Visa SWOT Analysis. Available at </w:t>
      </w:r>
      <w:hyperlink r:id="rId19" w:history="1">
        <w:r w:rsidRPr="00186C05">
          <w:rPr>
            <w:rStyle w:val="Hyperlink"/>
            <w:rFonts w:ascii="Times New Roman" w:hAnsi="Times New Roman" w:cs="Times New Roman"/>
            <w:color w:val="auto"/>
            <w:sz w:val="22"/>
            <w:szCs w:val="22"/>
            <w:u w:val="none"/>
          </w:rPr>
          <w:t>https://thestrategystory.com/blog/visa-swot-analysis/</w:t>
        </w:r>
      </w:hyperlink>
    </w:p>
    <w:p w14:paraId="7793AACB" w14:textId="77777777" w:rsidR="00481C10" w:rsidRDefault="00481C10" w:rsidP="00D87239">
      <w:pPr>
        <w:spacing w:line="360" w:lineRule="auto"/>
        <w:ind w:left="720" w:hanging="720"/>
        <w:rPr>
          <w:rFonts w:ascii="Times New Roman" w:hAnsi="Times New Roman" w:cs="Times New Roman"/>
          <w:sz w:val="22"/>
          <w:szCs w:val="22"/>
        </w:rPr>
      </w:pPr>
      <w:proofErr w:type="spellStart"/>
      <w:r w:rsidRPr="00186C05">
        <w:rPr>
          <w:rFonts w:ascii="Times New Roman" w:hAnsi="Times New Roman" w:cs="Times New Roman"/>
          <w:sz w:val="22"/>
          <w:szCs w:val="22"/>
        </w:rPr>
        <w:t>Trefis</w:t>
      </w:r>
      <w:proofErr w:type="spellEnd"/>
      <w:r w:rsidRPr="00186C05">
        <w:rPr>
          <w:rFonts w:ascii="Times New Roman" w:hAnsi="Times New Roman" w:cs="Times New Roman"/>
          <w:sz w:val="22"/>
          <w:szCs w:val="22"/>
        </w:rPr>
        <w:t xml:space="preserve"> Team (2019). What </w:t>
      </w:r>
      <w:proofErr w:type="gramStart"/>
      <w:r w:rsidRPr="00186C05">
        <w:rPr>
          <w:rFonts w:ascii="Times New Roman" w:hAnsi="Times New Roman" w:cs="Times New Roman"/>
          <w:sz w:val="22"/>
          <w:szCs w:val="22"/>
        </w:rPr>
        <w:t>Are</w:t>
      </w:r>
      <w:proofErr w:type="gramEnd"/>
      <w:r w:rsidRPr="00186C05">
        <w:rPr>
          <w:rFonts w:ascii="Times New Roman" w:hAnsi="Times New Roman" w:cs="Times New Roman"/>
          <w:sz w:val="22"/>
          <w:szCs w:val="22"/>
        </w:rPr>
        <w:t xml:space="preserve"> Visa's Key Value Drivers? Forbes, Mar 13. Available at </w:t>
      </w:r>
      <w:hyperlink r:id="rId20" w:history="1">
        <w:r w:rsidRPr="00186C05">
          <w:rPr>
            <w:rStyle w:val="Hyperlink"/>
            <w:rFonts w:ascii="Times New Roman" w:hAnsi="Times New Roman" w:cs="Times New Roman"/>
            <w:color w:val="auto"/>
            <w:sz w:val="22"/>
            <w:szCs w:val="22"/>
            <w:u w:val="none"/>
          </w:rPr>
          <w:t>https://www.forbes.com/sites/greatspeculations/2019/03/13/what-are-visas-key-value-drivers/</w:t>
        </w:r>
      </w:hyperlink>
    </w:p>
    <w:p w14:paraId="770C37E9" w14:textId="77777777" w:rsidR="00481C10" w:rsidRDefault="00481C10" w:rsidP="00D87239">
      <w:pPr>
        <w:spacing w:line="360" w:lineRule="auto"/>
        <w:ind w:left="720" w:hanging="720"/>
        <w:rPr>
          <w:rFonts w:ascii="Times New Roman" w:hAnsi="Times New Roman" w:cs="Times New Roman"/>
          <w:sz w:val="22"/>
          <w:szCs w:val="22"/>
        </w:rPr>
      </w:pPr>
      <w:proofErr w:type="spellStart"/>
      <w:r w:rsidRPr="00186C05">
        <w:rPr>
          <w:rFonts w:ascii="Times New Roman" w:hAnsi="Times New Roman" w:cs="Times New Roman"/>
          <w:sz w:val="22"/>
          <w:szCs w:val="22"/>
        </w:rPr>
        <w:t>Trendlyne</w:t>
      </w:r>
      <w:proofErr w:type="spellEnd"/>
      <w:r w:rsidRPr="00186C05">
        <w:rPr>
          <w:rFonts w:ascii="Times New Roman" w:hAnsi="Times New Roman" w:cs="Times New Roman"/>
          <w:sz w:val="22"/>
          <w:szCs w:val="22"/>
        </w:rPr>
        <w:t xml:space="preserve"> (2024). Visa Inc - Ordinary Shares - Class A. Available at </w:t>
      </w:r>
      <w:hyperlink r:id="rId21" w:history="1">
        <w:r w:rsidRPr="0017198E">
          <w:rPr>
            <w:rStyle w:val="Hyperlink"/>
            <w:rFonts w:ascii="Times New Roman" w:hAnsi="Times New Roman" w:cs="Times New Roman"/>
            <w:sz w:val="22"/>
            <w:szCs w:val="22"/>
          </w:rPr>
          <w:t>https://trendlyne.com/us/equity/1405027/V/visa-inc-ordinary-shares-class-a/</w:t>
        </w:r>
      </w:hyperlink>
    </w:p>
    <w:p w14:paraId="2AC9E3C0"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Tripathi, G., Abdul Ahad, M. &amp; Casalino, G. (2023). A comprehensive review of blockchain technology: Underlying principles and historical background with future challenges. Decision Analytics Journal, Volume 9, ISSN 2772-6622. Available at </w:t>
      </w:r>
      <w:hyperlink r:id="rId22" w:history="1">
        <w:r w:rsidRPr="00186C05">
          <w:rPr>
            <w:rStyle w:val="Hyperlink"/>
            <w:rFonts w:ascii="Times New Roman" w:hAnsi="Times New Roman" w:cs="Times New Roman"/>
            <w:color w:val="auto"/>
            <w:sz w:val="22"/>
            <w:szCs w:val="22"/>
            <w:u w:val="none"/>
          </w:rPr>
          <w:t>https://doi.org/10.1016/j.dajour.2023.100344</w:t>
        </w:r>
      </w:hyperlink>
      <w:r w:rsidRPr="00186C05">
        <w:rPr>
          <w:rFonts w:ascii="Times New Roman" w:hAnsi="Times New Roman" w:cs="Times New Roman"/>
          <w:sz w:val="22"/>
          <w:szCs w:val="22"/>
        </w:rPr>
        <w:t>.</w:t>
      </w:r>
    </w:p>
    <w:p w14:paraId="1E330B34"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Visa (2023). Annual Report 2023. Available at </w:t>
      </w:r>
      <w:hyperlink r:id="rId23" w:history="1">
        <w:r w:rsidRPr="00186C05">
          <w:rPr>
            <w:rStyle w:val="Hyperlink"/>
            <w:rFonts w:ascii="Times New Roman" w:hAnsi="Times New Roman" w:cs="Times New Roman"/>
            <w:color w:val="auto"/>
            <w:sz w:val="22"/>
            <w:szCs w:val="22"/>
            <w:u w:val="none"/>
          </w:rPr>
          <w:t>https://annualreport.visa.com/financials/default.aspx</w:t>
        </w:r>
      </w:hyperlink>
    </w:p>
    <w:p w14:paraId="27418430"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Visa (2024). </w:t>
      </w:r>
      <w:r w:rsidRPr="0059114D">
        <w:rPr>
          <w:rFonts w:ascii="Times New Roman" w:hAnsi="Times New Roman" w:cs="Times New Roman"/>
          <w:sz w:val="22"/>
          <w:szCs w:val="22"/>
        </w:rPr>
        <w:t>Three key trends in payments and commerce in 2024</w:t>
      </w:r>
      <w:r w:rsidRPr="00186C05">
        <w:rPr>
          <w:rFonts w:ascii="Times New Roman" w:hAnsi="Times New Roman" w:cs="Times New Roman"/>
          <w:sz w:val="22"/>
          <w:szCs w:val="22"/>
        </w:rPr>
        <w:t xml:space="preserve">. Available at </w:t>
      </w:r>
      <w:hyperlink r:id="rId24" w:history="1">
        <w:r w:rsidRPr="00186C05">
          <w:rPr>
            <w:rStyle w:val="Hyperlink"/>
            <w:rFonts w:ascii="Times New Roman" w:hAnsi="Times New Roman" w:cs="Times New Roman"/>
            <w:color w:val="auto"/>
            <w:sz w:val="22"/>
            <w:szCs w:val="22"/>
            <w:u w:val="none"/>
          </w:rPr>
          <w:t>https://usa.visa.com/services/visa-innovation-and-design/three-key-trends-in-payments-and-commerce-2024.html</w:t>
        </w:r>
      </w:hyperlink>
    </w:p>
    <w:p w14:paraId="1778E50E" w14:textId="77777777" w:rsidR="00481C10" w:rsidRDefault="00481C10" w:rsidP="00D87239">
      <w:pPr>
        <w:spacing w:line="360" w:lineRule="auto"/>
        <w:ind w:left="720" w:hanging="720"/>
        <w:rPr>
          <w:rStyle w:val="Hyperlink"/>
          <w:rFonts w:ascii="Times New Roman" w:hAnsi="Times New Roman" w:cs="Times New Roman"/>
          <w:color w:val="auto"/>
          <w:sz w:val="22"/>
          <w:szCs w:val="22"/>
          <w:u w:val="none"/>
        </w:rPr>
      </w:pPr>
      <w:r w:rsidRPr="00186C05">
        <w:rPr>
          <w:rFonts w:ascii="Times New Roman" w:hAnsi="Times New Roman" w:cs="Times New Roman"/>
          <w:sz w:val="22"/>
          <w:szCs w:val="22"/>
        </w:rPr>
        <w:t xml:space="preserve">Visa Inc. (2024). Unlocking opportunities for everyone. Available at </w:t>
      </w:r>
      <w:hyperlink r:id="rId25" w:history="1">
        <w:r w:rsidRPr="00186C05">
          <w:rPr>
            <w:rStyle w:val="Hyperlink"/>
            <w:rFonts w:ascii="Times New Roman" w:hAnsi="Times New Roman" w:cs="Times New Roman"/>
            <w:color w:val="auto"/>
            <w:sz w:val="22"/>
            <w:szCs w:val="22"/>
            <w:u w:val="none"/>
          </w:rPr>
          <w:t>https://www.visa.co.uk/about-visa.html</w:t>
        </w:r>
      </w:hyperlink>
    </w:p>
    <w:p w14:paraId="13F805BB" w14:textId="77777777" w:rsidR="00481C10"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Visa Navigate (2024). Unlocking Opportunities of Open Banking. Available at </w:t>
      </w:r>
      <w:hyperlink r:id="rId26" w:history="1">
        <w:r w:rsidRPr="00186C05">
          <w:rPr>
            <w:rStyle w:val="Hyperlink"/>
            <w:rFonts w:ascii="Times New Roman" w:hAnsi="Times New Roman" w:cs="Times New Roman"/>
            <w:color w:val="auto"/>
            <w:sz w:val="22"/>
            <w:szCs w:val="22"/>
            <w:u w:val="none"/>
          </w:rPr>
          <w:t>https://navigate.visa.com/na/money-movement/unlocking-the-opportunities-of-open-banking/</w:t>
        </w:r>
      </w:hyperlink>
    </w:p>
    <w:p w14:paraId="2D00A0E4" w14:textId="77777777" w:rsidR="00481C10" w:rsidRDefault="00481C10" w:rsidP="00D87239">
      <w:pPr>
        <w:spacing w:line="360" w:lineRule="auto"/>
        <w:ind w:left="720" w:hanging="720"/>
        <w:rPr>
          <w:rStyle w:val="Hyperlink"/>
          <w:rFonts w:ascii="Times New Roman" w:hAnsi="Times New Roman" w:cs="Times New Roman"/>
          <w:color w:val="auto"/>
          <w:sz w:val="22"/>
          <w:szCs w:val="22"/>
          <w:u w:val="none"/>
        </w:rPr>
      </w:pPr>
      <w:r w:rsidRPr="00186C05">
        <w:rPr>
          <w:rFonts w:ascii="Times New Roman" w:hAnsi="Times New Roman" w:cs="Times New Roman"/>
          <w:sz w:val="22"/>
          <w:szCs w:val="22"/>
        </w:rPr>
        <w:t xml:space="preserve">Yahoo Finance (2024). Visa Inc (V) Reports 9% Revenue Growth and Robust Earnings in Q1 2024. Available at </w:t>
      </w:r>
      <w:hyperlink r:id="rId27" w:history="1">
        <w:r w:rsidRPr="00186C05">
          <w:rPr>
            <w:rStyle w:val="Hyperlink"/>
            <w:rFonts w:ascii="Times New Roman" w:hAnsi="Times New Roman" w:cs="Times New Roman"/>
            <w:color w:val="auto"/>
            <w:sz w:val="22"/>
            <w:szCs w:val="22"/>
            <w:u w:val="none"/>
          </w:rPr>
          <w:t>https://finance.yahoo.com/news/visa-inc-v-reports-9-213504594.html</w:t>
        </w:r>
      </w:hyperlink>
    </w:p>
    <w:p w14:paraId="0C290906" w14:textId="77777777" w:rsidR="00481C10" w:rsidRPr="00186C05" w:rsidRDefault="00481C10" w:rsidP="00D87239">
      <w:pPr>
        <w:spacing w:line="360" w:lineRule="auto"/>
        <w:ind w:left="720" w:hanging="720"/>
        <w:rPr>
          <w:rFonts w:ascii="Times New Roman" w:hAnsi="Times New Roman" w:cs="Times New Roman"/>
          <w:sz w:val="22"/>
          <w:szCs w:val="22"/>
        </w:rPr>
      </w:pPr>
      <w:r w:rsidRPr="00186C05">
        <w:rPr>
          <w:rFonts w:ascii="Times New Roman" w:hAnsi="Times New Roman" w:cs="Times New Roman"/>
          <w:sz w:val="22"/>
          <w:szCs w:val="22"/>
        </w:rPr>
        <w:t xml:space="preserve">Yahoo Finance (2024). Visa Inc. (V). Available at </w:t>
      </w:r>
      <w:hyperlink r:id="rId28" w:history="1">
        <w:r w:rsidRPr="00186C05">
          <w:rPr>
            <w:rStyle w:val="Hyperlink"/>
            <w:rFonts w:ascii="Times New Roman" w:hAnsi="Times New Roman" w:cs="Times New Roman"/>
            <w:color w:val="auto"/>
            <w:sz w:val="22"/>
            <w:szCs w:val="22"/>
            <w:u w:val="none"/>
          </w:rPr>
          <w:t>https://finance.yahoo.com/quote/V/profile/</w:t>
        </w:r>
      </w:hyperlink>
    </w:p>
    <w:sectPr w:rsidR="00481C10" w:rsidRPr="00186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506A"/>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566C"/>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5342F"/>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C3627"/>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C6C66"/>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7B91"/>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341E0"/>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F1767"/>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B29D1"/>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F3BB5"/>
    <w:multiLevelType w:val="multilevel"/>
    <w:tmpl w:val="9DBC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301CA"/>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551EA"/>
    <w:multiLevelType w:val="hybridMultilevel"/>
    <w:tmpl w:val="7E5C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D71DA"/>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E792D"/>
    <w:multiLevelType w:val="multilevel"/>
    <w:tmpl w:val="1CC4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C5F15"/>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839C3"/>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266263">
    <w:abstractNumId w:val="13"/>
  </w:num>
  <w:num w:numId="2" w16cid:durableId="191573379">
    <w:abstractNumId w:val="7"/>
  </w:num>
  <w:num w:numId="3" w16cid:durableId="1708988691">
    <w:abstractNumId w:val="4"/>
  </w:num>
  <w:num w:numId="4" w16cid:durableId="630474467">
    <w:abstractNumId w:val="2"/>
  </w:num>
  <w:num w:numId="5" w16cid:durableId="1936984804">
    <w:abstractNumId w:val="6"/>
  </w:num>
  <w:num w:numId="6" w16cid:durableId="723916058">
    <w:abstractNumId w:val="15"/>
  </w:num>
  <w:num w:numId="7" w16cid:durableId="992031527">
    <w:abstractNumId w:val="3"/>
  </w:num>
  <w:num w:numId="8" w16cid:durableId="1014305428">
    <w:abstractNumId w:val="1"/>
  </w:num>
  <w:num w:numId="9" w16cid:durableId="1922250065">
    <w:abstractNumId w:val="14"/>
  </w:num>
  <w:num w:numId="10" w16cid:durableId="97414159">
    <w:abstractNumId w:val="11"/>
  </w:num>
  <w:num w:numId="11" w16cid:durableId="64452837">
    <w:abstractNumId w:val="8"/>
  </w:num>
  <w:num w:numId="12" w16cid:durableId="735854644">
    <w:abstractNumId w:val="8"/>
    <w:lvlOverride w:ilvl="1">
      <w:lvl w:ilvl="1">
        <w:numFmt w:val="decimal"/>
        <w:lvlText w:val="%2."/>
        <w:lvlJc w:val="left"/>
      </w:lvl>
    </w:lvlOverride>
  </w:num>
  <w:num w:numId="13" w16cid:durableId="1038361377">
    <w:abstractNumId w:val="0"/>
  </w:num>
  <w:num w:numId="14" w16cid:durableId="106981366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5" w16cid:durableId="1557859510">
    <w:abstractNumId w:val="10"/>
  </w:num>
  <w:num w:numId="16" w16cid:durableId="2132091510">
    <w:abstractNumId w:val="10"/>
    <w:lvlOverride w:ilvl="1">
      <w:lvl w:ilvl="1">
        <w:numFmt w:val="decimal"/>
        <w:lvlText w:val="%2."/>
        <w:lvlJc w:val="left"/>
      </w:lvl>
    </w:lvlOverride>
  </w:num>
  <w:num w:numId="17" w16cid:durableId="915166818">
    <w:abstractNumId w:val="9"/>
  </w:num>
  <w:num w:numId="18" w16cid:durableId="512917274">
    <w:abstractNumId w:val="12"/>
  </w:num>
  <w:num w:numId="19" w16cid:durableId="1586498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03"/>
    <w:rsid w:val="00031517"/>
    <w:rsid w:val="00031772"/>
    <w:rsid w:val="00186C05"/>
    <w:rsid w:val="001B3B98"/>
    <w:rsid w:val="001B5F1E"/>
    <w:rsid w:val="00210B76"/>
    <w:rsid w:val="00217C60"/>
    <w:rsid w:val="00231A65"/>
    <w:rsid w:val="0025578E"/>
    <w:rsid w:val="00293720"/>
    <w:rsid w:val="00323592"/>
    <w:rsid w:val="003368DB"/>
    <w:rsid w:val="003A1B5A"/>
    <w:rsid w:val="003E0285"/>
    <w:rsid w:val="004052F2"/>
    <w:rsid w:val="00405B92"/>
    <w:rsid w:val="004073C1"/>
    <w:rsid w:val="00433D87"/>
    <w:rsid w:val="00481C10"/>
    <w:rsid w:val="004A6373"/>
    <w:rsid w:val="004D5717"/>
    <w:rsid w:val="004D7E2C"/>
    <w:rsid w:val="004E5ADC"/>
    <w:rsid w:val="005150B4"/>
    <w:rsid w:val="00515DDF"/>
    <w:rsid w:val="00530DEA"/>
    <w:rsid w:val="00541F50"/>
    <w:rsid w:val="00547552"/>
    <w:rsid w:val="00555D6D"/>
    <w:rsid w:val="0059114D"/>
    <w:rsid w:val="005A690E"/>
    <w:rsid w:val="005B0C75"/>
    <w:rsid w:val="005B2EF3"/>
    <w:rsid w:val="005E0562"/>
    <w:rsid w:val="00606A82"/>
    <w:rsid w:val="00616013"/>
    <w:rsid w:val="0063499D"/>
    <w:rsid w:val="00661E03"/>
    <w:rsid w:val="00664F22"/>
    <w:rsid w:val="00666791"/>
    <w:rsid w:val="0068183D"/>
    <w:rsid w:val="006D6C8C"/>
    <w:rsid w:val="00721D15"/>
    <w:rsid w:val="00745A63"/>
    <w:rsid w:val="007A0903"/>
    <w:rsid w:val="007D737D"/>
    <w:rsid w:val="00802AB7"/>
    <w:rsid w:val="00813AF4"/>
    <w:rsid w:val="008165A3"/>
    <w:rsid w:val="00872B89"/>
    <w:rsid w:val="00887F9C"/>
    <w:rsid w:val="00892245"/>
    <w:rsid w:val="008D2BF2"/>
    <w:rsid w:val="009059A6"/>
    <w:rsid w:val="00916F1B"/>
    <w:rsid w:val="009414BD"/>
    <w:rsid w:val="009925A7"/>
    <w:rsid w:val="009F3799"/>
    <w:rsid w:val="009F6F7E"/>
    <w:rsid w:val="009F7CE6"/>
    <w:rsid w:val="00A16AE2"/>
    <w:rsid w:val="00A42A8A"/>
    <w:rsid w:val="00A4672D"/>
    <w:rsid w:val="00A67F55"/>
    <w:rsid w:val="00AB2BA8"/>
    <w:rsid w:val="00AC48AE"/>
    <w:rsid w:val="00B04234"/>
    <w:rsid w:val="00B6322B"/>
    <w:rsid w:val="00B743D7"/>
    <w:rsid w:val="00B75448"/>
    <w:rsid w:val="00B76281"/>
    <w:rsid w:val="00B80D83"/>
    <w:rsid w:val="00BB1A43"/>
    <w:rsid w:val="00BC406D"/>
    <w:rsid w:val="00BC4DB0"/>
    <w:rsid w:val="00BF1250"/>
    <w:rsid w:val="00C34611"/>
    <w:rsid w:val="00C40389"/>
    <w:rsid w:val="00C70A55"/>
    <w:rsid w:val="00C81047"/>
    <w:rsid w:val="00CB2866"/>
    <w:rsid w:val="00CD4BD9"/>
    <w:rsid w:val="00CF20F1"/>
    <w:rsid w:val="00D0360C"/>
    <w:rsid w:val="00D12F09"/>
    <w:rsid w:val="00D145B2"/>
    <w:rsid w:val="00D2089D"/>
    <w:rsid w:val="00D57EB8"/>
    <w:rsid w:val="00D73322"/>
    <w:rsid w:val="00D87239"/>
    <w:rsid w:val="00E272B6"/>
    <w:rsid w:val="00E344EE"/>
    <w:rsid w:val="00E430C6"/>
    <w:rsid w:val="00E71530"/>
    <w:rsid w:val="00E82EC3"/>
    <w:rsid w:val="00E83A40"/>
    <w:rsid w:val="00E843E7"/>
    <w:rsid w:val="00ED159A"/>
    <w:rsid w:val="00EF0697"/>
    <w:rsid w:val="00EF3724"/>
    <w:rsid w:val="00EF5201"/>
    <w:rsid w:val="00F52882"/>
    <w:rsid w:val="00F75565"/>
    <w:rsid w:val="00F90CD7"/>
    <w:rsid w:val="00FE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2876"/>
  <w15:chartTrackingRefBased/>
  <w15:docId w15:val="{0FB24B22-5430-48BF-90AF-B2F81F3D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E03"/>
    <w:rPr>
      <w:rFonts w:eastAsiaTheme="majorEastAsia" w:cstheme="majorBidi"/>
      <w:color w:val="272727" w:themeColor="text1" w:themeTint="D8"/>
    </w:rPr>
  </w:style>
  <w:style w:type="paragraph" w:styleId="Title">
    <w:name w:val="Title"/>
    <w:basedOn w:val="Normal"/>
    <w:next w:val="Normal"/>
    <w:link w:val="TitleChar"/>
    <w:uiPriority w:val="10"/>
    <w:qFormat/>
    <w:rsid w:val="00661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E03"/>
    <w:pPr>
      <w:spacing w:before="160"/>
      <w:jc w:val="center"/>
    </w:pPr>
    <w:rPr>
      <w:i/>
      <w:iCs/>
      <w:color w:val="404040" w:themeColor="text1" w:themeTint="BF"/>
    </w:rPr>
  </w:style>
  <w:style w:type="character" w:customStyle="1" w:styleId="QuoteChar">
    <w:name w:val="Quote Char"/>
    <w:basedOn w:val="DefaultParagraphFont"/>
    <w:link w:val="Quote"/>
    <w:uiPriority w:val="29"/>
    <w:rsid w:val="00661E03"/>
    <w:rPr>
      <w:i/>
      <w:iCs/>
      <w:color w:val="404040" w:themeColor="text1" w:themeTint="BF"/>
    </w:rPr>
  </w:style>
  <w:style w:type="paragraph" w:styleId="ListParagraph">
    <w:name w:val="List Paragraph"/>
    <w:basedOn w:val="Normal"/>
    <w:uiPriority w:val="34"/>
    <w:qFormat/>
    <w:rsid w:val="00661E03"/>
    <w:pPr>
      <w:ind w:left="720"/>
      <w:contextualSpacing/>
    </w:pPr>
  </w:style>
  <w:style w:type="character" w:styleId="IntenseEmphasis">
    <w:name w:val="Intense Emphasis"/>
    <w:basedOn w:val="DefaultParagraphFont"/>
    <w:uiPriority w:val="21"/>
    <w:qFormat/>
    <w:rsid w:val="00661E03"/>
    <w:rPr>
      <w:i/>
      <w:iCs/>
      <w:color w:val="0F4761" w:themeColor="accent1" w:themeShade="BF"/>
    </w:rPr>
  </w:style>
  <w:style w:type="paragraph" w:styleId="IntenseQuote">
    <w:name w:val="Intense Quote"/>
    <w:basedOn w:val="Normal"/>
    <w:next w:val="Normal"/>
    <w:link w:val="IntenseQuoteChar"/>
    <w:uiPriority w:val="30"/>
    <w:qFormat/>
    <w:rsid w:val="00661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E03"/>
    <w:rPr>
      <w:i/>
      <w:iCs/>
      <w:color w:val="0F4761" w:themeColor="accent1" w:themeShade="BF"/>
    </w:rPr>
  </w:style>
  <w:style w:type="character" w:styleId="IntenseReference">
    <w:name w:val="Intense Reference"/>
    <w:basedOn w:val="DefaultParagraphFont"/>
    <w:uiPriority w:val="32"/>
    <w:qFormat/>
    <w:rsid w:val="00661E03"/>
    <w:rPr>
      <w:b/>
      <w:bCs/>
      <w:smallCaps/>
      <w:color w:val="0F4761" w:themeColor="accent1" w:themeShade="BF"/>
      <w:spacing w:val="5"/>
    </w:rPr>
  </w:style>
  <w:style w:type="paragraph" w:styleId="NormalWeb">
    <w:name w:val="Normal (Web)"/>
    <w:basedOn w:val="Normal"/>
    <w:uiPriority w:val="99"/>
    <w:semiHidden/>
    <w:unhideWhenUsed/>
    <w:rsid w:val="00872B89"/>
    <w:rPr>
      <w:rFonts w:ascii="Times New Roman" w:hAnsi="Times New Roman" w:cs="Times New Roman"/>
    </w:rPr>
  </w:style>
  <w:style w:type="character" w:styleId="Hyperlink">
    <w:name w:val="Hyperlink"/>
    <w:basedOn w:val="DefaultParagraphFont"/>
    <w:uiPriority w:val="99"/>
    <w:unhideWhenUsed/>
    <w:rsid w:val="00E430C6"/>
    <w:rPr>
      <w:color w:val="467886" w:themeColor="hyperlink"/>
      <w:u w:val="single"/>
    </w:rPr>
  </w:style>
  <w:style w:type="character" w:styleId="UnresolvedMention">
    <w:name w:val="Unresolved Mention"/>
    <w:basedOn w:val="DefaultParagraphFont"/>
    <w:uiPriority w:val="99"/>
    <w:semiHidden/>
    <w:unhideWhenUsed/>
    <w:rsid w:val="00E430C6"/>
    <w:rPr>
      <w:color w:val="605E5C"/>
      <w:shd w:val="clear" w:color="auto" w:fill="E1DFDD"/>
    </w:rPr>
  </w:style>
  <w:style w:type="table" w:styleId="TableGrid">
    <w:name w:val="Table Grid"/>
    <w:basedOn w:val="TableNormal"/>
    <w:uiPriority w:val="39"/>
    <w:rsid w:val="00D2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6585">
      <w:bodyDiv w:val="1"/>
      <w:marLeft w:val="0"/>
      <w:marRight w:val="0"/>
      <w:marTop w:val="0"/>
      <w:marBottom w:val="0"/>
      <w:divBdr>
        <w:top w:val="none" w:sz="0" w:space="0" w:color="auto"/>
        <w:left w:val="none" w:sz="0" w:space="0" w:color="auto"/>
        <w:bottom w:val="none" w:sz="0" w:space="0" w:color="auto"/>
        <w:right w:val="none" w:sz="0" w:space="0" w:color="auto"/>
      </w:divBdr>
    </w:div>
    <w:div w:id="64573173">
      <w:bodyDiv w:val="1"/>
      <w:marLeft w:val="0"/>
      <w:marRight w:val="0"/>
      <w:marTop w:val="0"/>
      <w:marBottom w:val="0"/>
      <w:divBdr>
        <w:top w:val="none" w:sz="0" w:space="0" w:color="auto"/>
        <w:left w:val="none" w:sz="0" w:space="0" w:color="auto"/>
        <w:bottom w:val="none" w:sz="0" w:space="0" w:color="auto"/>
        <w:right w:val="none" w:sz="0" w:space="0" w:color="auto"/>
      </w:divBdr>
    </w:div>
    <w:div w:id="73358992">
      <w:bodyDiv w:val="1"/>
      <w:marLeft w:val="0"/>
      <w:marRight w:val="0"/>
      <w:marTop w:val="0"/>
      <w:marBottom w:val="0"/>
      <w:divBdr>
        <w:top w:val="none" w:sz="0" w:space="0" w:color="auto"/>
        <w:left w:val="none" w:sz="0" w:space="0" w:color="auto"/>
        <w:bottom w:val="none" w:sz="0" w:space="0" w:color="auto"/>
        <w:right w:val="none" w:sz="0" w:space="0" w:color="auto"/>
      </w:divBdr>
    </w:div>
    <w:div w:id="206986877">
      <w:bodyDiv w:val="1"/>
      <w:marLeft w:val="0"/>
      <w:marRight w:val="0"/>
      <w:marTop w:val="0"/>
      <w:marBottom w:val="0"/>
      <w:divBdr>
        <w:top w:val="none" w:sz="0" w:space="0" w:color="auto"/>
        <w:left w:val="none" w:sz="0" w:space="0" w:color="auto"/>
        <w:bottom w:val="none" w:sz="0" w:space="0" w:color="auto"/>
        <w:right w:val="none" w:sz="0" w:space="0" w:color="auto"/>
      </w:divBdr>
    </w:div>
    <w:div w:id="218633386">
      <w:bodyDiv w:val="1"/>
      <w:marLeft w:val="0"/>
      <w:marRight w:val="0"/>
      <w:marTop w:val="0"/>
      <w:marBottom w:val="0"/>
      <w:divBdr>
        <w:top w:val="none" w:sz="0" w:space="0" w:color="auto"/>
        <w:left w:val="none" w:sz="0" w:space="0" w:color="auto"/>
        <w:bottom w:val="none" w:sz="0" w:space="0" w:color="auto"/>
        <w:right w:val="none" w:sz="0" w:space="0" w:color="auto"/>
      </w:divBdr>
    </w:div>
    <w:div w:id="274487166">
      <w:bodyDiv w:val="1"/>
      <w:marLeft w:val="0"/>
      <w:marRight w:val="0"/>
      <w:marTop w:val="0"/>
      <w:marBottom w:val="0"/>
      <w:divBdr>
        <w:top w:val="none" w:sz="0" w:space="0" w:color="auto"/>
        <w:left w:val="none" w:sz="0" w:space="0" w:color="auto"/>
        <w:bottom w:val="none" w:sz="0" w:space="0" w:color="auto"/>
        <w:right w:val="none" w:sz="0" w:space="0" w:color="auto"/>
      </w:divBdr>
    </w:div>
    <w:div w:id="289557294">
      <w:bodyDiv w:val="1"/>
      <w:marLeft w:val="0"/>
      <w:marRight w:val="0"/>
      <w:marTop w:val="0"/>
      <w:marBottom w:val="0"/>
      <w:divBdr>
        <w:top w:val="none" w:sz="0" w:space="0" w:color="auto"/>
        <w:left w:val="none" w:sz="0" w:space="0" w:color="auto"/>
        <w:bottom w:val="none" w:sz="0" w:space="0" w:color="auto"/>
        <w:right w:val="none" w:sz="0" w:space="0" w:color="auto"/>
      </w:divBdr>
    </w:div>
    <w:div w:id="291256446">
      <w:bodyDiv w:val="1"/>
      <w:marLeft w:val="0"/>
      <w:marRight w:val="0"/>
      <w:marTop w:val="0"/>
      <w:marBottom w:val="0"/>
      <w:divBdr>
        <w:top w:val="none" w:sz="0" w:space="0" w:color="auto"/>
        <w:left w:val="none" w:sz="0" w:space="0" w:color="auto"/>
        <w:bottom w:val="none" w:sz="0" w:space="0" w:color="auto"/>
        <w:right w:val="none" w:sz="0" w:space="0" w:color="auto"/>
      </w:divBdr>
    </w:div>
    <w:div w:id="302590126">
      <w:bodyDiv w:val="1"/>
      <w:marLeft w:val="0"/>
      <w:marRight w:val="0"/>
      <w:marTop w:val="0"/>
      <w:marBottom w:val="0"/>
      <w:divBdr>
        <w:top w:val="none" w:sz="0" w:space="0" w:color="auto"/>
        <w:left w:val="none" w:sz="0" w:space="0" w:color="auto"/>
        <w:bottom w:val="none" w:sz="0" w:space="0" w:color="auto"/>
        <w:right w:val="none" w:sz="0" w:space="0" w:color="auto"/>
      </w:divBdr>
    </w:div>
    <w:div w:id="311296873">
      <w:bodyDiv w:val="1"/>
      <w:marLeft w:val="0"/>
      <w:marRight w:val="0"/>
      <w:marTop w:val="0"/>
      <w:marBottom w:val="0"/>
      <w:divBdr>
        <w:top w:val="none" w:sz="0" w:space="0" w:color="auto"/>
        <w:left w:val="none" w:sz="0" w:space="0" w:color="auto"/>
        <w:bottom w:val="none" w:sz="0" w:space="0" w:color="auto"/>
        <w:right w:val="none" w:sz="0" w:space="0" w:color="auto"/>
      </w:divBdr>
    </w:div>
    <w:div w:id="324893911">
      <w:bodyDiv w:val="1"/>
      <w:marLeft w:val="0"/>
      <w:marRight w:val="0"/>
      <w:marTop w:val="0"/>
      <w:marBottom w:val="0"/>
      <w:divBdr>
        <w:top w:val="none" w:sz="0" w:space="0" w:color="auto"/>
        <w:left w:val="none" w:sz="0" w:space="0" w:color="auto"/>
        <w:bottom w:val="none" w:sz="0" w:space="0" w:color="auto"/>
        <w:right w:val="none" w:sz="0" w:space="0" w:color="auto"/>
      </w:divBdr>
    </w:div>
    <w:div w:id="365449265">
      <w:bodyDiv w:val="1"/>
      <w:marLeft w:val="0"/>
      <w:marRight w:val="0"/>
      <w:marTop w:val="0"/>
      <w:marBottom w:val="0"/>
      <w:divBdr>
        <w:top w:val="none" w:sz="0" w:space="0" w:color="auto"/>
        <w:left w:val="none" w:sz="0" w:space="0" w:color="auto"/>
        <w:bottom w:val="none" w:sz="0" w:space="0" w:color="auto"/>
        <w:right w:val="none" w:sz="0" w:space="0" w:color="auto"/>
      </w:divBdr>
    </w:div>
    <w:div w:id="442041758">
      <w:bodyDiv w:val="1"/>
      <w:marLeft w:val="0"/>
      <w:marRight w:val="0"/>
      <w:marTop w:val="0"/>
      <w:marBottom w:val="0"/>
      <w:divBdr>
        <w:top w:val="none" w:sz="0" w:space="0" w:color="auto"/>
        <w:left w:val="none" w:sz="0" w:space="0" w:color="auto"/>
        <w:bottom w:val="none" w:sz="0" w:space="0" w:color="auto"/>
        <w:right w:val="none" w:sz="0" w:space="0" w:color="auto"/>
      </w:divBdr>
    </w:div>
    <w:div w:id="534390416">
      <w:bodyDiv w:val="1"/>
      <w:marLeft w:val="0"/>
      <w:marRight w:val="0"/>
      <w:marTop w:val="0"/>
      <w:marBottom w:val="0"/>
      <w:divBdr>
        <w:top w:val="none" w:sz="0" w:space="0" w:color="auto"/>
        <w:left w:val="none" w:sz="0" w:space="0" w:color="auto"/>
        <w:bottom w:val="none" w:sz="0" w:space="0" w:color="auto"/>
        <w:right w:val="none" w:sz="0" w:space="0" w:color="auto"/>
      </w:divBdr>
    </w:div>
    <w:div w:id="573781499">
      <w:bodyDiv w:val="1"/>
      <w:marLeft w:val="0"/>
      <w:marRight w:val="0"/>
      <w:marTop w:val="0"/>
      <w:marBottom w:val="0"/>
      <w:divBdr>
        <w:top w:val="none" w:sz="0" w:space="0" w:color="auto"/>
        <w:left w:val="none" w:sz="0" w:space="0" w:color="auto"/>
        <w:bottom w:val="none" w:sz="0" w:space="0" w:color="auto"/>
        <w:right w:val="none" w:sz="0" w:space="0" w:color="auto"/>
      </w:divBdr>
    </w:div>
    <w:div w:id="691077164">
      <w:bodyDiv w:val="1"/>
      <w:marLeft w:val="0"/>
      <w:marRight w:val="0"/>
      <w:marTop w:val="0"/>
      <w:marBottom w:val="0"/>
      <w:divBdr>
        <w:top w:val="none" w:sz="0" w:space="0" w:color="auto"/>
        <w:left w:val="none" w:sz="0" w:space="0" w:color="auto"/>
        <w:bottom w:val="none" w:sz="0" w:space="0" w:color="auto"/>
        <w:right w:val="none" w:sz="0" w:space="0" w:color="auto"/>
      </w:divBdr>
    </w:div>
    <w:div w:id="898398954">
      <w:bodyDiv w:val="1"/>
      <w:marLeft w:val="0"/>
      <w:marRight w:val="0"/>
      <w:marTop w:val="0"/>
      <w:marBottom w:val="0"/>
      <w:divBdr>
        <w:top w:val="none" w:sz="0" w:space="0" w:color="auto"/>
        <w:left w:val="none" w:sz="0" w:space="0" w:color="auto"/>
        <w:bottom w:val="none" w:sz="0" w:space="0" w:color="auto"/>
        <w:right w:val="none" w:sz="0" w:space="0" w:color="auto"/>
      </w:divBdr>
      <w:divsChild>
        <w:div w:id="1052078473">
          <w:marLeft w:val="0"/>
          <w:marRight w:val="0"/>
          <w:marTop w:val="0"/>
          <w:marBottom w:val="0"/>
          <w:divBdr>
            <w:top w:val="single" w:sz="2" w:space="0" w:color="auto"/>
            <w:left w:val="single" w:sz="2" w:space="0" w:color="auto"/>
            <w:bottom w:val="single" w:sz="2" w:space="0" w:color="auto"/>
            <w:right w:val="single" w:sz="2" w:space="0" w:color="auto"/>
          </w:divBdr>
          <w:divsChild>
            <w:div w:id="518079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8213275">
      <w:bodyDiv w:val="1"/>
      <w:marLeft w:val="0"/>
      <w:marRight w:val="0"/>
      <w:marTop w:val="0"/>
      <w:marBottom w:val="0"/>
      <w:divBdr>
        <w:top w:val="none" w:sz="0" w:space="0" w:color="auto"/>
        <w:left w:val="none" w:sz="0" w:space="0" w:color="auto"/>
        <w:bottom w:val="none" w:sz="0" w:space="0" w:color="auto"/>
        <w:right w:val="none" w:sz="0" w:space="0" w:color="auto"/>
      </w:divBdr>
    </w:div>
    <w:div w:id="1094782285">
      <w:bodyDiv w:val="1"/>
      <w:marLeft w:val="0"/>
      <w:marRight w:val="0"/>
      <w:marTop w:val="0"/>
      <w:marBottom w:val="0"/>
      <w:divBdr>
        <w:top w:val="none" w:sz="0" w:space="0" w:color="auto"/>
        <w:left w:val="none" w:sz="0" w:space="0" w:color="auto"/>
        <w:bottom w:val="none" w:sz="0" w:space="0" w:color="auto"/>
        <w:right w:val="none" w:sz="0" w:space="0" w:color="auto"/>
      </w:divBdr>
    </w:div>
    <w:div w:id="1099830245">
      <w:bodyDiv w:val="1"/>
      <w:marLeft w:val="0"/>
      <w:marRight w:val="0"/>
      <w:marTop w:val="0"/>
      <w:marBottom w:val="0"/>
      <w:divBdr>
        <w:top w:val="none" w:sz="0" w:space="0" w:color="auto"/>
        <w:left w:val="none" w:sz="0" w:space="0" w:color="auto"/>
        <w:bottom w:val="none" w:sz="0" w:space="0" w:color="auto"/>
        <w:right w:val="none" w:sz="0" w:space="0" w:color="auto"/>
      </w:divBdr>
    </w:div>
    <w:div w:id="1143431459">
      <w:bodyDiv w:val="1"/>
      <w:marLeft w:val="0"/>
      <w:marRight w:val="0"/>
      <w:marTop w:val="0"/>
      <w:marBottom w:val="0"/>
      <w:divBdr>
        <w:top w:val="none" w:sz="0" w:space="0" w:color="auto"/>
        <w:left w:val="none" w:sz="0" w:space="0" w:color="auto"/>
        <w:bottom w:val="none" w:sz="0" w:space="0" w:color="auto"/>
        <w:right w:val="none" w:sz="0" w:space="0" w:color="auto"/>
      </w:divBdr>
    </w:div>
    <w:div w:id="1245605149">
      <w:bodyDiv w:val="1"/>
      <w:marLeft w:val="0"/>
      <w:marRight w:val="0"/>
      <w:marTop w:val="0"/>
      <w:marBottom w:val="0"/>
      <w:divBdr>
        <w:top w:val="none" w:sz="0" w:space="0" w:color="auto"/>
        <w:left w:val="none" w:sz="0" w:space="0" w:color="auto"/>
        <w:bottom w:val="none" w:sz="0" w:space="0" w:color="auto"/>
        <w:right w:val="none" w:sz="0" w:space="0" w:color="auto"/>
      </w:divBdr>
      <w:divsChild>
        <w:div w:id="731543302">
          <w:marLeft w:val="0"/>
          <w:marRight w:val="0"/>
          <w:marTop w:val="0"/>
          <w:marBottom w:val="0"/>
          <w:divBdr>
            <w:top w:val="single" w:sz="2" w:space="0" w:color="auto"/>
            <w:left w:val="single" w:sz="2" w:space="0" w:color="auto"/>
            <w:bottom w:val="single" w:sz="2" w:space="0" w:color="auto"/>
            <w:right w:val="single" w:sz="2" w:space="0" w:color="auto"/>
          </w:divBdr>
          <w:divsChild>
            <w:div w:id="960186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0454288">
      <w:bodyDiv w:val="1"/>
      <w:marLeft w:val="0"/>
      <w:marRight w:val="0"/>
      <w:marTop w:val="0"/>
      <w:marBottom w:val="0"/>
      <w:divBdr>
        <w:top w:val="none" w:sz="0" w:space="0" w:color="auto"/>
        <w:left w:val="none" w:sz="0" w:space="0" w:color="auto"/>
        <w:bottom w:val="none" w:sz="0" w:space="0" w:color="auto"/>
        <w:right w:val="none" w:sz="0" w:space="0" w:color="auto"/>
      </w:divBdr>
    </w:div>
    <w:div w:id="1345204426">
      <w:bodyDiv w:val="1"/>
      <w:marLeft w:val="0"/>
      <w:marRight w:val="0"/>
      <w:marTop w:val="0"/>
      <w:marBottom w:val="0"/>
      <w:divBdr>
        <w:top w:val="none" w:sz="0" w:space="0" w:color="auto"/>
        <w:left w:val="none" w:sz="0" w:space="0" w:color="auto"/>
        <w:bottom w:val="none" w:sz="0" w:space="0" w:color="auto"/>
        <w:right w:val="none" w:sz="0" w:space="0" w:color="auto"/>
      </w:divBdr>
    </w:div>
    <w:div w:id="1435397959">
      <w:bodyDiv w:val="1"/>
      <w:marLeft w:val="0"/>
      <w:marRight w:val="0"/>
      <w:marTop w:val="0"/>
      <w:marBottom w:val="0"/>
      <w:divBdr>
        <w:top w:val="none" w:sz="0" w:space="0" w:color="auto"/>
        <w:left w:val="none" w:sz="0" w:space="0" w:color="auto"/>
        <w:bottom w:val="none" w:sz="0" w:space="0" w:color="auto"/>
        <w:right w:val="none" w:sz="0" w:space="0" w:color="auto"/>
      </w:divBdr>
      <w:divsChild>
        <w:div w:id="1562207545">
          <w:marLeft w:val="0"/>
          <w:marRight w:val="0"/>
          <w:marTop w:val="0"/>
          <w:marBottom w:val="0"/>
          <w:divBdr>
            <w:top w:val="none" w:sz="0" w:space="0" w:color="auto"/>
            <w:left w:val="none" w:sz="0" w:space="0" w:color="auto"/>
            <w:bottom w:val="none" w:sz="0" w:space="0" w:color="auto"/>
            <w:right w:val="none" w:sz="0" w:space="0" w:color="auto"/>
          </w:divBdr>
          <w:divsChild>
            <w:div w:id="25526217">
              <w:marLeft w:val="0"/>
              <w:marRight w:val="0"/>
              <w:marTop w:val="0"/>
              <w:marBottom w:val="0"/>
              <w:divBdr>
                <w:top w:val="none" w:sz="0" w:space="0" w:color="auto"/>
                <w:left w:val="none" w:sz="0" w:space="0" w:color="auto"/>
                <w:bottom w:val="none" w:sz="0" w:space="0" w:color="auto"/>
                <w:right w:val="none" w:sz="0" w:space="0" w:color="auto"/>
              </w:divBdr>
              <w:divsChild>
                <w:div w:id="1459570856">
                  <w:marLeft w:val="0"/>
                  <w:marRight w:val="0"/>
                  <w:marTop w:val="0"/>
                  <w:marBottom w:val="0"/>
                  <w:divBdr>
                    <w:top w:val="none" w:sz="0" w:space="0" w:color="auto"/>
                    <w:left w:val="none" w:sz="0" w:space="0" w:color="auto"/>
                    <w:bottom w:val="none" w:sz="0" w:space="0" w:color="auto"/>
                    <w:right w:val="none" w:sz="0" w:space="0" w:color="auto"/>
                  </w:divBdr>
                  <w:divsChild>
                    <w:div w:id="452556303">
                      <w:marLeft w:val="0"/>
                      <w:marRight w:val="0"/>
                      <w:marTop w:val="0"/>
                      <w:marBottom w:val="0"/>
                      <w:divBdr>
                        <w:top w:val="none" w:sz="0" w:space="0" w:color="auto"/>
                        <w:left w:val="none" w:sz="0" w:space="0" w:color="auto"/>
                        <w:bottom w:val="none" w:sz="0" w:space="0" w:color="auto"/>
                        <w:right w:val="none" w:sz="0" w:space="0" w:color="auto"/>
                      </w:divBdr>
                      <w:divsChild>
                        <w:div w:id="132138346">
                          <w:marLeft w:val="0"/>
                          <w:marRight w:val="0"/>
                          <w:marTop w:val="0"/>
                          <w:marBottom w:val="0"/>
                          <w:divBdr>
                            <w:top w:val="none" w:sz="0" w:space="0" w:color="auto"/>
                            <w:left w:val="none" w:sz="0" w:space="0" w:color="auto"/>
                            <w:bottom w:val="none" w:sz="0" w:space="0" w:color="auto"/>
                            <w:right w:val="none" w:sz="0" w:space="0" w:color="auto"/>
                          </w:divBdr>
                          <w:divsChild>
                            <w:div w:id="19067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90690">
      <w:bodyDiv w:val="1"/>
      <w:marLeft w:val="0"/>
      <w:marRight w:val="0"/>
      <w:marTop w:val="0"/>
      <w:marBottom w:val="0"/>
      <w:divBdr>
        <w:top w:val="none" w:sz="0" w:space="0" w:color="auto"/>
        <w:left w:val="none" w:sz="0" w:space="0" w:color="auto"/>
        <w:bottom w:val="none" w:sz="0" w:space="0" w:color="auto"/>
        <w:right w:val="none" w:sz="0" w:space="0" w:color="auto"/>
      </w:divBdr>
    </w:div>
    <w:div w:id="1518348509">
      <w:bodyDiv w:val="1"/>
      <w:marLeft w:val="0"/>
      <w:marRight w:val="0"/>
      <w:marTop w:val="0"/>
      <w:marBottom w:val="0"/>
      <w:divBdr>
        <w:top w:val="none" w:sz="0" w:space="0" w:color="auto"/>
        <w:left w:val="none" w:sz="0" w:space="0" w:color="auto"/>
        <w:bottom w:val="none" w:sz="0" w:space="0" w:color="auto"/>
        <w:right w:val="none" w:sz="0" w:space="0" w:color="auto"/>
      </w:divBdr>
    </w:div>
    <w:div w:id="1571118606">
      <w:bodyDiv w:val="1"/>
      <w:marLeft w:val="0"/>
      <w:marRight w:val="0"/>
      <w:marTop w:val="0"/>
      <w:marBottom w:val="0"/>
      <w:divBdr>
        <w:top w:val="none" w:sz="0" w:space="0" w:color="auto"/>
        <w:left w:val="none" w:sz="0" w:space="0" w:color="auto"/>
        <w:bottom w:val="none" w:sz="0" w:space="0" w:color="auto"/>
        <w:right w:val="none" w:sz="0" w:space="0" w:color="auto"/>
      </w:divBdr>
    </w:div>
    <w:div w:id="1596867014">
      <w:bodyDiv w:val="1"/>
      <w:marLeft w:val="0"/>
      <w:marRight w:val="0"/>
      <w:marTop w:val="0"/>
      <w:marBottom w:val="0"/>
      <w:divBdr>
        <w:top w:val="none" w:sz="0" w:space="0" w:color="auto"/>
        <w:left w:val="none" w:sz="0" w:space="0" w:color="auto"/>
        <w:bottom w:val="none" w:sz="0" w:space="0" w:color="auto"/>
        <w:right w:val="none" w:sz="0" w:space="0" w:color="auto"/>
      </w:divBdr>
    </w:div>
    <w:div w:id="1723168760">
      <w:bodyDiv w:val="1"/>
      <w:marLeft w:val="0"/>
      <w:marRight w:val="0"/>
      <w:marTop w:val="0"/>
      <w:marBottom w:val="0"/>
      <w:divBdr>
        <w:top w:val="none" w:sz="0" w:space="0" w:color="auto"/>
        <w:left w:val="none" w:sz="0" w:space="0" w:color="auto"/>
        <w:bottom w:val="none" w:sz="0" w:space="0" w:color="auto"/>
        <w:right w:val="none" w:sz="0" w:space="0" w:color="auto"/>
      </w:divBdr>
    </w:div>
    <w:div w:id="1919437468">
      <w:bodyDiv w:val="1"/>
      <w:marLeft w:val="0"/>
      <w:marRight w:val="0"/>
      <w:marTop w:val="0"/>
      <w:marBottom w:val="0"/>
      <w:divBdr>
        <w:top w:val="none" w:sz="0" w:space="0" w:color="auto"/>
        <w:left w:val="none" w:sz="0" w:space="0" w:color="auto"/>
        <w:bottom w:val="none" w:sz="0" w:space="0" w:color="auto"/>
        <w:right w:val="none" w:sz="0" w:space="0" w:color="auto"/>
      </w:divBdr>
    </w:div>
    <w:div w:id="1926572911">
      <w:bodyDiv w:val="1"/>
      <w:marLeft w:val="0"/>
      <w:marRight w:val="0"/>
      <w:marTop w:val="0"/>
      <w:marBottom w:val="0"/>
      <w:divBdr>
        <w:top w:val="none" w:sz="0" w:space="0" w:color="auto"/>
        <w:left w:val="none" w:sz="0" w:space="0" w:color="auto"/>
        <w:bottom w:val="none" w:sz="0" w:space="0" w:color="auto"/>
        <w:right w:val="none" w:sz="0" w:space="0" w:color="auto"/>
      </w:divBdr>
    </w:div>
    <w:div w:id="1996376444">
      <w:bodyDiv w:val="1"/>
      <w:marLeft w:val="0"/>
      <w:marRight w:val="0"/>
      <w:marTop w:val="0"/>
      <w:marBottom w:val="0"/>
      <w:divBdr>
        <w:top w:val="none" w:sz="0" w:space="0" w:color="auto"/>
        <w:left w:val="none" w:sz="0" w:space="0" w:color="auto"/>
        <w:bottom w:val="none" w:sz="0" w:space="0" w:color="auto"/>
        <w:right w:val="none" w:sz="0" w:space="0" w:color="auto"/>
      </w:divBdr>
    </w:div>
    <w:div w:id="2008245308">
      <w:bodyDiv w:val="1"/>
      <w:marLeft w:val="0"/>
      <w:marRight w:val="0"/>
      <w:marTop w:val="0"/>
      <w:marBottom w:val="0"/>
      <w:divBdr>
        <w:top w:val="none" w:sz="0" w:space="0" w:color="auto"/>
        <w:left w:val="none" w:sz="0" w:space="0" w:color="auto"/>
        <w:bottom w:val="none" w:sz="0" w:space="0" w:color="auto"/>
        <w:right w:val="none" w:sz="0" w:space="0" w:color="auto"/>
      </w:divBdr>
    </w:div>
    <w:div w:id="2025816024">
      <w:bodyDiv w:val="1"/>
      <w:marLeft w:val="0"/>
      <w:marRight w:val="0"/>
      <w:marTop w:val="0"/>
      <w:marBottom w:val="0"/>
      <w:divBdr>
        <w:top w:val="none" w:sz="0" w:space="0" w:color="auto"/>
        <w:left w:val="none" w:sz="0" w:space="0" w:color="auto"/>
        <w:bottom w:val="none" w:sz="0" w:space="0" w:color="auto"/>
        <w:right w:val="none" w:sz="0" w:space="0" w:color="auto"/>
      </w:divBdr>
    </w:div>
    <w:div w:id="2058316174">
      <w:bodyDiv w:val="1"/>
      <w:marLeft w:val="0"/>
      <w:marRight w:val="0"/>
      <w:marTop w:val="0"/>
      <w:marBottom w:val="0"/>
      <w:divBdr>
        <w:top w:val="none" w:sz="0" w:space="0" w:color="auto"/>
        <w:left w:val="none" w:sz="0" w:space="0" w:color="auto"/>
        <w:bottom w:val="none" w:sz="0" w:space="0" w:color="auto"/>
        <w:right w:val="none" w:sz="0" w:space="0" w:color="auto"/>
      </w:divBdr>
    </w:div>
    <w:div w:id="2090079431">
      <w:bodyDiv w:val="1"/>
      <w:marLeft w:val="0"/>
      <w:marRight w:val="0"/>
      <w:marTop w:val="0"/>
      <w:marBottom w:val="0"/>
      <w:divBdr>
        <w:top w:val="none" w:sz="0" w:space="0" w:color="auto"/>
        <w:left w:val="none" w:sz="0" w:space="0" w:color="auto"/>
        <w:bottom w:val="none" w:sz="0" w:space="0" w:color="auto"/>
        <w:right w:val="none" w:sz="0" w:space="0" w:color="auto"/>
      </w:divBdr>
    </w:div>
    <w:div w:id="2092311476">
      <w:bodyDiv w:val="1"/>
      <w:marLeft w:val="0"/>
      <w:marRight w:val="0"/>
      <w:marTop w:val="0"/>
      <w:marBottom w:val="0"/>
      <w:divBdr>
        <w:top w:val="none" w:sz="0" w:space="0" w:color="auto"/>
        <w:left w:val="none" w:sz="0" w:space="0" w:color="auto"/>
        <w:bottom w:val="none" w:sz="0" w:space="0" w:color="auto"/>
        <w:right w:val="none" w:sz="0" w:space="0" w:color="auto"/>
      </w:divBdr>
      <w:divsChild>
        <w:div w:id="1725525406">
          <w:marLeft w:val="0"/>
          <w:marRight w:val="0"/>
          <w:marTop w:val="0"/>
          <w:marBottom w:val="0"/>
          <w:divBdr>
            <w:top w:val="none" w:sz="0" w:space="0" w:color="auto"/>
            <w:left w:val="none" w:sz="0" w:space="0" w:color="auto"/>
            <w:bottom w:val="none" w:sz="0" w:space="0" w:color="auto"/>
            <w:right w:val="none" w:sz="0" w:space="0" w:color="auto"/>
          </w:divBdr>
          <w:divsChild>
            <w:div w:id="1947273002">
              <w:marLeft w:val="0"/>
              <w:marRight w:val="0"/>
              <w:marTop w:val="0"/>
              <w:marBottom w:val="0"/>
              <w:divBdr>
                <w:top w:val="none" w:sz="0" w:space="0" w:color="auto"/>
                <w:left w:val="none" w:sz="0" w:space="0" w:color="auto"/>
                <w:bottom w:val="none" w:sz="0" w:space="0" w:color="auto"/>
                <w:right w:val="none" w:sz="0" w:space="0" w:color="auto"/>
              </w:divBdr>
              <w:divsChild>
                <w:div w:id="132259034">
                  <w:marLeft w:val="0"/>
                  <w:marRight w:val="0"/>
                  <w:marTop w:val="0"/>
                  <w:marBottom w:val="0"/>
                  <w:divBdr>
                    <w:top w:val="none" w:sz="0" w:space="0" w:color="auto"/>
                    <w:left w:val="none" w:sz="0" w:space="0" w:color="auto"/>
                    <w:bottom w:val="none" w:sz="0" w:space="0" w:color="auto"/>
                    <w:right w:val="none" w:sz="0" w:space="0" w:color="auto"/>
                  </w:divBdr>
                  <w:divsChild>
                    <w:div w:id="1562591367">
                      <w:marLeft w:val="0"/>
                      <w:marRight w:val="0"/>
                      <w:marTop w:val="0"/>
                      <w:marBottom w:val="0"/>
                      <w:divBdr>
                        <w:top w:val="none" w:sz="0" w:space="0" w:color="auto"/>
                        <w:left w:val="none" w:sz="0" w:space="0" w:color="auto"/>
                        <w:bottom w:val="none" w:sz="0" w:space="0" w:color="auto"/>
                        <w:right w:val="none" w:sz="0" w:space="0" w:color="auto"/>
                      </w:divBdr>
                      <w:divsChild>
                        <w:div w:id="884566389">
                          <w:marLeft w:val="0"/>
                          <w:marRight w:val="0"/>
                          <w:marTop w:val="0"/>
                          <w:marBottom w:val="0"/>
                          <w:divBdr>
                            <w:top w:val="none" w:sz="0" w:space="0" w:color="auto"/>
                            <w:left w:val="none" w:sz="0" w:space="0" w:color="auto"/>
                            <w:bottom w:val="none" w:sz="0" w:space="0" w:color="auto"/>
                            <w:right w:val="none" w:sz="0" w:space="0" w:color="auto"/>
                          </w:divBdr>
                          <w:divsChild>
                            <w:div w:id="2629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daq.com/articles/competitor-analysis:-evaluating-visa-and-competitors-in-financial-services-industry" TargetMode="External"/><Relationship Id="rId13" Type="http://schemas.openxmlformats.org/officeDocument/2006/relationships/hyperlink" Target="https://trendlyne.com/us/fundamentals/peer-group/1405027/V/visa-inc-ordinary-shares-class-a/" TargetMode="External"/><Relationship Id="rId18" Type="http://schemas.openxmlformats.org/officeDocument/2006/relationships/hyperlink" Target="https://www.cnbc.com/2022/04/11/how-to-use-peer-to-peer-payment-apps-like-venmo-cash-paypal-zelle.html" TargetMode="External"/><Relationship Id="rId26" Type="http://schemas.openxmlformats.org/officeDocument/2006/relationships/hyperlink" Target="https://navigate.visa.com/na/money-movement/unlocking-the-opportunities-of-open-banking/" TargetMode="External"/><Relationship Id="rId3" Type="http://schemas.openxmlformats.org/officeDocument/2006/relationships/styles" Target="styles.xml"/><Relationship Id="rId21" Type="http://schemas.openxmlformats.org/officeDocument/2006/relationships/hyperlink" Target="https://trendlyne.com/us/equity/1405027/V/visa-inc-ordinary-shares-class-a/" TargetMode="External"/><Relationship Id="rId7" Type="http://schemas.openxmlformats.org/officeDocument/2006/relationships/hyperlink" Target="https://doi.org/10.12688/f1000research.133518.2" TargetMode="External"/><Relationship Id="rId12" Type="http://schemas.openxmlformats.org/officeDocument/2006/relationships/hyperlink" Target="https://finance.yahoo.com/news/decoding-visa-inc-v-strategic-050430076.html" TargetMode="External"/><Relationship Id="rId17" Type="http://schemas.openxmlformats.org/officeDocument/2006/relationships/hyperlink" Target="https://seekingalpha.com/symbol/V/peers/comparison" TargetMode="External"/><Relationship Id="rId25" Type="http://schemas.openxmlformats.org/officeDocument/2006/relationships/hyperlink" Target="https://www.visa.co.uk/about-visa.html" TargetMode="External"/><Relationship Id="rId2" Type="http://schemas.openxmlformats.org/officeDocument/2006/relationships/numbering" Target="numbering.xml"/><Relationship Id="rId16" Type="http://schemas.openxmlformats.org/officeDocument/2006/relationships/hyperlink" Target="https://www.paypal.com/us/money-hub/article/what-are-p2p-payments" TargetMode="External"/><Relationship Id="rId20" Type="http://schemas.openxmlformats.org/officeDocument/2006/relationships/hyperlink" Target="https://www.forbes.com/sites/greatspeculations/2019/03/13/what-are-visas-key-value-driv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inancemagnates.com/author/pedro/" TargetMode="External"/><Relationship Id="rId11" Type="http://schemas.openxmlformats.org/officeDocument/2006/relationships/hyperlink" Target="https://www.fca.org.uk/publication/discussion/dp22-5.pdf" TargetMode="External"/><Relationship Id="rId24" Type="http://schemas.openxmlformats.org/officeDocument/2006/relationships/hyperlink" Target="https://usa.visa.com/services/visa-innovation-and-design/three-key-trends-in-payments-and-commerce-2024.html" TargetMode="External"/><Relationship Id="rId5" Type="http://schemas.openxmlformats.org/officeDocument/2006/relationships/webSettings" Target="webSettings.xml"/><Relationship Id="rId15" Type="http://schemas.openxmlformats.org/officeDocument/2006/relationships/hyperlink" Target="https://www.mckinsey.com/industries/financial-services/our-insights/the-2023-mckinsey-global-payments-report" TargetMode="External"/><Relationship Id="rId23" Type="http://schemas.openxmlformats.org/officeDocument/2006/relationships/hyperlink" Target="https://annualreport.visa.com/financials/default.aspx" TargetMode="External"/><Relationship Id="rId28" Type="http://schemas.openxmlformats.org/officeDocument/2006/relationships/hyperlink" Target="https://finance.yahoo.com/quote/V/profile/" TargetMode="External"/><Relationship Id="rId10" Type="http://schemas.openxmlformats.org/officeDocument/2006/relationships/hyperlink" Target="https://www.financemagnates.com/fintech/payments/best-alternatives-to-visa-or-mastercard/" TargetMode="External"/><Relationship Id="rId19" Type="http://schemas.openxmlformats.org/officeDocument/2006/relationships/hyperlink" Target="https://thestrategystory.com/blog/visa-swot-analysis/" TargetMode="External"/><Relationship Id="rId4" Type="http://schemas.openxmlformats.org/officeDocument/2006/relationships/settings" Target="settings.xml"/><Relationship Id="rId9" Type="http://schemas.openxmlformats.org/officeDocument/2006/relationships/hyperlink" Target="https://www.financemagnates.com/author/pedro/" TargetMode="External"/><Relationship Id="rId14" Type="http://schemas.openxmlformats.org/officeDocument/2006/relationships/hyperlink" Target="https://www.britannica.com/money/peer-to-peer-payment-overview" TargetMode="External"/><Relationship Id="rId22" Type="http://schemas.openxmlformats.org/officeDocument/2006/relationships/hyperlink" Target="https://doi.org/10.1016/j.dajour.2023.100344" TargetMode="External"/><Relationship Id="rId27" Type="http://schemas.openxmlformats.org/officeDocument/2006/relationships/hyperlink" Target="https://finance.yahoo.com/news/visa-inc-v-reports-9-213504594.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BBA7-DAD6-480E-B461-3ABA560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8</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Utazi</dc:creator>
  <cp:keywords/>
  <dc:description/>
  <cp:lastModifiedBy>Stella Utazi</cp:lastModifiedBy>
  <cp:revision>51</cp:revision>
  <dcterms:created xsi:type="dcterms:W3CDTF">2024-09-19T22:26:00Z</dcterms:created>
  <dcterms:modified xsi:type="dcterms:W3CDTF">2024-09-20T18:18:00Z</dcterms:modified>
</cp:coreProperties>
</file>