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A3" w:rsidRDefault="000844A3" w:rsidP="00724C29">
      <w:pPr>
        <w:spacing w:after="0"/>
        <w:rPr>
          <w:b/>
        </w:rPr>
      </w:pPr>
      <w:bookmarkStart w:id="0" w:name="_GoBack"/>
      <w:bookmarkEnd w:id="0"/>
      <w:r>
        <w:rPr>
          <w:b/>
        </w:rPr>
        <w:t>Apple Inc.</w:t>
      </w:r>
    </w:p>
    <w:p w:rsidR="000844A3" w:rsidRDefault="000844A3" w:rsidP="00724C29">
      <w:pPr>
        <w:spacing w:after="0"/>
        <w:rPr>
          <w:b/>
        </w:rPr>
      </w:pPr>
    </w:p>
    <w:p w:rsidR="00724C29" w:rsidRPr="007E3127" w:rsidRDefault="007E3127" w:rsidP="00724C29">
      <w:pPr>
        <w:spacing w:after="0"/>
        <w:rPr>
          <w:b/>
        </w:rPr>
      </w:pPr>
      <w:r>
        <w:rPr>
          <w:b/>
        </w:rPr>
        <w:t xml:space="preserve">1.0 </w:t>
      </w:r>
      <w:r w:rsidRPr="007E3127">
        <w:rPr>
          <w:b/>
        </w:rPr>
        <w:t>Liquidity</w:t>
      </w:r>
    </w:p>
    <w:p w:rsidR="00724C29" w:rsidRDefault="00724C29" w:rsidP="00724C29">
      <w:pPr>
        <w:spacing w:after="0"/>
      </w:pPr>
    </w:p>
    <w:p w:rsidR="0066521B" w:rsidRDefault="00890F91" w:rsidP="00724C29">
      <w:pPr>
        <w:spacing w:after="0"/>
      </w:pPr>
      <w:r>
        <w:t>1.1 Current Ratio, Quick Ratio, Cash Ratio, Defensive I</w:t>
      </w:r>
      <w:r w:rsidR="0066521B">
        <w:t>nterval</w:t>
      </w:r>
    </w:p>
    <w:p w:rsidR="00724C29" w:rsidRDefault="005D68F2" w:rsidP="00724C29">
      <w:pPr>
        <w:spacing w:after="0"/>
      </w:pPr>
      <w:r>
        <w:rPr>
          <w:noProof/>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844A3" w:rsidRDefault="000844A3" w:rsidP="00724C29">
      <w:pPr>
        <w:spacing w:after="0"/>
      </w:pPr>
    </w:p>
    <w:p w:rsidR="000844A3" w:rsidRDefault="000844A3" w:rsidP="00724C29">
      <w:pPr>
        <w:spacing w:after="0"/>
      </w:pPr>
      <w:r>
        <w:t>Liquidity ratios are in a downward trend in the three years and that is impacting the de</w:t>
      </w:r>
      <w:r w:rsidR="001C5615">
        <w:t>fensive interval. T</w:t>
      </w:r>
      <w:r>
        <w:t>he company</w:t>
      </w:r>
      <w:r w:rsidR="00D83159">
        <w:t>’s position to pay</w:t>
      </w:r>
      <w:r>
        <w:t xml:space="preserve"> its near term obligations</w:t>
      </w:r>
      <w:r w:rsidR="00D83159">
        <w:t xml:space="preserve"> is worsening </w:t>
      </w:r>
      <w:r w:rsidR="001C5615">
        <w:t>and in 2022 current assets no longer cover current liabilities. H</w:t>
      </w:r>
      <w:r w:rsidR="00D83159">
        <w:t>owever the short term operations are not at all yet in any danger as the company can pay its daily operating expenses for over 500 days without needing to tap into non-current assets.</w:t>
      </w:r>
      <w:r>
        <w:t xml:space="preserve"> </w:t>
      </w:r>
    </w:p>
    <w:p w:rsidR="007E3127" w:rsidRDefault="007E3127" w:rsidP="00724C29">
      <w:pPr>
        <w:spacing w:after="0"/>
      </w:pPr>
    </w:p>
    <w:p w:rsidR="00A8615E" w:rsidRDefault="00A8615E"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1C5615" w:rsidP="00724C29">
      <w:pPr>
        <w:spacing w:after="0"/>
      </w:pPr>
    </w:p>
    <w:p w:rsidR="001C5615" w:rsidRDefault="00890F91" w:rsidP="00724C29">
      <w:pPr>
        <w:spacing w:after="0"/>
      </w:pPr>
      <w:r>
        <w:lastRenderedPageBreak/>
        <w:t>1.2 Inventory Days, Payable Days, Receivable Days, Net Trading C</w:t>
      </w:r>
      <w:r w:rsidR="0066521B">
        <w:t>ycle</w:t>
      </w:r>
    </w:p>
    <w:p w:rsidR="00D83159" w:rsidRDefault="00D64E40" w:rsidP="00724C29">
      <w:pPr>
        <w:spacing w:after="0"/>
      </w:pPr>
      <w:r>
        <w:rPr>
          <w:noProof/>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C5615" w:rsidRDefault="001C5615" w:rsidP="00724C29">
      <w:pPr>
        <w:spacing w:after="0"/>
      </w:pPr>
    </w:p>
    <w:p w:rsidR="00D83159" w:rsidRDefault="00D83159" w:rsidP="00724C29">
      <w:pPr>
        <w:spacing w:after="0"/>
      </w:pPr>
      <w:r>
        <w:t xml:space="preserve">In terms of net trading cycle the company is in a strong position. </w:t>
      </w:r>
      <w:r w:rsidR="00016312">
        <w:t>Whilst inventory days remained largely unchanged, the</w:t>
      </w:r>
      <w:r>
        <w:t xml:space="preserve"> receivable days increased somewhat over three years meaning the company takes longer to collect payments</w:t>
      </w:r>
      <w:r w:rsidR="00016312">
        <w:t>.</w:t>
      </w:r>
      <w:r>
        <w:t xml:space="preserve"> </w:t>
      </w:r>
      <w:r w:rsidR="00016312">
        <w:t>T</w:t>
      </w:r>
      <w:r>
        <w:t xml:space="preserve">he </w:t>
      </w:r>
      <w:r w:rsidR="00016312">
        <w:t xml:space="preserve">increase in </w:t>
      </w:r>
      <w:r>
        <w:t>payable days more than compensate for this resulting in an increase in net trading cycle meaning the company</w:t>
      </w:r>
      <w:r w:rsidR="00016312">
        <w:t xml:space="preserve"> keeps liquidity longer by having</w:t>
      </w:r>
      <w:r>
        <w:t xml:space="preserve"> stronger leverage over suppliers.</w:t>
      </w:r>
      <w:r w:rsidR="001C5615">
        <w:t xml:space="preserve"> This improves the liquidity position.</w:t>
      </w:r>
      <w:r>
        <w:t xml:space="preserve"> </w:t>
      </w:r>
    </w:p>
    <w:p w:rsidR="00A8615E" w:rsidRDefault="00A8615E" w:rsidP="00724C29">
      <w:pPr>
        <w:spacing w:after="0"/>
      </w:pPr>
    </w:p>
    <w:p w:rsidR="00B8772E" w:rsidRDefault="00B8772E" w:rsidP="00724C29">
      <w:pPr>
        <w:spacing w:after="0"/>
      </w:pPr>
      <w:r>
        <w:t>1.3 Working Capital</w:t>
      </w:r>
    </w:p>
    <w:p w:rsidR="007E3127" w:rsidRDefault="00B65D74" w:rsidP="00724C29">
      <w:pPr>
        <w:spacing w:after="0"/>
      </w:pPr>
      <w:r>
        <w:rPr>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6312" w:rsidRDefault="00016312" w:rsidP="00724C29">
      <w:pPr>
        <w:spacing w:after="0"/>
      </w:pPr>
    </w:p>
    <w:p w:rsidR="00A8615E" w:rsidRPr="00377AC4" w:rsidRDefault="00DA13AA" w:rsidP="00724C29">
      <w:pPr>
        <w:spacing w:after="0"/>
      </w:pPr>
      <w:r>
        <w:t>A clear deterioration is visible in working capital</w:t>
      </w:r>
      <w:r w:rsidR="00507A1A">
        <w:t>. Current assets are not sufficient to cover short term debt obligations</w:t>
      </w:r>
      <w:r w:rsidR="0071332C">
        <w:t xml:space="preserve"> should they all come due</w:t>
      </w:r>
      <w:r w:rsidR="00A8615E">
        <w:t>.</w:t>
      </w:r>
      <w:r w:rsidR="00507A1A">
        <w:t xml:space="preserve"> The company has no liquidity to invest in growth from its working capital compromising future </w:t>
      </w:r>
      <w:r w:rsidR="0076303E">
        <w:t xml:space="preserve">growth </w:t>
      </w:r>
      <w:r w:rsidR="00507A1A">
        <w:t>prospects.</w:t>
      </w:r>
      <w:r>
        <w:t xml:space="preserve"> </w:t>
      </w:r>
    </w:p>
    <w:p w:rsidR="000B5AC7" w:rsidRDefault="000B5AC7" w:rsidP="00724C29">
      <w:pPr>
        <w:spacing w:after="0"/>
        <w:rPr>
          <w:b/>
        </w:rPr>
      </w:pPr>
      <w:r w:rsidRPr="000B5AC7">
        <w:rPr>
          <w:b/>
        </w:rPr>
        <w:lastRenderedPageBreak/>
        <w:t>2.0 Profitability</w:t>
      </w:r>
    </w:p>
    <w:p w:rsidR="000B5AC7" w:rsidRDefault="000B5AC7" w:rsidP="00724C29">
      <w:pPr>
        <w:spacing w:after="0"/>
        <w:rPr>
          <w:b/>
        </w:rPr>
      </w:pPr>
    </w:p>
    <w:p w:rsidR="000B5AC7" w:rsidRDefault="000B5AC7" w:rsidP="00724C29">
      <w:pPr>
        <w:spacing w:after="0"/>
      </w:pPr>
      <w:r>
        <w:t>2.1 Gross Profit, EBITDA, EBIT</w:t>
      </w:r>
    </w:p>
    <w:p w:rsidR="000B5AC7" w:rsidRDefault="000B5AC7" w:rsidP="00724C29">
      <w:pPr>
        <w:spacing w:after="0"/>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615E" w:rsidRDefault="00A8615E" w:rsidP="00724C29">
      <w:pPr>
        <w:spacing w:after="0"/>
      </w:pPr>
    </w:p>
    <w:p w:rsidR="00A8615E" w:rsidRDefault="00A8615E" w:rsidP="00724C29">
      <w:pPr>
        <w:spacing w:after="0"/>
      </w:pPr>
      <w:r>
        <w:t>The comp</w:t>
      </w:r>
      <w:r w:rsidR="002A09FA">
        <w:t>any is becoming more profitable although a slowdown in growth is visible from 2021.</w:t>
      </w:r>
      <w:r>
        <w:t xml:space="preserve"> Gross profit is increasing meaning the company manages to increase efficiency by producing goods / providing services at a more cost effective way and/or increasing revenue. </w:t>
      </w:r>
      <w:r w:rsidR="00BA616C">
        <w:t>The company maintains operating efficiency shown by growing EBIT</w:t>
      </w:r>
      <w:r w:rsidR="00616707">
        <w:t xml:space="preserve"> and EBITDA. Growing EBIT/EBITDA helps maintain good debt management in the event of increasing debt. </w:t>
      </w:r>
    </w:p>
    <w:p w:rsidR="00735521" w:rsidRDefault="00735521" w:rsidP="00724C29">
      <w:pPr>
        <w:spacing w:after="0"/>
      </w:pPr>
    </w:p>
    <w:p w:rsidR="00094E12" w:rsidRDefault="00735521" w:rsidP="00724C29">
      <w:pPr>
        <w:spacing w:after="0"/>
      </w:pPr>
      <w:r>
        <w:t>2.2 Gross margin, EBITDA margin, EBIT margin</w:t>
      </w:r>
    </w:p>
    <w:p w:rsidR="00735521" w:rsidRDefault="00735521" w:rsidP="00724C29">
      <w:pPr>
        <w:spacing w:after="0"/>
      </w:pPr>
      <w:r>
        <w:rPr>
          <w:noProof/>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7AC4" w:rsidRDefault="00377AC4" w:rsidP="00724C29">
      <w:pPr>
        <w:spacing w:after="0"/>
      </w:pPr>
    </w:p>
    <w:p w:rsidR="00BE20F3" w:rsidRDefault="00BE20F3" w:rsidP="00724C29">
      <w:pPr>
        <w:spacing w:after="0"/>
      </w:pPr>
      <w:r>
        <w:lastRenderedPageBreak/>
        <w:t>All four profitability margins showcased growth in 2021</w:t>
      </w:r>
      <w:r w:rsidR="00E0484A">
        <w:t xml:space="preserve"> over 2020</w:t>
      </w:r>
      <w:r>
        <w:t xml:space="preserve"> but was tailing off going into 2022. The company managed to increase operational efficiency </w:t>
      </w:r>
      <w:r w:rsidR="00E0484A">
        <w:t xml:space="preserve">in 2021 over 2020 </w:t>
      </w:r>
      <w:r>
        <w:t xml:space="preserve">but that growth reduced </w:t>
      </w:r>
      <w:r w:rsidR="00E0484A">
        <w:t>in 2022</w:t>
      </w:r>
      <w:r>
        <w:t xml:space="preserve">. The </w:t>
      </w:r>
      <w:r w:rsidR="00E0484A">
        <w:t xml:space="preserve">slight </w:t>
      </w:r>
      <w:r>
        <w:t xml:space="preserve">decrease in net margin </w:t>
      </w:r>
      <w:r w:rsidR="00E0484A">
        <w:t>growth in 2022 over 2021 is something to watch but the company still has very strong profitability growth.</w:t>
      </w:r>
      <w:r>
        <w:t xml:space="preserve">  </w:t>
      </w:r>
    </w:p>
    <w:p w:rsidR="00377AC4" w:rsidRDefault="00377AC4" w:rsidP="00724C29">
      <w:pPr>
        <w:spacing w:after="0"/>
      </w:pPr>
    </w:p>
    <w:p w:rsidR="00097B69" w:rsidRDefault="00097B69" w:rsidP="00724C29">
      <w:pPr>
        <w:spacing w:after="0"/>
        <w:rPr>
          <w:b/>
        </w:rPr>
      </w:pPr>
      <w:r w:rsidRPr="00097B69">
        <w:rPr>
          <w:b/>
        </w:rPr>
        <w:t>3.0 Solvency/debt management</w:t>
      </w:r>
    </w:p>
    <w:p w:rsidR="00097B69" w:rsidRDefault="00097B69" w:rsidP="00724C29">
      <w:pPr>
        <w:spacing w:after="0"/>
        <w:rPr>
          <w:b/>
        </w:rPr>
      </w:pPr>
    </w:p>
    <w:p w:rsidR="00097B69" w:rsidRDefault="00097B69" w:rsidP="00724C29">
      <w:pPr>
        <w:spacing w:after="0"/>
      </w:pPr>
      <w:r>
        <w:t>3.1 Debt to Equity, Debt to Total assets,</w:t>
      </w:r>
      <w:r w:rsidR="008A7E0D">
        <w:t xml:space="preserve"> Long-term Debt to Capital,</w:t>
      </w:r>
      <w:r>
        <w:t xml:space="preserve"> Debt Coverage</w:t>
      </w:r>
      <w:r w:rsidR="008A7E0D">
        <w:t>, TIE</w:t>
      </w:r>
    </w:p>
    <w:p w:rsidR="00097B69" w:rsidRDefault="00097B69" w:rsidP="00724C29">
      <w:pPr>
        <w:spacing w:after="0"/>
      </w:pPr>
      <w:r>
        <w:rPr>
          <w:noProof/>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48C" w:rsidRDefault="0026548C" w:rsidP="00724C29">
      <w:pPr>
        <w:spacing w:after="0"/>
      </w:pPr>
    </w:p>
    <w:p w:rsidR="00730849" w:rsidRDefault="0026548C" w:rsidP="00724C29">
      <w:pPr>
        <w:spacing w:after="0"/>
      </w:pPr>
      <w:r>
        <w:t xml:space="preserve">D/E increase and debt coverage ratio points to increased short term debt especially in light of EBIT growth. </w:t>
      </w:r>
      <w:r w:rsidR="00852C38">
        <w:t>Strong EBIT growth explains</w:t>
      </w:r>
      <w:r>
        <w:t xml:space="preserve"> growth in TIE</w:t>
      </w:r>
      <w:r w:rsidR="00852C38">
        <w:t xml:space="preserve"> and creates a comfortable buffer for the increased debt payments</w:t>
      </w:r>
      <w:r>
        <w:t>.</w:t>
      </w:r>
      <w:r w:rsidR="00852C38">
        <w:t xml:space="preserve"> Despite some short term debt growth the company remains in a</w:t>
      </w:r>
      <w:r w:rsidR="009B6C69">
        <w:t xml:space="preserve"> very strong</w:t>
      </w:r>
      <w:r w:rsidR="00852C38">
        <w:t xml:space="preserve"> position to fulfil debt obligations</w:t>
      </w:r>
      <w:r w:rsidR="009B6C69">
        <w:t>.</w:t>
      </w:r>
      <w:r w:rsidR="008972F0">
        <w:t xml:space="preserve"> </w:t>
      </w:r>
      <w:r w:rsidR="007C70CE">
        <w:t xml:space="preserve"> </w:t>
      </w:r>
    </w:p>
    <w:p w:rsidR="009B6C69" w:rsidRDefault="009B6C69" w:rsidP="00724C29">
      <w:pPr>
        <w:spacing w:after="0"/>
      </w:pPr>
    </w:p>
    <w:p w:rsidR="00072448" w:rsidRDefault="00072448"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377AC4" w:rsidRDefault="00377AC4" w:rsidP="00724C29">
      <w:pPr>
        <w:spacing w:after="0"/>
      </w:pPr>
    </w:p>
    <w:p w:rsidR="009B6C69" w:rsidRDefault="00730849" w:rsidP="00724C29">
      <w:pPr>
        <w:spacing w:after="0"/>
      </w:pPr>
      <w:r>
        <w:lastRenderedPageBreak/>
        <w:t>3.2 FCFE per Share, FCFE</w:t>
      </w:r>
    </w:p>
    <w:p w:rsidR="00730849" w:rsidRDefault="00990192" w:rsidP="00724C29">
      <w:pPr>
        <w:spacing w:after="0"/>
      </w:pPr>
      <w:r>
        <w:rPr>
          <w:noProof/>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6C69" w:rsidRDefault="009B6C69" w:rsidP="00724C29">
      <w:pPr>
        <w:spacing w:after="0"/>
      </w:pPr>
    </w:p>
    <w:p w:rsidR="009B6C69" w:rsidRDefault="009B6C69" w:rsidP="00724C29">
      <w:pPr>
        <w:spacing w:after="0"/>
      </w:pPr>
      <w:r>
        <w:t xml:space="preserve">This chart is what most investors want to see. There is a massive growth in both FCFE and FCFE per share indicating that plenty of cash is left to either pay dividends, re-invest in the business, buy back shares or buy </w:t>
      </w:r>
      <w:r w:rsidR="00E44DFF">
        <w:t>marke</w:t>
      </w:r>
      <w:r w:rsidR="00901D1B">
        <w:t>table securities without the need to borrow funds</w:t>
      </w:r>
      <w:r w:rsidR="00E44DFF">
        <w:t>.</w:t>
      </w:r>
      <w:r w:rsidR="00901D1B">
        <w:t xml:space="preserve"> </w:t>
      </w:r>
    </w:p>
    <w:p w:rsidR="008A7E0D" w:rsidRDefault="008A7E0D" w:rsidP="00724C29">
      <w:pPr>
        <w:spacing w:after="0"/>
      </w:pPr>
    </w:p>
    <w:p w:rsidR="008A7E0D" w:rsidRDefault="008A7E0D" w:rsidP="00724C29">
      <w:pPr>
        <w:spacing w:after="0"/>
        <w:rPr>
          <w:b/>
        </w:rPr>
      </w:pPr>
      <w:r w:rsidRPr="008A7E0D">
        <w:rPr>
          <w:b/>
        </w:rPr>
        <w:t>4.0 Asset utilization</w:t>
      </w:r>
    </w:p>
    <w:p w:rsidR="008A7E0D" w:rsidRDefault="008A7E0D" w:rsidP="00724C29">
      <w:pPr>
        <w:spacing w:after="0"/>
        <w:rPr>
          <w:b/>
        </w:rPr>
      </w:pPr>
    </w:p>
    <w:p w:rsidR="008A7E0D" w:rsidRDefault="008A7E0D" w:rsidP="00724C29">
      <w:pPr>
        <w:spacing w:after="0"/>
      </w:pPr>
      <w:r>
        <w:t>4.1 Total Asset Turnover, Fixed Asset Turnover, inventory Turnover, ROA</w:t>
      </w:r>
    </w:p>
    <w:p w:rsidR="005D410D" w:rsidRDefault="005D410D" w:rsidP="00724C29">
      <w:pPr>
        <w:spacing w:after="0"/>
      </w:pPr>
      <w:r>
        <w:rPr>
          <w:noProof/>
        </w:rPr>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3146" w:rsidRDefault="006F3146" w:rsidP="00724C29">
      <w:pPr>
        <w:spacing w:after="0"/>
      </w:pPr>
    </w:p>
    <w:p w:rsidR="006F3146" w:rsidRDefault="006F3146" w:rsidP="00724C29">
      <w:pPr>
        <w:spacing w:after="0"/>
      </w:pPr>
      <w:r>
        <w:t xml:space="preserve">The company is utilizing its assets to a greater degree to generate revenue however unchanged fixed asset turnover indicates that the company has not become more efficient in utilizing its fixed assets. A good sign is that following a small drop in inventory turnover recovered and more in 2022 and </w:t>
      </w:r>
      <w:r>
        <w:lastRenderedPageBreak/>
        <w:t xml:space="preserve">increased over 2020 meaning the company turns over its inventory more times in a given period generating more revenue. The efficiency growth seen in the increase of total asset turnover and inventory turnover </w:t>
      </w:r>
      <w:r w:rsidR="00894283">
        <w:t xml:space="preserve">translates into a </w:t>
      </w:r>
      <w:r>
        <w:t>growth of ROA</w:t>
      </w:r>
      <w:r w:rsidR="00894283">
        <w:t>. The ROA figure is excellent, strong utilization of assets to generate sales.</w:t>
      </w:r>
    </w:p>
    <w:p w:rsidR="00377AC4" w:rsidRDefault="00377AC4" w:rsidP="00724C29">
      <w:pPr>
        <w:spacing w:after="0"/>
      </w:pPr>
    </w:p>
    <w:p w:rsidR="00C909B3" w:rsidRDefault="000F6C86" w:rsidP="00724C29">
      <w:pPr>
        <w:spacing w:after="0"/>
        <w:rPr>
          <w:b/>
        </w:rPr>
      </w:pPr>
      <w:r w:rsidRPr="000F6C86">
        <w:rPr>
          <w:b/>
        </w:rPr>
        <w:t>5.0 Investor/market ratios</w:t>
      </w:r>
    </w:p>
    <w:p w:rsidR="000F6C86" w:rsidRDefault="000F6C86" w:rsidP="00724C29">
      <w:pPr>
        <w:spacing w:after="0"/>
        <w:rPr>
          <w:b/>
        </w:rPr>
      </w:pPr>
    </w:p>
    <w:p w:rsidR="000F6C86" w:rsidRDefault="000F6C86" w:rsidP="00724C29">
      <w:pPr>
        <w:spacing w:after="0"/>
      </w:pPr>
      <w:r>
        <w:t>5.1 P/E, EPS, PBV, BV</w:t>
      </w:r>
    </w:p>
    <w:p w:rsidR="000F6C86" w:rsidRDefault="000F6C86" w:rsidP="00724C29">
      <w:pPr>
        <w:spacing w:after="0"/>
      </w:pPr>
      <w:r>
        <w:rPr>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670E" w:rsidRDefault="0081670E" w:rsidP="00724C29">
      <w:pPr>
        <w:spacing w:after="0"/>
      </w:pPr>
    </w:p>
    <w:p w:rsidR="0081670E" w:rsidRDefault="00053D04" w:rsidP="00724C29">
      <w:pPr>
        <w:spacing w:after="0"/>
      </w:pPr>
      <w:r>
        <w:t xml:space="preserve">Both EPS and BV represent good growth. </w:t>
      </w:r>
      <w:r w:rsidR="0045191A">
        <w:t>The P/E and P/BV analysis would make sense in comparison to companies in same sectors and industries.</w:t>
      </w:r>
    </w:p>
    <w:p w:rsidR="00717579" w:rsidRDefault="00717579" w:rsidP="00724C29">
      <w:pPr>
        <w:spacing w:after="0"/>
      </w:pPr>
    </w:p>
    <w:p w:rsidR="0026614C" w:rsidRDefault="00717579" w:rsidP="00724C29">
      <w:pPr>
        <w:spacing w:after="0"/>
      </w:pPr>
      <w:r>
        <w:t xml:space="preserve">5.2 Dividend </w:t>
      </w:r>
      <w:proofErr w:type="spellStart"/>
      <w:r>
        <w:t>Payout</w:t>
      </w:r>
      <w:proofErr w:type="spellEnd"/>
      <w:r>
        <w:t xml:space="preserve"> Ratio, Dividend per Share, Dividend Yield</w:t>
      </w:r>
    </w:p>
    <w:p w:rsidR="0026614C" w:rsidRDefault="00717579" w:rsidP="00724C29">
      <w:pPr>
        <w:spacing w:after="0"/>
      </w:pPr>
      <w:r>
        <w:rPr>
          <w:noProof/>
        </w:rPr>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p>
    <w:p w:rsidR="0026614C" w:rsidRDefault="00877A9A" w:rsidP="00724C29">
      <w:pPr>
        <w:spacing w:after="0"/>
      </w:pPr>
      <w:r>
        <w:lastRenderedPageBreak/>
        <w:t>The</w:t>
      </w:r>
      <w:r w:rsidR="003C30B6">
        <w:t xml:space="preserve"> company has been reducing the </w:t>
      </w:r>
      <w:proofErr w:type="spellStart"/>
      <w:r w:rsidR="003C30B6">
        <w:t>payout</w:t>
      </w:r>
      <w:proofErr w:type="spellEnd"/>
      <w:r w:rsidR="003C30B6">
        <w:t xml:space="preserve"> ratio indicating eith</w:t>
      </w:r>
      <w:r w:rsidR="002967A0">
        <w:t>er investing in future growth,</w:t>
      </w:r>
      <w:r w:rsidR="003C30B6">
        <w:t xml:space="preserve"> building a safety net</w:t>
      </w:r>
      <w:r w:rsidR="002967A0">
        <w:t xml:space="preserve"> or buying back shares on the assumption that the price is low and it cannot get a better return on the excess cash elsewhere. The steady increase in dividend per share shows a financially stable, mature business. </w:t>
      </w:r>
      <w:r w:rsidR="003C30B6">
        <w:t xml:space="preserve"> </w:t>
      </w:r>
    </w:p>
    <w:p w:rsidR="00EB35FE" w:rsidRDefault="00EB35FE" w:rsidP="00724C29">
      <w:pPr>
        <w:spacing w:after="0"/>
      </w:pPr>
    </w:p>
    <w:p w:rsidR="00EB35FE" w:rsidRDefault="00F74B1A" w:rsidP="00724C29">
      <w:pPr>
        <w:spacing w:after="0"/>
      </w:pPr>
      <w:r>
        <w:t>5.3 Return on Investment M</w:t>
      </w:r>
      <w:r w:rsidR="00EB35FE">
        <w:t>easures (ROE, ROCE, ROA)</w:t>
      </w:r>
    </w:p>
    <w:p w:rsidR="00EB35FE" w:rsidRDefault="00EB35FE" w:rsidP="00724C29">
      <w:pPr>
        <w:spacing w:after="0"/>
      </w:pPr>
      <w:r>
        <w:rPr>
          <w:noProof/>
        </w:rPr>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0952" w:rsidRDefault="00DC0952" w:rsidP="00724C29">
      <w:pPr>
        <w:spacing w:after="0"/>
      </w:pPr>
    </w:p>
    <w:p w:rsidR="00CA1415" w:rsidRDefault="00935E24" w:rsidP="00724C29">
      <w:pPr>
        <w:spacing w:after="0"/>
      </w:pPr>
      <w:r>
        <w:t>From the above chart it is clear that Apple is using its equity, capital and assets very efficiently to generate returns. The higher ROE to ROA indicates that the company has a lot of debt but ROCE shows that both debt and equity is well utilized and generating returns for all investors.</w:t>
      </w:r>
    </w:p>
    <w:p w:rsidR="0006050E" w:rsidRDefault="0006050E" w:rsidP="00724C29">
      <w:pPr>
        <w:spacing w:after="0"/>
      </w:pPr>
    </w:p>
    <w:p w:rsidR="00935E24" w:rsidRDefault="00CA1415" w:rsidP="00724C29">
      <w:pPr>
        <w:spacing w:after="0"/>
      </w:pPr>
      <w:r>
        <w:t>5.4 EV, EV/EBITDA</w:t>
      </w:r>
    </w:p>
    <w:p w:rsidR="00CA1415" w:rsidRDefault="00CA1415" w:rsidP="00724C29">
      <w:pPr>
        <w:spacing w:after="0"/>
      </w:pPr>
      <w:r>
        <w:rPr>
          <w:noProof/>
        </w:rPr>
        <w:drawing>
          <wp:inline distT="0" distB="0" distL="0" distR="0">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15BD" w:rsidRDefault="00F615BD" w:rsidP="00724C29">
      <w:pPr>
        <w:spacing w:after="0"/>
      </w:pPr>
    </w:p>
    <w:p w:rsidR="00F615BD" w:rsidRDefault="00F615BD" w:rsidP="00724C29">
      <w:pPr>
        <w:spacing w:after="0"/>
      </w:pPr>
      <w:r>
        <w:lastRenderedPageBreak/>
        <w:t>The EV/EBITDA valuation metric shows that the com</w:t>
      </w:r>
      <w:r w:rsidR="0006050E">
        <w:t xml:space="preserve">pany </w:t>
      </w:r>
      <w:proofErr w:type="spellStart"/>
      <w:r w:rsidR="0006050E">
        <w:t>maybe</w:t>
      </w:r>
      <w:proofErr w:type="spellEnd"/>
      <w:r w:rsidR="0006050E">
        <w:t xml:space="preserve"> overvalued and this would explain the ratio decline as </w:t>
      </w:r>
      <w:r>
        <w:t>strong earnings</w:t>
      </w:r>
      <w:r w:rsidR="0006050E">
        <w:t xml:space="preserve"> hasn’t been followed by equal price increases</w:t>
      </w:r>
      <w:r>
        <w:t>.</w:t>
      </w:r>
    </w:p>
    <w:p w:rsidR="00377AC4" w:rsidRDefault="00377AC4" w:rsidP="00724C29">
      <w:pPr>
        <w:spacing w:after="0"/>
      </w:pPr>
    </w:p>
    <w:p w:rsidR="00F74B1A" w:rsidRDefault="00931D28" w:rsidP="00724C29">
      <w:pPr>
        <w:spacing w:after="0"/>
        <w:rPr>
          <w:b/>
        </w:rPr>
      </w:pPr>
      <w:r w:rsidRPr="0003602F">
        <w:rPr>
          <w:b/>
        </w:rPr>
        <w:t xml:space="preserve">6.0 </w:t>
      </w:r>
      <w:r w:rsidR="00F74B1A">
        <w:rPr>
          <w:b/>
        </w:rPr>
        <w:t>Sales Growth Income Statement</w:t>
      </w:r>
      <w:r w:rsidR="00B533B1">
        <w:rPr>
          <w:b/>
        </w:rPr>
        <w:t>, Balance Sheet</w:t>
      </w:r>
    </w:p>
    <w:p w:rsidR="00377AC4" w:rsidRDefault="00377AC4" w:rsidP="00724C29">
      <w:pPr>
        <w:spacing w:after="0"/>
      </w:pPr>
    </w:p>
    <w:p w:rsidR="00931D28" w:rsidRPr="00F74B1A" w:rsidRDefault="00F74B1A" w:rsidP="00724C29">
      <w:pPr>
        <w:spacing w:after="0"/>
      </w:pPr>
      <w:r w:rsidRPr="00F74B1A">
        <w:t xml:space="preserve">6.1 </w:t>
      </w:r>
      <w:r w:rsidR="00931D28" w:rsidRPr="00F74B1A">
        <w:t>Sales Growth Rates, Gross Profit</w:t>
      </w:r>
    </w:p>
    <w:p w:rsidR="00931D28" w:rsidRDefault="0003602F" w:rsidP="00724C29">
      <w:pPr>
        <w:spacing w:after="0"/>
      </w:pPr>
      <w:r>
        <w:rPr>
          <w:noProof/>
        </w:rPr>
        <w:drawing>
          <wp:inline distT="0" distB="0" distL="0" distR="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319A" w:rsidRDefault="0054319A" w:rsidP="00724C29">
      <w:pPr>
        <w:spacing w:after="0"/>
      </w:pPr>
    </w:p>
    <w:p w:rsidR="0054319A" w:rsidRDefault="0054319A" w:rsidP="00724C29">
      <w:pPr>
        <w:spacing w:after="0"/>
      </w:pPr>
      <w:r>
        <w:t>Growth across the main sales items show a spike in 2021 attributabl</w:t>
      </w:r>
      <w:r w:rsidR="00BD4C80">
        <w:t>e in larger part to products. Could it be delayed purchase due to COVID? There is a</w:t>
      </w:r>
      <w:r>
        <w:t xml:space="preserve"> </w:t>
      </w:r>
      <w:r w:rsidR="00BD4C80">
        <w:t xml:space="preserve">near </w:t>
      </w:r>
      <w:r>
        <w:t>return to 2020 levels in 2022.</w:t>
      </w:r>
      <w:r w:rsidR="00BD4C80">
        <w:t xml:space="preserve"> No clear trend over the three years.</w:t>
      </w:r>
    </w:p>
    <w:p w:rsidR="00377AC4" w:rsidRDefault="00377AC4" w:rsidP="00724C29">
      <w:pPr>
        <w:spacing w:after="0"/>
      </w:pPr>
    </w:p>
    <w:p w:rsidR="009151E1" w:rsidRDefault="00F74B1A" w:rsidP="00724C29">
      <w:pPr>
        <w:spacing w:after="0"/>
      </w:pPr>
      <w:r>
        <w:t>6.2 Operating Expenses Income Statement</w:t>
      </w:r>
    </w:p>
    <w:p w:rsidR="009151E1" w:rsidRDefault="00F74B1A" w:rsidP="00724C29">
      <w:pPr>
        <w:spacing w:after="0"/>
      </w:pPr>
      <w:r>
        <w:rPr>
          <w:noProof/>
        </w:rPr>
        <w:drawing>
          <wp:inline distT="0" distB="0" distL="0" distR="0">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51E1" w:rsidRDefault="009151E1" w:rsidP="00724C29">
      <w:pPr>
        <w:spacing w:after="0"/>
      </w:pPr>
      <w:r>
        <w:lastRenderedPageBreak/>
        <w:t xml:space="preserve">The company experienced an increase in operating expenses in both line items, accelerating in 2022. The R&amp;D component could forecast a </w:t>
      </w:r>
      <w:r w:rsidR="00AF380E">
        <w:t>stronger future growth prospect whilst the SG&amp;A could</w:t>
      </w:r>
      <w:r w:rsidR="00BD4C80">
        <w:t xml:space="preserve"> negatively</w:t>
      </w:r>
      <w:r w:rsidR="00AF380E">
        <w:t xml:space="preserve"> impact profitability.</w:t>
      </w:r>
    </w:p>
    <w:p w:rsidR="00377AC4" w:rsidRDefault="00377AC4" w:rsidP="00724C29">
      <w:pPr>
        <w:spacing w:after="0"/>
      </w:pPr>
    </w:p>
    <w:p w:rsidR="0018144C" w:rsidRDefault="0018144C" w:rsidP="00724C29">
      <w:pPr>
        <w:spacing w:after="0"/>
      </w:pPr>
      <w:r>
        <w:t>6.3 Balance Sheet Current Assets</w:t>
      </w:r>
    </w:p>
    <w:p w:rsidR="0018144C" w:rsidRDefault="0018144C" w:rsidP="00724C29">
      <w:pPr>
        <w:spacing w:after="0"/>
      </w:pPr>
      <w:r>
        <w:rPr>
          <w:noProof/>
        </w:rPr>
        <w:drawing>
          <wp:inline distT="0" distB="0" distL="0" distR="0">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752E" w:rsidRDefault="0019752E" w:rsidP="00724C29">
      <w:pPr>
        <w:spacing w:after="0"/>
      </w:pPr>
    </w:p>
    <w:p w:rsidR="0019752E" w:rsidRDefault="00044B41" w:rsidP="00724C29">
      <w:pPr>
        <w:spacing w:after="0"/>
      </w:pPr>
      <w:r>
        <w:t xml:space="preserve">Overall there was a decline in total current assets. </w:t>
      </w:r>
      <w:r w:rsidR="0019752E">
        <w:t>Worth highlight</w:t>
      </w:r>
      <w:r w:rsidR="00F13E18">
        <w:t>ing the year 2021</w:t>
      </w:r>
      <w:r w:rsidR="0019752E">
        <w:t xml:space="preserve"> as this chart shows the effects of the global shutdown. Huge increase in accounts receivable likely due to late payments an</w:t>
      </w:r>
      <w:r>
        <w:t>d a massive inve</w:t>
      </w:r>
      <w:r w:rsidR="00824E9B">
        <w:t>ntory built up possibly due to decreased</w:t>
      </w:r>
      <w:r>
        <w:t xml:space="preserve"> demand during the pandemic</w:t>
      </w:r>
      <w:r w:rsidR="00F13E18">
        <w:t xml:space="preserve">. </w:t>
      </w:r>
      <w:r>
        <w:t>This later cleared as the world opened up, also shown by the spike in sales and t</w:t>
      </w:r>
      <w:r w:rsidR="00F13E18">
        <w:t>he inventory decl</w:t>
      </w:r>
      <w:r>
        <w:t>ine into 2022</w:t>
      </w:r>
      <w:r w:rsidR="00F13E18">
        <w:t xml:space="preserve">. </w:t>
      </w:r>
      <w:r w:rsidR="00AF380E">
        <w:t xml:space="preserve">Cash and equivalents </w:t>
      </w:r>
      <w:r w:rsidR="00F13E18">
        <w:t>have</w:t>
      </w:r>
      <w:r w:rsidR="00AF380E">
        <w:t xml:space="preserve"> been decreasing over the three years</w:t>
      </w:r>
      <w:r w:rsidR="00F13E18">
        <w:t xml:space="preserve">, marketable securities declined in 2021 and 2022 correlating with decline in current liquidity ratios (current, quick, cash). Other current assets and </w:t>
      </w:r>
      <w:proofErr w:type="spellStart"/>
      <w:r w:rsidR="00F13E18">
        <w:t>non trade</w:t>
      </w:r>
      <w:proofErr w:type="spellEnd"/>
      <w:r w:rsidR="00F13E18">
        <w:t xml:space="preserve"> assets increased but were not able to balance the decline in the ratios.</w:t>
      </w:r>
    </w:p>
    <w:p w:rsidR="006F61AB" w:rsidRDefault="006F61AB"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095824" w:rsidRDefault="00095824" w:rsidP="00724C29">
      <w:pPr>
        <w:spacing w:after="0"/>
      </w:pPr>
    </w:p>
    <w:p w:rsidR="00203903" w:rsidRDefault="006F61AB" w:rsidP="00724C29">
      <w:pPr>
        <w:spacing w:after="0"/>
      </w:pPr>
      <w:r>
        <w:lastRenderedPageBreak/>
        <w:t>6.4 Balance Sheet Non-Current Assets</w:t>
      </w:r>
    </w:p>
    <w:p w:rsidR="006F61AB" w:rsidRDefault="006F61AB" w:rsidP="00724C29">
      <w:pPr>
        <w:spacing w:after="0"/>
      </w:pPr>
      <w:r>
        <w:rPr>
          <w:noProof/>
        </w:rPr>
        <w:drawing>
          <wp:inline distT="0" distB="0" distL="0" distR="0">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3903" w:rsidRDefault="00203903" w:rsidP="00724C29">
      <w:pPr>
        <w:spacing w:after="0"/>
      </w:pPr>
    </w:p>
    <w:p w:rsidR="00203903" w:rsidRDefault="00203903" w:rsidP="00724C29">
      <w:pPr>
        <w:spacing w:after="0"/>
      </w:pPr>
      <w:r>
        <w:t>Investment in other non-current assets and marketable securities are clearly visible</w:t>
      </w:r>
      <w:r w:rsidR="00AF380E">
        <w:t>, possibly moving from the short term to the long term</w:t>
      </w:r>
      <w:r>
        <w:t xml:space="preserve">. </w:t>
      </w:r>
      <w:r w:rsidR="00E278E7">
        <w:t xml:space="preserve">Whilst this move improves the long term prospects, it weakens short term liquidity. </w:t>
      </w:r>
      <w:r>
        <w:t>Also there were some investment in the property, plant and equipment line</w:t>
      </w:r>
      <w:r w:rsidR="009E7895">
        <w:t xml:space="preserve"> which is essential for operations and future growth</w:t>
      </w:r>
      <w:r>
        <w:t>.</w:t>
      </w:r>
    </w:p>
    <w:p w:rsidR="00377AC4" w:rsidRDefault="00377AC4" w:rsidP="00724C29">
      <w:pPr>
        <w:spacing w:after="0"/>
      </w:pPr>
    </w:p>
    <w:p w:rsidR="00642450" w:rsidRDefault="00642450" w:rsidP="00724C29">
      <w:pPr>
        <w:spacing w:after="0"/>
      </w:pPr>
      <w:r>
        <w:t>6.5 Balance Sheet Total Assets</w:t>
      </w:r>
    </w:p>
    <w:p w:rsidR="00642450" w:rsidRDefault="00642450" w:rsidP="00724C29">
      <w:pPr>
        <w:spacing w:after="0"/>
      </w:pPr>
      <w:r>
        <w:rPr>
          <w:noProof/>
        </w:rPr>
        <w:drawing>
          <wp:inline distT="0" distB="0" distL="0" distR="0">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5E45" w:rsidRDefault="00075E45" w:rsidP="00724C29">
      <w:pPr>
        <w:spacing w:after="0"/>
      </w:pPr>
    </w:p>
    <w:p w:rsidR="00075E45" w:rsidRDefault="00E278E7" w:rsidP="00724C29">
      <w:pPr>
        <w:spacing w:after="0"/>
      </w:pPr>
      <w:r>
        <w:t>The negative growth in current assets has ended in 2022, the trend to the positive is clear so far and it is taking off some pressure from</w:t>
      </w:r>
      <w:r w:rsidR="00075E45">
        <w:t xml:space="preserve"> the firm’s </w:t>
      </w:r>
      <w:r w:rsidR="00F42F00">
        <w:t>short term liquidity position especially since the firm managed to decrease inventory and account receivables (less liquid items). Total assets increased but mainly due to growth in non-current assets which aids long term stability.</w:t>
      </w:r>
    </w:p>
    <w:p w:rsidR="00075E45" w:rsidRDefault="005316A3" w:rsidP="00724C29">
      <w:pPr>
        <w:spacing w:after="0"/>
      </w:pPr>
      <w:r>
        <w:lastRenderedPageBreak/>
        <w:t>6.6 Balance Sheet Current Liabilities</w:t>
      </w:r>
    </w:p>
    <w:p w:rsidR="005316A3" w:rsidRDefault="005316A3" w:rsidP="00724C29">
      <w:pPr>
        <w:spacing w:after="0"/>
      </w:pPr>
      <w:r>
        <w:rPr>
          <w:noProof/>
        </w:rPr>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0713" w:rsidRDefault="00840713" w:rsidP="00724C29">
      <w:pPr>
        <w:spacing w:after="0"/>
      </w:pPr>
    </w:p>
    <w:p w:rsidR="00840713" w:rsidRDefault="009E7895" w:rsidP="00724C29">
      <w:pPr>
        <w:spacing w:after="0"/>
      </w:pPr>
      <w:r>
        <w:t xml:space="preserve">Increase in accounts payable signals </w:t>
      </w:r>
      <w:r w:rsidR="00504556">
        <w:t xml:space="preserve">liquidity constraints but also </w:t>
      </w:r>
      <w:r>
        <w:t xml:space="preserve">leverage over suppliers. Deferred revenue growth is a good sign as the liquidity is available whilst products/services have not been delivered/provided, essentially pre-funding production. However in the case of subscription services fees are collected and services provided continuously. </w:t>
      </w:r>
      <w:r w:rsidR="00AF380E">
        <w:t>The large spike in commercial paper and growth of term debt signals</w:t>
      </w:r>
      <w:r w:rsidR="00504556">
        <w:t xml:space="preserve"> short term</w:t>
      </w:r>
      <w:r w:rsidR="00AF380E">
        <w:t xml:space="preserve"> liquidity </w:t>
      </w:r>
      <w:r w:rsidR="00504556">
        <w:t>issues.</w:t>
      </w:r>
      <w:r>
        <w:t xml:space="preserve"> </w:t>
      </w:r>
    </w:p>
    <w:p w:rsidR="00377AC4" w:rsidRDefault="00377AC4" w:rsidP="00724C29">
      <w:pPr>
        <w:spacing w:after="0"/>
      </w:pPr>
    </w:p>
    <w:p w:rsidR="00D57AA0" w:rsidRDefault="00D57AA0" w:rsidP="00724C29">
      <w:pPr>
        <w:spacing w:after="0"/>
      </w:pPr>
      <w:r>
        <w:t>6.7 Balance Sheet Non-Current Liabilities</w:t>
      </w:r>
    </w:p>
    <w:p w:rsidR="00D57AA0" w:rsidRDefault="00D57AA0" w:rsidP="00724C29">
      <w:pPr>
        <w:spacing w:after="0"/>
      </w:pPr>
      <w:r>
        <w:rPr>
          <w:noProof/>
        </w:rPr>
        <w:drawing>
          <wp:inline distT="0" distB="0" distL="0" distR="0">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4556" w:rsidRDefault="00504556" w:rsidP="00724C29">
      <w:pPr>
        <w:spacing w:after="0"/>
      </w:pPr>
    </w:p>
    <w:p w:rsidR="00504556" w:rsidRDefault="00504556" w:rsidP="00724C29">
      <w:pPr>
        <w:spacing w:after="0"/>
      </w:pPr>
      <w:r>
        <w:t xml:space="preserve">Initial concern of increased debt and other long term liabilities in 2020 and </w:t>
      </w:r>
      <w:r w:rsidR="00B01DB0">
        <w:t xml:space="preserve">further debt growth in </w:t>
      </w:r>
      <w:r>
        <w:t>2021 began to decline in 2022</w:t>
      </w:r>
      <w:r w:rsidR="00B01DB0">
        <w:t>.</w:t>
      </w:r>
    </w:p>
    <w:p w:rsidR="003826F9" w:rsidRDefault="003826F9" w:rsidP="00724C29">
      <w:pPr>
        <w:spacing w:after="0"/>
      </w:pPr>
    </w:p>
    <w:p w:rsidR="00504556" w:rsidRDefault="003B59CB" w:rsidP="00724C29">
      <w:pPr>
        <w:spacing w:after="0"/>
      </w:pPr>
      <w:r>
        <w:lastRenderedPageBreak/>
        <w:t>6.8</w:t>
      </w:r>
      <w:r w:rsidR="00241C4E">
        <w:t xml:space="preserve"> Balance Sheet Total Liabilities</w:t>
      </w:r>
    </w:p>
    <w:p w:rsidR="00241C4E" w:rsidRDefault="00241C4E" w:rsidP="00724C29">
      <w:pPr>
        <w:spacing w:after="0"/>
      </w:pPr>
      <w:r>
        <w:rPr>
          <w:noProof/>
        </w:rPr>
        <w:drawing>
          <wp:inline distT="0" distB="0" distL="0" distR="0">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2074" w:rsidRDefault="007D2074" w:rsidP="00724C29">
      <w:pPr>
        <w:spacing w:after="0"/>
      </w:pPr>
    </w:p>
    <w:p w:rsidR="007D2074" w:rsidRDefault="003826F9" w:rsidP="00724C29">
      <w:pPr>
        <w:spacing w:after="0"/>
      </w:pPr>
      <w:r>
        <w:t>The increase in current liabilities was not offset by the decrease in non-current liabilities hence the total is still growing. The main question is what the increased short term obligations are used for.</w:t>
      </w:r>
    </w:p>
    <w:p w:rsidR="00776D4B" w:rsidRDefault="00776D4B" w:rsidP="00724C29">
      <w:pPr>
        <w:spacing w:after="0"/>
      </w:pPr>
    </w:p>
    <w:p w:rsidR="00776D4B" w:rsidRDefault="00776D4B" w:rsidP="00724C29">
      <w:pPr>
        <w:spacing w:after="0"/>
      </w:pPr>
      <w:r>
        <w:t>6.9 Balance Sheet Shareholders’ Equity</w:t>
      </w:r>
    </w:p>
    <w:p w:rsidR="00776D4B" w:rsidRDefault="00B533B1" w:rsidP="00724C29">
      <w:pPr>
        <w:spacing w:after="0"/>
      </w:pPr>
      <w:r>
        <w:rPr>
          <w:noProof/>
        </w:rPr>
        <w:drawing>
          <wp:inline distT="0" distB="0" distL="0" distR="0">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264D" w:rsidRDefault="007C264D" w:rsidP="00724C29">
      <w:pPr>
        <w:spacing w:after="0"/>
      </w:pPr>
    </w:p>
    <w:p w:rsidR="007C264D" w:rsidRDefault="00FD2A54" w:rsidP="00724C29">
      <w:pPr>
        <w:spacing w:after="0"/>
      </w:pPr>
      <w:r>
        <w:t>Total liabilities growth outweigh total asset gain which will reduce shareholders’ equity growth. The massive drop in retained earnings show that the company had to utilize previous years’ profits</w:t>
      </w:r>
      <w:r w:rsidR="004E4ED5">
        <w:t xml:space="preserve">, the only question is to what end. This can be </w:t>
      </w:r>
      <w:proofErr w:type="gramStart"/>
      <w:r w:rsidR="004E4ED5">
        <w:t>both positive or</w:t>
      </w:r>
      <w:proofErr w:type="gramEnd"/>
      <w:r w:rsidR="004E4ED5">
        <w:t xml:space="preserve"> negative. The </w:t>
      </w:r>
      <w:r w:rsidR="00346FD0">
        <w:t xml:space="preserve">AOCI’s enormous drop in 2022 is important to look at even though the loss is not yet realised to prepare for the potential effects in the income statement down the line. </w:t>
      </w:r>
    </w:p>
    <w:p w:rsidR="00DD2B42" w:rsidRDefault="00DD2B42" w:rsidP="00724C29">
      <w:pPr>
        <w:spacing w:after="0"/>
      </w:pPr>
    </w:p>
    <w:p w:rsidR="00DD2B42" w:rsidRDefault="00DD2B42" w:rsidP="00724C29">
      <w:pPr>
        <w:spacing w:after="0"/>
        <w:rPr>
          <w:b/>
        </w:rPr>
      </w:pPr>
      <w:r w:rsidRPr="00DD2B42">
        <w:rPr>
          <w:b/>
        </w:rPr>
        <w:lastRenderedPageBreak/>
        <w:t>7.0 % of Net Sales</w:t>
      </w:r>
    </w:p>
    <w:p w:rsidR="00DD2B42" w:rsidRDefault="00DD2B42" w:rsidP="00724C29">
      <w:pPr>
        <w:spacing w:after="0"/>
        <w:rPr>
          <w:b/>
        </w:rPr>
      </w:pPr>
    </w:p>
    <w:p w:rsidR="00DD2B42" w:rsidRDefault="00DD2B42" w:rsidP="00724C29">
      <w:pPr>
        <w:spacing w:after="0"/>
      </w:pPr>
      <w:r>
        <w:t>7.1 COGS, Gross Profit, R&amp;D, SG&amp;A, Operating Income, Net Profit</w:t>
      </w:r>
    </w:p>
    <w:p w:rsidR="00DD2B42" w:rsidRDefault="00DD2B42" w:rsidP="00724C29">
      <w:pPr>
        <w:spacing w:after="0"/>
      </w:pPr>
      <w:r>
        <w:rPr>
          <w:noProof/>
        </w:rPr>
        <w:drawing>
          <wp:inline distT="0" distB="0" distL="0" distR="0">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327D" w:rsidRDefault="00CC327D" w:rsidP="00724C29">
      <w:pPr>
        <w:spacing w:after="0"/>
      </w:pPr>
    </w:p>
    <w:p w:rsidR="00CC327D" w:rsidRDefault="00CC327D" w:rsidP="00724C29">
      <w:pPr>
        <w:spacing w:after="0"/>
      </w:pPr>
      <w:r>
        <w:t>COGS decline nicely corresponds with the increase in gross profit whilst revenue likely not affected negatively. Efficiency gains are observable in operating income growth as well. Net profit growth levelled out in 2022.</w:t>
      </w:r>
    </w:p>
    <w:p w:rsidR="00CC327D" w:rsidRDefault="00CC327D" w:rsidP="00724C29">
      <w:pPr>
        <w:spacing w:after="0"/>
      </w:pPr>
    </w:p>
    <w:p w:rsidR="008234E8" w:rsidRDefault="008234E8" w:rsidP="00724C29">
      <w:pPr>
        <w:spacing w:after="0"/>
        <w:rPr>
          <w:b/>
        </w:rPr>
      </w:pPr>
      <w:r w:rsidRPr="008234E8">
        <w:rPr>
          <w:b/>
        </w:rPr>
        <w:t>8.0 Additional items</w:t>
      </w:r>
    </w:p>
    <w:p w:rsidR="008234E8" w:rsidRDefault="008234E8" w:rsidP="00724C29">
      <w:pPr>
        <w:spacing w:after="0"/>
        <w:rPr>
          <w:b/>
        </w:rPr>
      </w:pPr>
    </w:p>
    <w:p w:rsidR="008234E8" w:rsidRDefault="00A97921" w:rsidP="00724C29">
      <w:pPr>
        <w:spacing w:after="0"/>
      </w:pPr>
      <w:r>
        <w:t>8.1 I</w:t>
      </w:r>
      <w:r w:rsidR="008234E8">
        <w:t xml:space="preserve">ncome Tax Rate, </w:t>
      </w:r>
      <w:proofErr w:type="spellStart"/>
      <w:r w:rsidR="008234E8">
        <w:t>Capex</w:t>
      </w:r>
      <w:proofErr w:type="spellEnd"/>
      <w:r w:rsidR="008234E8">
        <w:t xml:space="preserve"> as % of Sales, </w:t>
      </w:r>
      <w:proofErr w:type="spellStart"/>
      <w:r w:rsidR="008234E8">
        <w:t>Capex</w:t>
      </w:r>
      <w:proofErr w:type="spellEnd"/>
      <w:r w:rsidR="008234E8">
        <w:t xml:space="preserve"> as % of Fixed Assets</w:t>
      </w:r>
    </w:p>
    <w:p w:rsidR="008234E8" w:rsidRDefault="008234E8" w:rsidP="00724C29">
      <w:pPr>
        <w:spacing w:after="0"/>
      </w:pPr>
      <w:r>
        <w:rPr>
          <w:noProof/>
        </w:rPr>
        <w:drawing>
          <wp:inline distT="0" distB="0" distL="0" distR="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t xml:space="preserve"> </w:t>
      </w:r>
    </w:p>
    <w:p w:rsidR="00F74B1A" w:rsidRPr="000F6C86" w:rsidRDefault="00A97921" w:rsidP="00724C29">
      <w:pPr>
        <w:spacing w:after="0"/>
      </w:pPr>
      <w:r>
        <w:t xml:space="preserve">Considering Apple is a mature business, growth opportunities are limited hence the moderate </w:t>
      </w:r>
      <w:proofErr w:type="spellStart"/>
      <w:r>
        <w:t>capex</w:t>
      </w:r>
      <w:proofErr w:type="spellEnd"/>
      <w:r>
        <w:t xml:space="preserve">. The focus is on </w:t>
      </w:r>
      <w:r w:rsidR="00377AC4">
        <w:t>maintaining current operations.</w:t>
      </w:r>
    </w:p>
    <w:sectPr w:rsidR="00F74B1A" w:rsidRPr="000F6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8F"/>
    <w:rsid w:val="00016312"/>
    <w:rsid w:val="0003321C"/>
    <w:rsid w:val="0003602F"/>
    <w:rsid w:val="00044B41"/>
    <w:rsid w:val="00053D04"/>
    <w:rsid w:val="0006050E"/>
    <w:rsid w:val="00072448"/>
    <w:rsid w:val="00073D85"/>
    <w:rsid w:val="00075E45"/>
    <w:rsid w:val="000844A3"/>
    <w:rsid w:val="00094E12"/>
    <w:rsid w:val="00095824"/>
    <w:rsid w:val="00097B69"/>
    <w:rsid w:val="000B5AC7"/>
    <w:rsid w:val="000F6C86"/>
    <w:rsid w:val="001266C8"/>
    <w:rsid w:val="001672DD"/>
    <w:rsid w:val="001679E3"/>
    <w:rsid w:val="0018144C"/>
    <w:rsid w:val="0019752E"/>
    <w:rsid w:val="001B0F07"/>
    <w:rsid w:val="001C5615"/>
    <w:rsid w:val="001C6A60"/>
    <w:rsid w:val="00203903"/>
    <w:rsid w:val="00241C4E"/>
    <w:rsid w:val="0026548C"/>
    <w:rsid w:val="0026614C"/>
    <w:rsid w:val="002763E1"/>
    <w:rsid w:val="002967A0"/>
    <w:rsid w:val="002A09FA"/>
    <w:rsid w:val="002E472B"/>
    <w:rsid w:val="00346FD0"/>
    <w:rsid w:val="00377AC4"/>
    <w:rsid w:val="003826F9"/>
    <w:rsid w:val="0039778F"/>
    <w:rsid w:val="003B59CB"/>
    <w:rsid w:val="003C1E5D"/>
    <w:rsid w:val="003C30B6"/>
    <w:rsid w:val="0045191A"/>
    <w:rsid w:val="004C7ACE"/>
    <w:rsid w:val="004E4ED5"/>
    <w:rsid w:val="00504556"/>
    <w:rsid w:val="00507A1A"/>
    <w:rsid w:val="0051298A"/>
    <w:rsid w:val="005316A3"/>
    <w:rsid w:val="0054319A"/>
    <w:rsid w:val="00552EFC"/>
    <w:rsid w:val="005D410D"/>
    <w:rsid w:val="005D68F2"/>
    <w:rsid w:val="005E7DC1"/>
    <w:rsid w:val="00616707"/>
    <w:rsid w:val="00642450"/>
    <w:rsid w:val="0066521B"/>
    <w:rsid w:val="006F3146"/>
    <w:rsid w:val="006F61AB"/>
    <w:rsid w:val="0071332C"/>
    <w:rsid w:val="00717579"/>
    <w:rsid w:val="00720C56"/>
    <w:rsid w:val="00724C29"/>
    <w:rsid w:val="00730849"/>
    <w:rsid w:val="00735521"/>
    <w:rsid w:val="0076303E"/>
    <w:rsid w:val="00776D4B"/>
    <w:rsid w:val="007C1480"/>
    <w:rsid w:val="007C264D"/>
    <w:rsid w:val="007C70CE"/>
    <w:rsid w:val="007D2074"/>
    <w:rsid w:val="007E3127"/>
    <w:rsid w:val="007E3EAC"/>
    <w:rsid w:val="0081652C"/>
    <w:rsid w:val="0081670E"/>
    <w:rsid w:val="008234E8"/>
    <w:rsid w:val="00824E9B"/>
    <w:rsid w:val="00840713"/>
    <w:rsid w:val="00852C38"/>
    <w:rsid w:val="00877A9A"/>
    <w:rsid w:val="00890F91"/>
    <w:rsid w:val="00894283"/>
    <w:rsid w:val="008972F0"/>
    <w:rsid w:val="008A0A78"/>
    <w:rsid w:val="008A24E3"/>
    <w:rsid w:val="008A7E0D"/>
    <w:rsid w:val="008B6F8B"/>
    <w:rsid w:val="00901D1B"/>
    <w:rsid w:val="00910D71"/>
    <w:rsid w:val="009151E1"/>
    <w:rsid w:val="009248A9"/>
    <w:rsid w:val="00931D28"/>
    <w:rsid w:val="00935E24"/>
    <w:rsid w:val="009836BB"/>
    <w:rsid w:val="00990192"/>
    <w:rsid w:val="009B6C69"/>
    <w:rsid w:val="009E7895"/>
    <w:rsid w:val="00A0689C"/>
    <w:rsid w:val="00A74F57"/>
    <w:rsid w:val="00A75D26"/>
    <w:rsid w:val="00A8615E"/>
    <w:rsid w:val="00A97921"/>
    <w:rsid w:val="00AF380E"/>
    <w:rsid w:val="00B01DB0"/>
    <w:rsid w:val="00B533B1"/>
    <w:rsid w:val="00B65D74"/>
    <w:rsid w:val="00B8772E"/>
    <w:rsid w:val="00BA616C"/>
    <w:rsid w:val="00BD4C80"/>
    <w:rsid w:val="00BD7EC4"/>
    <w:rsid w:val="00BE20F3"/>
    <w:rsid w:val="00C77B9E"/>
    <w:rsid w:val="00C909B3"/>
    <w:rsid w:val="00CA1415"/>
    <w:rsid w:val="00CC327D"/>
    <w:rsid w:val="00CF1DED"/>
    <w:rsid w:val="00D17D93"/>
    <w:rsid w:val="00D57AA0"/>
    <w:rsid w:val="00D64E40"/>
    <w:rsid w:val="00D70219"/>
    <w:rsid w:val="00D83159"/>
    <w:rsid w:val="00DA13AA"/>
    <w:rsid w:val="00DA6750"/>
    <w:rsid w:val="00DC07BB"/>
    <w:rsid w:val="00DC0952"/>
    <w:rsid w:val="00DD2B42"/>
    <w:rsid w:val="00E0484A"/>
    <w:rsid w:val="00E278E7"/>
    <w:rsid w:val="00E44DFF"/>
    <w:rsid w:val="00E65ABD"/>
    <w:rsid w:val="00EA5878"/>
    <w:rsid w:val="00EB35FE"/>
    <w:rsid w:val="00ED6683"/>
    <w:rsid w:val="00F13E18"/>
    <w:rsid w:val="00F42F00"/>
    <w:rsid w:val="00F615BD"/>
    <w:rsid w:val="00F6349A"/>
    <w:rsid w:val="00F74B1A"/>
    <w:rsid w:val="00FD2A54"/>
    <w:rsid w:val="00FF55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444B5-3263-4354-887D-04849F55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fontTable" Target="fontTable.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a:t>
            </a:r>
            <a:r>
              <a:rPr lang="en-GB" baseline="0"/>
              <a:t> ratios and defensive interval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Sheet1!$A$2:$A$4</c:f>
              <c:numCache>
                <c:formatCode>General</c:formatCode>
                <c:ptCount val="3"/>
                <c:pt idx="0">
                  <c:v>2020</c:v>
                </c:pt>
                <c:pt idx="1">
                  <c:v>2021</c:v>
                </c:pt>
                <c:pt idx="2">
                  <c:v>2022</c:v>
                </c:pt>
              </c:numCache>
            </c:numRef>
          </c:cat>
          <c:val>
            <c:numRef>
              <c:f>Sheet1!$B$2:$B$4</c:f>
              <c:numCache>
                <c:formatCode>General</c:formatCode>
                <c:ptCount val="3"/>
                <c:pt idx="0">
                  <c:v>1.36</c:v>
                </c:pt>
                <c:pt idx="1">
                  <c:v>1.07</c:v>
                </c:pt>
                <c:pt idx="2">
                  <c:v>0.88</c:v>
                </c:pt>
              </c:numCache>
            </c:numRef>
          </c:val>
          <c:smooth val="0"/>
        </c:ser>
        <c:ser>
          <c:idx val="1"/>
          <c:order val="1"/>
          <c:tx>
            <c:strRef>
              <c:f>Sheet1!$C$1</c:f>
              <c:strCache>
                <c:ptCount val="1"/>
                <c:pt idx="0">
                  <c:v>Quick ratio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Sheet1!$A$2:$A$4</c:f>
              <c:numCache>
                <c:formatCode>General</c:formatCode>
                <c:ptCount val="3"/>
                <c:pt idx="0">
                  <c:v>2020</c:v>
                </c:pt>
                <c:pt idx="1">
                  <c:v>2021</c:v>
                </c:pt>
                <c:pt idx="2">
                  <c:v>2022</c:v>
                </c:pt>
              </c:numCache>
            </c:numRef>
          </c:cat>
          <c:val>
            <c:numRef>
              <c:f>Sheet1!$C$2:$C$4</c:f>
              <c:numCache>
                <c:formatCode>General</c:formatCode>
                <c:ptCount val="3"/>
                <c:pt idx="0">
                  <c:v>1.02</c:v>
                </c:pt>
                <c:pt idx="1">
                  <c:v>0.71</c:v>
                </c:pt>
                <c:pt idx="2">
                  <c:v>0.49</c:v>
                </c:pt>
              </c:numCache>
            </c:numRef>
          </c:val>
          <c:smooth val="0"/>
        </c:ser>
        <c:ser>
          <c:idx val="2"/>
          <c:order val="2"/>
          <c:tx>
            <c:strRef>
              <c:f>Sheet1!$D$1</c:f>
              <c:strCache>
                <c:ptCount val="1"/>
                <c:pt idx="0">
                  <c:v>Cash ratio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Sheet1!$A$2:$A$4</c:f>
              <c:numCache>
                <c:formatCode>General</c:formatCode>
                <c:ptCount val="3"/>
                <c:pt idx="0">
                  <c:v>2020</c:v>
                </c:pt>
                <c:pt idx="1">
                  <c:v>2021</c:v>
                </c:pt>
                <c:pt idx="2">
                  <c:v>2022</c:v>
                </c:pt>
              </c:numCache>
            </c:numRef>
          </c:cat>
          <c:val>
            <c:numRef>
              <c:f>Sheet1!$D$2:$D$4</c:f>
              <c:numCache>
                <c:formatCode>General</c:formatCode>
                <c:ptCount val="3"/>
                <c:pt idx="0">
                  <c:v>0.36</c:v>
                </c:pt>
                <c:pt idx="1">
                  <c:v>0.28000000000000003</c:v>
                </c:pt>
                <c:pt idx="2">
                  <c:v>0.15</c:v>
                </c:pt>
              </c:numCache>
            </c:numRef>
          </c:val>
          <c:smooth val="0"/>
        </c:ser>
        <c:dLbls>
          <c:showLegendKey val="0"/>
          <c:showVal val="0"/>
          <c:showCatName val="0"/>
          <c:showSerName val="0"/>
          <c:showPercent val="0"/>
          <c:showBubbleSize val="0"/>
        </c:dLbls>
        <c:marker val="1"/>
        <c:smooth val="0"/>
        <c:axId val="580140624"/>
        <c:axId val="580142256"/>
      </c:lineChart>
      <c:lineChart>
        <c:grouping val="standard"/>
        <c:varyColors val="0"/>
        <c:ser>
          <c:idx val="3"/>
          <c:order val="3"/>
          <c:tx>
            <c:strRef>
              <c:f>Sheet1!$E$1</c:f>
              <c:strCache>
                <c:ptCount val="1"/>
                <c:pt idx="0">
                  <c:v>Defensive interval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Sheet1!$A$2:$A$4</c:f>
              <c:numCache>
                <c:formatCode>General</c:formatCode>
                <c:ptCount val="3"/>
                <c:pt idx="0">
                  <c:v>2020</c:v>
                </c:pt>
                <c:pt idx="1">
                  <c:v>2021</c:v>
                </c:pt>
                <c:pt idx="2">
                  <c:v>2022</c:v>
                </c:pt>
              </c:numCache>
            </c:numRef>
          </c:cat>
          <c:val>
            <c:numRef>
              <c:f>Sheet1!$E$2:$E$4</c:f>
              <c:numCache>
                <c:formatCode>General</c:formatCode>
                <c:ptCount val="3"/>
                <c:pt idx="0">
                  <c:v>1010</c:v>
                </c:pt>
                <c:pt idx="1">
                  <c:v>739</c:v>
                </c:pt>
                <c:pt idx="2">
                  <c:v>543</c:v>
                </c:pt>
              </c:numCache>
            </c:numRef>
          </c:val>
          <c:smooth val="0"/>
        </c:ser>
        <c:dLbls>
          <c:showLegendKey val="0"/>
          <c:showVal val="0"/>
          <c:showCatName val="0"/>
          <c:showSerName val="0"/>
          <c:showPercent val="0"/>
          <c:showBubbleSize val="0"/>
        </c:dLbls>
        <c:marker val="1"/>
        <c:smooth val="0"/>
        <c:axId val="417674288"/>
        <c:axId val="580142800"/>
      </c:lineChart>
      <c:catAx>
        <c:axId val="58014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142256"/>
        <c:crosses val="autoZero"/>
        <c:auto val="1"/>
        <c:lblAlgn val="ctr"/>
        <c:lblOffset val="100"/>
        <c:noMultiLvlLbl val="0"/>
      </c:catAx>
      <c:valAx>
        <c:axId val="58014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Ratios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140624"/>
        <c:crosses val="autoZero"/>
        <c:crossBetween val="between"/>
      </c:valAx>
      <c:valAx>
        <c:axId val="5801428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Defensive interval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674288"/>
        <c:crosses val="max"/>
        <c:crossBetween val="between"/>
        <c:majorUnit val="100"/>
        <c:minorUnit val="50"/>
      </c:valAx>
      <c:catAx>
        <c:axId val="417674288"/>
        <c:scaling>
          <c:orientation val="minMax"/>
        </c:scaling>
        <c:delete val="1"/>
        <c:axPos val="b"/>
        <c:numFmt formatCode="General" sourceLinked="1"/>
        <c:majorTickMark val="out"/>
        <c:minorTickMark val="none"/>
        <c:tickLblPos val="nextTo"/>
        <c:crossAx val="580142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Dividend metrics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Dividend payout ratio</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0.24529999999999999</c:v>
                </c:pt>
                <c:pt idx="1">
                  <c:v>0.15279999999999999</c:v>
                </c:pt>
                <c:pt idx="2">
                  <c:v>0.1487</c:v>
                </c:pt>
              </c:numCache>
            </c:numRef>
          </c:val>
        </c:ser>
        <c:ser>
          <c:idx val="1"/>
          <c:order val="1"/>
          <c:tx>
            <c:strRef>
              <c:f>Sheet1!$C$1</c:f>
              <c:strCache>
                <c:ptCount val="1"/>
                <c:pt idx="0">
                  <c:v>Dividend yield</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7.1000000000000004E-3</c:v>
                </c:pt>
                <c:pt idx="1">
                  <c:v>5.8999999999999999E-3</c:v>
                </c:pt>
                <c:pt idx="2">
                  <c:v>6.0000000000000001E-3</c:v>
                </c:pt>
              </c:numCache>
            </c:numRef>
          </c:val>
        </c:ser>
        <c:dLbls>
          <c:showLegendKey val="0"/>
          <c:showVal val="0"/>
          <c:showCatName val="0"/>
          <c:showSerName val="0"/>
          <c:showPercent val="0"/>
          <c:showBubbleSize val="0"/>
        </c:dLbls>
        <c:gapWidth val="150"/>
        <c:axId val="304187216"/>
        <c:axId val="304187760"/>
      </c:barChart>
      <c:lineChart>
        <c:grouping val="standard"/>
        <c:varyColors val="0"/>
        <c:ser>
          <c:idx val="2"/>
          <c:order val="2"/>
          <c:tx>
            <c:strRef>
              <c:f>Sheet1!$D$1</c:f>
              <c:strCache>
                <c:ptCount val="1"/>
                <c:pt idx="0">
                  <c:v>Dividend per share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Sheet1!$A$2:$A$4</c:f>
              <c:numCache>
                <c:formatCode>General</c:formatCode>
                <c:ptCount val="3"/>
                <c:pt idx="0">
                  <c:v>2020</c:v>
                </c:pt>
                <c:pt idx="1">
                  <c:v>2021</c:v>
                </c:pt>
                <c:pt idx="2">
                  <c:v>2022</c:v>
                </c:pt>
              </c:numCache>
            </c:numRef>
          </c:cat>
          <c:val>
            <c:numRef>
              <c:f>Sheet1!$D$2:$D$4</c:f>
              <c:numCache>
                <c:formatCode>General</c:formatCode>
                <c:ptCount val="3"/>
                <c:pt idx="0">
                  <c:v>0.8</c:v>
                </c:pt>
                <c:pt idx="1">
                  <c:v>0.86</c:v>
                </c:pt>
                <c:pt idx="2">
                  <c:v>0.91</c:v>
                </c:pt>
              </c:numCache>
            </c:numRef>
          </c:val>
          <c:smooth val="0"/>
        </c:ser>
        <c:dLbls>
          <c:showLegendKey val="0"/>
          <c:showVal val="0"/>
          <c:showCatName val="0"/>
          <c:showSerName val="0"/>
          <c:showPercent val="0"/>
          <c:showBubbleSize val="0"/>
        </c:dLbls>
        <c:marker val="1"/>
        <c:smooth val="0"/>
        <c:axId val="304192112"/>
        <c:axId val="304191568"/>
      </c:lineChart>
      <c:catAx>
        <c:axId val="30418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87760"/>
        <c:crosses val="autoZero"/>
        <c:auto val="1"/>
        <c:lblAlgn val="ctr"/>
        <c:lblOffset val="100"/>
        <c:noMultiLvlLbl val="0"/>
      </c:catAx>
      <c:valAx>
        <c:axId val="30418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87216"/>
        <c:crosses val="autoZero"/>
        <c:crossBetween val="between"/>
      </c:valAx>
      <c:valAx>
        <c:axId val="3041915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92112"/>
        <c:crosses val="max"/>
        <c:crossBetween val="between"/>
      </c:valAx>
      <c:catAx>
        <c:axId val="304192112"/>
        <c:scaling>
          <c:orientation val="minMax"/>
        </c:scaling>
        <c:delete val="1"/>
        <c:axPos val="b"/>
        <c:numFmt formatCode="General" sourceLinked="1"/>
        <c:majorTickMark val="out"/>
        <c:minorTickMark val="none"/>
        <c:tickLblPos val="nextTo"/>
        <c:crossAx val="304191568"/>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ROE, ROCE, ROA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0.87870000000000004</c:v>
                </c:pt>
                <c:pt idx="1">
                  <c:v>1.5006999999999999</c:v>
                </c:pt>
                <c:pt idx="2">
                  <c:v>1.9696</c:v>
                </c:pt>
              </c:numCache>
            </c:numRef>
          </c:val>
        </c:ser>
        <c:ser>
          <c:idx val="1"/>
          <c:order val="1"/>
          <c:tx>
            <c:strRef>
              <c:f>Sheet1!$C$1</c:f>
              <c:strCache>
                <c:ptCount val="1"/>
                <c:pt idx="0">
                  <c:v>ROCE</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0.3034</c:v>
                </c:pt>
                <c:pt idx="1">
                  <c:v>0.48309999999999997</c:v>
                </c:pt>
                <c:pt idx="2">
                  <c:v>0.60089999999999999</c:v>
                </c:pt>
              </c:numCache>
            </c:numRef>
          </c:val>
        </c:ser>
        <c:ser>
          <c:idx val="2"/>
          <c:order val="2"/>
          <c:tx>
            <c:strRef>
              <c:f>Sheet1!$D$1</c:f>
              <c:strCache>
                <c:ptCount val="1"/>
                <c:pt idx="0">
                  <c:v>ROA</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0.00%</c:formatCode>
                <c:ptCount val="3"/>
                <c:pt idx="0" formatCode="0%">
                  <c:v>0.18</c:v>
                </c:pt>
                <c:pt idx="1">
                  <c:v>0.2697</c:v>
                </c:pt>
                <c:pt idx="2">
                  <c:v>0.28289999999999998</c:v>
                </c:pt>
              </c:numCache>
            </c:numRef>
          </c:val>
        </c:ser>
        <c:dLbls>
          <c:showLegendKey val="0"/>
          <c:showVal val="0"/>
          <c:showCatName val="0"/>
          <c:showSerName val="0"/>
          <c:showPercent val="0"/>
          <c:showBubbleSize val="0"/>
        </c:dLbls>
        <c:gapWidth val="150"/>
        <c:axId val="304191024"/>
        <c:axId val="304192656"/>
      </c:barChart>
      <c:catAx>
        <c:axId val="30419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92656"/>
        <c:crosses val="autoZero"/>
        <c:auto val="1"/>
        <c:lblAlgn val="ctr"/>
        <c:lblOffset val="100"/>
        <c:noMultiLvlLbl val="0"/>
      </c:catAx>
      <c:valAx>
        <c:axId val="304192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91024"/>
        <c:crosses val="autoZero"/>
        <c:crossBetween val="between"/>
        <c:majorUnit val="0.5"/>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EV, EV / EBITDA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EV</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1943821</c:v>
                </c:pt>
                <c:pt idx="1">
                  <c:v>2567573</c:v>
                </c:pt>
                <c:pt idx="2">
                  <c:v>2552316</c:v>
                </c:pt>
              </c:numCache>
            </c:numRef>
          </c:val>
        </c:ser>
        <c:dLbls>
          <c:showLegendKey val="0"/>
          <c:showVal val="0"/>
          <c:showCatName val="0"/>
          <c:showSerName val="0"/>
          <c:showPercent val="0"/>
          <c:showBubbleSize val="0"/>
        </c:dLbls>
        <c:gapWidth val="150"/>
        <c:axId val="515745168"/>
        <c:axId val="515751696"/>
      </c:barChart>
      <c:lineChart>
        <c:grouping val="standard"/>
        <c:varyColors val="0"/>
        <c:ser>
          <c:idx val="1"/>
          <c:order val="1"/>
          <c:tx>
            <c:strRef>
              <c:f>Sheet1!$C$1</c:f>
              <c:strCache>
                <c:ptCount val="1"/>
                <c:pt idx="0">
                  <c:v>EV/EBITDA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Sheet1!$A$2:$A$4</c:f>
              <c:numCache>
                <c:formatCode>General</c:formatCode>
                <c:ptCount val="3"/>
                <c:pt idx="0">
                  <c:v>2020</c:v>
                </c:pt>
                <c:pt idx="1">
                  <c:v>2021</c:v>
                </c:pt>
                <c:pt idx="2">
                  <c:v>2022</c:v>
                </c:pt>
              </c:numCache>
            </c:numRef>
          </c:cat>
          <c:val>
            <c:numRef>
              <c:f>Sheet1!$C$2:$C$4</c:f>
              <c:numCache>
                <c:formatCode>General</c:formatCode>
                <c:ptCount val="3"/>
                <c:pt idx="0">
                  <c:v>25.13</c:v>
                </c:pt>
                <c:pt idx="1">
                  <c:v>21.35</c:v>
                </c:pt>
                <c:pt idx="2">
                  <c:v>19.55</c:v>
                </c:pt>
              </c:numCache>
            </c:numRef>
          </c:val>
          <c:smooth val="0"/>
        </c:ser>
        <c:dLbls>
          <c:showLegendKey val="0"/>
          <c:showVal val="0"/>
          <c:showCatName val="0"/>
          <c:showSerName val="0"/>
          <c:showPercent val="0"/>
          <c:showBubbleSize val="0"/>
        </c:dLbls>
        <c:marker val="1"/>
        <c:smooth val="0"/>
        <c:axId val="515746256"/>
        <c:axId val="515745712"/>
      </c:lineChart>
      <c:catAx>
        <c:axId val="51574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51696"/>
        <c:crosses val="autoZero"/>
        <c:auto val="1"/>
        <c:lblAlgn val="ctr"/>
        <c:lblOffset val="100"/>
        <c:noMultiLvlLbl val="0"/>
      </c:catAx>
      <c:valAx>
        <c:axId val="515751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45168"/>
        <c:crosses val="autoZero"/>
        <c:crossBetween val="between"/>
      </c:valAx>
      <c:valAx>
        <c:axId val="5157457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EV</a:t>
                </a:r>
                <a:r>
                  <a:rPr lang="en-GB" sz="1200" baseline="0"/>
                  <a:t> </a:t>
                </a:r>
                <a:r>
                  <a:rPr lang="en-GB" sz="1200"/>
                  <a:t>/ EBITDA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46256"/>
        <c:crosses val="max"/>
        <c:crossBetween val="between"/>
      </c:valAx>
      <c:catAx>
        <c:axId val="515746256"/>
        <c:scaling>
          <c:orientation val="minMax"/>
        </c:scaling>
        <c:delete val="1"/>
        <c:axPos val="b"/>
        <c:numFmt formatCode="General" sourceLinked="1"/>
        <c:majorTickMark val="out"/>
        <c:minorTickMark val="none"/>
        <c:tickLblPos val="nextTo"/>
        <c:crossAx val="51574571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Sales growth, Gross profit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Products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Sheet1!$A$2:$A$5</c:f>
              <c:numCache>
                <c:formatCode>General</c:formatCode>
                <c:ptCount val="4"/>
                <c:pt idx="0">
                  <c:v>2020</c:v>
                </c:pt>
                <c:pt idx="1">
                  <c:v>2021</c:v>
                </c:pt>
                <c:pt idx="2">
                  <c:v>2022</c:v>
                </c:pt>
              </c:numCache>
            </c:numRef>
          </c:cat>
          <c:val>
            <c:numRef>
              <c:f>Sheet1!$B$2:$B$5</c:f>
              <c:numCache>
                <c:formatCode>0.00%</c:formatCode>
                <c:ptCount val="4"/>
                <c:pt idx="0">
                  <c:v>3.2099999999999997E-2</c:v>
                </c:pt>
                <c:pt idx="1">
                  <c:v>0.34720000000000001</c:v>
                </c:pt>
                <c:pt idx="2">
                  <c:v>6.3200000000000006E-2</c:v>
                </c:pt>
              </c:numCache>
            </c:numRef>
          </c:val>
          <c:smooth val="0"/>
        </c:ser>
        <c:ser>
          <c:idx val="1"/>
          <c:order val="1"/>
          <c:tx>
            <c:strRef>
              <c:f>Sheet1!$C$1</c:f>
              <c:strCache>
                <c:ptCount val="1"/>
                <c:pt idx="0">
                  <c:v>Services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Sheet1!$A$2:$A$5</c:f>
              <c:numCache>
                <c:formatCode>General</c:formatCode>
                <c:ptCount val="4"/>
                <c:pt idx="0">
                  <c:v>2020</c:v>
                </c:pt>
                <c:pt idx="1">
                  <c:v>2021</c:v>
                </c:pt>
                <c:pt idx="2">
                  <c:v>2022</c:v>
                </c:pt>
              </c:numCache>
            </c:numRef>
          </c:cat>
          <c:val>
            <c:numRef>
              <c:f>Sheet1!$C$2:$C$5</c:f>
              <c:numCache>
                <c:formatCode>0.00%</c:formatCode>
                <c:ptCount val="4"/>
                <c:pt idx="0">
                  <c:v>0.1615</c:v>
                </c:pt>
                <c:pt idx="1">
                  <c:v>0.27260000000000001</c:v>
                </c:pt>
                <c:pt idx="2">
                  <c:v>0.14180000000000001</c:v>
                </c:pt>
              </c:numCache>
            </c:numRef>
          </c:val>
          <c:smooth val="0"/>
        </c:ser>
        <c:ser>
          <c:idx val="2"/>
          <c:order val="2"/>
          <c:tx>
            <c:strRef>
              <c:f>Sheet1!$D$1</c:f>
              <c:strCache>
                <c:ptCount val="1"/>
                <c:pt idx="0">
                  <c:v>Net sales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Sheet1!$A$2:$A$5</c:f>
              <c:numCache>
                <c:formatCode>General</c:formatCode>
                <c:ptCount val="4"/>
                <c:pt idx="0">
                  <c:v>2020</c:v>
                </c:pt>
                <c:pt idx="1">
                  <c:v>2021</c:v>
                </c:pt>
                <c:pt idx="2">
                  <c:v>2022</c:v>
                </c:pt>
              </c:numCache>
            </c:numRef>
          </c:cat>
          <c:val>
            <c:numRef>
              <c:f>Sheet1!$D$2:$D$5</c:f>
              <c:numCache>
                <c:formatCode>0.00%</c:formatCode>
                <c:ptCount val="4"/>
                <c:pt idx="0">
                  <c:v>5.5100000000000003E-2</c:v>
                </c:pt>
                <c:pt idx="1">
                  <c:v>0.33260000000000001</c:v>
                </c:pt>
                <c:pt idx="2">
                  <c:v>7.7899999999999997E-2</c:v>
                </c:pt>
              </c:numCache>
            </c:numRef>
          </c:val>
          <c:smooth val="0"/>
        </c:ser>
        <c:ser>
          <c:idx val="3"/>
          <c:order val="3"/>
          <c:tx>
            <c:strRef>
              <c:f>Sheet1!$E$1</c:f>
              <c:strCache>
                <c:ptCount val="1"/>
                <c:pt idx="0">
                  <c:v>Gross profit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Sheet1!$A$2:$A$5</c:f>
              <c:numCache>
                <c:formatCode>General</c:formatCode>
                <c:ptCount val="4"/>
                <c:pt idx="0">
                  <c:v>2020</c:v>
                </c:pt>
                <c:pt idx="1">
                  <c:v>2021</c:v>
                </c:pt>
                <c:pt idx="2">
                  <c:v>2022</c:v>
                </c:pt>
              </c:numCache>
            </c:numRef>
          </c:cat>
          <c:val>
            <c:numRef>
              <c:f>Sheet1!$E$2:$E$5</c:f>
              <c:numCache>
                <c:formatCode>0.00%</c:formatCode>
                <c:ptCount val="4"/>
                <c:pt idx="0">
                  <c:v>6.6699999999999995E-2</c:v>
                </c:pt>
                <c:pt idx="1">
                  <c:v>0.45619999999999999</c:v>
                </c:pt>
                <c:pt idx="2">
                  <c:v>0.1174</c:v>
                </c:pt>
              </c:numCache>
            </c:numRef>
          </c:val>
          <c:smooth val="0"/>
        </c:ser>
        <c:dLbls>
          <c:showLegendKey val="0"/>
          <c:showVal val="0"/>
          <c:showCatName val="0"/>
          <c:showSerName val="0"/>
          <c:showPercent val="0"/>
          <c:showBubbleSize val="0"/>
        </c:dLbls>
        <c:marker val="1"/>
        <c:smooth val="0"/>
        <c:axId val="515748976"/>
        <c:axId val="515749520"/>
      </c:lineChart>
      <c:catAx>
        <c:axId val="51574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49520"/>
        <c:crosses val="autoZero"/>
        <c:auto val="1"/>
        <c:lblAlgn val="ctr"/>
        <c:lblOffset val="100"/>
        <c:noMultiLvlLbl val="0"/>
      </c:catAx>
      <c:valAx>
        <c:axId val="51574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4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R&amp;D, SG&amp;A change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R&amp;D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Sheet1!$A$2:$A$5</c:f>
              <c:numCache>
                <c:formatCode>General</c:formatCode>
                <c:ptCount val="4"/>
                <c:pt idx="0">
                  <c:v>2020</c:v>
                </c:pt>
                <c:pt idx="1">
                  <c:v>2021</c:v>
                </c:pt>
                <c:pt idx="2">
                  <c:v>2022</c:v>
                </c:pt>
              </c:numCache>
            </c:numRef>
          </c:cat>
          <c:val>
            <c:numRef>
              <c:f>Sheet1!$B$2:$B$5</c:f>
              <c:numCache>
                <c:formatCode>0.00%</c:formatCode>
                <c:ptCount val="4"/>
                <c:pt idx="0">
                  <c:v>0.15629999999999999</c:v>
                </c:pt>
                <c:pt idx="1">
                  <c:v>0.1686</c:v>
                </c:pt>
                <c:pt idx="2">
                  <c:v>0.19789999999999999</c:v>
                </c:pt>
              </c:numCache>
            </c:numRef>
          </c:val>
          <c:smooth val="0"/>
        </c:ser>
        <c:ser>
          <c:idx val="1"/>
          <c:order val="1"/>
          <c:tx>
            <c:strRef>
              <c:f>Sheet1!$C$1</c:f>
              <c:strCache>
                <c:ptCount val="1"/>
                <c:pt idx="0">
                  <c:v>SG&amp;A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Sheet1!$A$2:$A$5</c:f>
              <c:numCache>
                <c:formatCode>General</c:formatCode>
                <c:ptCount val="4"/>
                <c:pt idx="0">
                  <c:v>2020</c:v>
                </c:pt>
                <c:pt idx="1">
                  <c:v>2021</c:v>
                </c:pt>
                <c:pt idx="2">
                  <c:v>2022</c:v>
                </c:pt>
              </c:numCache>
            </c:numRef>
          </c:cat>
          <c:val>
            <c:numRef>
              <c:f>Sheet1!$C$2:$C$5</c:f>
              <c:numCache>
                <c:formatCode>0.00%</c:formatCode>
                <c:ptCount val="4"/>
                <c:pt idx="0">
                  <c:v>9.1600000000000001E-2</c:v>
                </c:pt>
                <c:pt idx="1">
                  <c:v>0.1033</c:v>
                </c:pt>
                <c:pt idx="2">
                  <c:v>0.14199999999999999</c:v>
                </c:pt>
              </c:numCache>
            </c:numRef>
          </c:val>
          <c:smooth val="0"/>
        </c:ser>
        <c:dLbls>
          <c:showLegendKey val="0"/>
          <c:showVal val="0"/>
          <c:showCatName val="0"/>
          <c:showSerName val="0"/>
          <c:showPercent val="0"/>
          <c:showBubbleSize val="0"/>
        </c:dLbls>
        <c:marker val="1"/>
        <c:smooth val="0"/>
        <c:axId val="515751152"/>
        <c:axId val="678715504"/>
      </c:lineChart>
      <c:catAx>
        <c:axId val="51575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5504"/>
        <c:crosses val="autoZero"/>
        <c:auto val="1"/>
        <c:lblAlgn val="ctr"/>
        <c:lblOffset val="100"/>
        <c:noMultiLvlLbl val="0"/>
      </c:catAx>
      <c:valAx>
        <c:axId val="67871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5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Current assets change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Cash&amp;e</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-0.22170000000000001</c:v>
                </c:pt>
                <c:pt idx="1">
                  <c:v>-8.09E-2</c:v>
                </c:pt>
                <c:pt idx="2">
                  <c:v>-0.32319999999999999</c:v>
                </c:pt>
              </c:numCache>
            </c:numRef>
          </c:val>
        </c:ser>
        <c:ser>
          <c:idx val="1"/>
          <c:order val="1"/>
          <c:tx>
            <c:strRef>
              <c:f>Sheet1!$C$1</c:f>
              <c:strCache>
                <c:ptCount val="1"/>
                <c:pt idx="0">
                  <c:v>Marketable sec</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2.35E-2</c:v>
                </c:pt>
                <c:pt idx="1">
                  <c:v>-0.47670000000000001</c:v>
                </c:pt>
                <c:pt idx="2">
                  <c:v>-0.10979999999999999</c:v>
                </c:pt>
              </c:numCache>
            </c:numRef>
          </c:val>
        </c:ser>
        <c:ser>
          <c:idx val="2"/>
          <c:order val="2"/>
          <c:tx>
            <c:strRef>
              <c:f>Sheet1!$D$1</c:f>
              <c:strCache>
                <c:ptCount val="1"/>
                <c:pt idx="0">
                  <c:v>Acc/rec</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0.00%</c:formatCode>
                <c:ptCount val="3"/>
                <c:pt idx="0">
                  <c:v>-0.2969</c:v>
                </c:pt>
                <c:pt idx="1">
                  <c:v>0.63009999999999999</c:v>
                </c:pt>
                <c:pt idx="2">
                  <c:v>7.2499999999999995E-2</c:v>
                </c:pt>
              </c:numCache>
            </c:numRef>
          </c:val>
        </c:ser>
        <c:ser>
          <c:idx val="3"/>
          <c:order val="3"/>
          <c:tx>
            <c:strRef>
              <c:f>Sheet1!$E$1</c:f>
              <c:strCache>
                <c:ptCount val="1"/>
                <c:pt idx="0">
                  <c:v>Inventories</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0.00%</c:formatCode>
                <c:ptCount val="3"/>
                <c:pt idx="0">
                  <c:v>-1.0999999999999999E-2</c:v>
                </c:pt>
                <c:pt idx="1">
                  <c:v>0.62029999999999996</c:v>
                </c:pt>
                <c:pt idx="2">
                  <c:v>-0.24829999999999999</c:v>
                </c:pt>
              </c:numCache>
            </c:numRef>
          </c:val>
        </c:ser>
        <c:ser>
          <c:idx val="4"/>
          <c:order val="4"/>
          <c:tx>
            <c:strRef>
              <c:f>Sheet1!$F$1</c:f>
              <c:strCache>
                <c:ptCount val="1"/>
                <c:pt idx="0">
                  <c:v>Non trade</c:v>
                </c:pt>
              </c:strCache>
            </c:strRef>
          </c:tx>
          <c:spPr>
            <a:solidFill>
              <a:schemeClr val="accent5"/>
            </a:solidFill>
            <a:ln>
              <a:noFill/>
            </a:ln>
            <a:effectLst/>
          </c:spPr>
          <c:invertIfNegative val="0"/>
          <c:cat>
            <c:numRef>
              <c:f>Sheet1!$A$2:$A$4</c:f>
              <c:numCache>
                <c:formatCode>General</c:formatCode>
                <c:ptCount val="3"/>
                <c:pt idx="0">
                  <c:v>2020</c:v>
                </c:pt>
                <c:pt idx="1">
                  <c:v>2021</c:v>
                </c:pt>
                <c:pt idx="2">
                  <c:v>2022</c:v>
                </c:pt>
              </c:numCache>
            </c:numRef>
          </c:cat>
          <c:val>
            <c:numRef>
              <c:f>Sheet1!$F$2:$F$4</c:f>
              <c:numCache>
                <c:formatCode>0.00%</c:formatCode>
                <c:ptCount val="3"/>
                <c:pt idx="0">
                  <c:v>-6.7900000000000002E-2</c:v>
                </c:pt>
                <c:pt idx="1">
                  <c:v>0.183</c:v>
                </c:pt>
                <c:pt idx="2">
                  <c:v>0.29809999999999998</c:v>
                </c:pt>
              </c:numCache>
            </c:numRef>
          </c:val>
        </c:ser>
        <c:ser>
          <c:idx val="5"/>
          <c:order val="5"/>
          <c:tx>
            <c:strRef>
              <c:f>Sheet1!$G$1</c:f>
              <c:strCache>
                <c:ptCount val="1"/>
                <c:pt idx="0">
                  <c:v>Other</c:v>
                </c:pt>
              </c:strCache>
            </c:strRef>
          </c:tx>
          <c:spPr>
            <a:solidFill>
              <a:schemeClr val="accent6"/>
            </a:solidFill>
            <a:ln>
              <a:noFill/>
            </a:ln>
            <a:effectLst/>
          </c:spPr>
          <c:invertIfNegative val="0"/>
          <c:cat>
            <c:numRef>
              <c:f>Sheet1!$A$2:$A$4</c:f>
              <c:numCache>
                <c:formatCode>General</c:formatCode>
                <c:ptCount val="3"/>
                <c:pt idx="0">
                  <c:v>2020</c:v>
                </c:pt>
                <c:pt idx="1">
                  <c:v>2021</c:v>
                </c:pt>
                <c:pt idx="2">
                  <c:v>2022</c:v>
                </c:pt>
              </c:numCache>
            </c:numRef>
          </c:cat>
          <c:val>
            <c:numRef>
              <c:f>Sheet1!$G$2:$G$4</c:f>
              <c:numCache>
                <c:formatCode>0.00%</c:formatCode>
                <c:ptCount val="3"/>
                <c:pt idx="0">
                  <c:v>-8.8099999999999998E-2</c:v>
                </c:pt>
                <c:pt idx="1">
                  <c:v>0.25280000000000002</c:v>
                </c:pt>
                <c:pt idx="2">
                  <c:v>0.504</c:v>
                </c:pt>
              </c:numCache>
            </c:numRef>
          </c:val>
        </c:ser>
        <c:ser>
          <c:idx val="6"/>
          <c:order val="6"/>
          <c:tx>
            <c:strRef>
              <c:f>Sheet1!$H$1</c:f>
              <c:strCache>
                <c:ptCount val="1"/>
                <c:pt idx="0">
                  <c:v>Total CA</c:v>
                </c:pt>
              </c:strCache>
            </c:strRef>
          </c:tx>
          <c:spPr>
            <a:solidFill>
              <a:schemeClr val="accent1">
                <a:lumMod val="60000"/>
              </a:schemeClr>
            </a:solidFill>
            <a:ln>
              <a:noFill/>
            </a:ln>
            <a:effectLst/>
          </c:spPr>
          <c:invertIfNegative val="0"/>
          <c:cat>
            <c:numRef>
              <c:f>Sheet1!$A$2:$A$4</c:f>
              <c:numCache>
                <c:formatCode>General</c:formatCode>
                <c:ptCount val="3"/>
                <c:pt idx="0">
                  <c:v>2020</c:v>
                </c:pt>
                <c:pt idx="1">
                  <c:v>2021</c:v>
                </c:pt>
                <c:pt idx="2">
                  <c:v>2022</c:v>
                </c:pt>
              </c:numCache>
            </c:numRef>
          </c:cat>
          <c:val>
            <c:numRef>
              <c:f>Sheet1!$H$2:$H$4</c:f>
              <c:numCache>
                <c:formatCode>0.00%</c:formatCode>
                <c:ptCount val="3"/>
                <c:pt idx="0">
                  <c:v>-0.1173</c:v>
                </c:pt>
                <c:pt idx="1">
                  <c:v>-6.1800000000000001E-2</c:v>
                </c:pt>
                <c:pt idx="2">
                  <c:v>4.1999999999999997E-3</c:v>
                </c:pt>
              </c:numCache>
            </c:numRef>
          </c:val>
        </c:ser>
        <c:dLbls>
          <c:showLegendKey val="0"/>
          <c:showVal val="0"/>
          <c:showCatName val="0"/>
          <c:showSerName val="0"/>
          <c:showPercent val="0"/>
          <c:showBubbleSize val="0"/>
        </c:dLbls>
        <c:gapWidth val="300"/>
        <c:axId val="678713328"/>
        <c:axId val="678714960"/>
      </c:barChart>
      <c:catAx>
        <c:axId val="6787133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4960"/>
        <c:crosses val="autoZero"/>
        <c:auto val="1"/>
        <c:lblAlgn val="ctr"/>
        <c:lblOffset val="100"/>
        <c:noMultiLvlLbl val="0"/>
      </c:catAx>
      <c:valAx>
        <c:axId val="6787149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3328"/>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Non-current assets change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Marketable sec</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-4.2299999999999997E-2</c:v>
                </c:pt>
                <c:pt idx="1">
                  <c:v>0.26750000000000002</c:v>
                </c:pt>
                <c:pt idx="2">
                  <c:v>-5.5300000000000002E-2</c:v>
                </c:pt>
              </c:numCache>
            </c:numRef>
          </c:val>
        </c:ser>
        <c:ser>
          <c:idx val="1"/>
          <c:order val="1"/>
          <c:tx>
            <c:strRef>
              <c:f>Sheet1!$C$1</c:f>
              <c:strCache>
                <c:ptCount val="1"/>
                <c:pt idx="0">
                  <c:v>PPE</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-1.6400000000000001E-2</c:v>
                </c:pt>
                <c:pt idx="1">
                  <c:v>7.2700000000000001E-2</c:v>
                </c:pt>
                <c:pt idx="2">
                  <c:v>6.7900000000000002E-2</c:v>
                </c:pt>
              </c:numCache>
            </c:numRef>
          </c:val>
        </c:ser>
        <c:ser>
          <c:idx val="2"/>
          <c:order val="2"/>
          <c:tx>
            <c:strRef>
              <c:f>Sheet1!$D$1</c:f>
              <c:strCache>
                <c:ptCount val="1"/>
                <c:pt idx="0">
                  <c:v>Other</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0.00%</c:formatCode>
                <c:ptCount val="3"/>
                <c:pt idx="0">
                  <c:v>0.28939999999999999</c:v>
                </c:pt>
                <c:pt idx="1">
                  <c:v>0.14879999999999999</c:v>
                </c:pt>
                <c:pt idx="2">
                  <c:v>0.1142</c:v>
                </c:pt>
              </c:numCache>
            </c:numRef>
          </c:val>
        </c:ser>
        <c:ser>
          <c:idx val="3"/>
          <c:order val="3"/>
          <c:tx>
            <c:strRef>
              <c:f>Sheet1!$E$1</c:f>
              <c:strCache>
                <c:ptCount val="1"/>
                <c:pt idx="0">
                  <c:v>Total</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0.00%</c:formatCode>
                <c:ptCount val="3"/>
                <c:pt idx="0">
                  <c:v>2.5499999999999998E-2</c:v>
                </c:pt>
                <c:pt idx="1">
                  <c:v>0.19980000000000001</c:v>
                </c:pt>
                <c:pt idx="2">
                  <c:v>5.4999999999999997E-3</c:v>
                </c:pt>
              </c:numCache>
            </c:numRef>
          </c:val>
        </c:ser>
        <c:dLbls>
          <c:showLegendKey val="0"/>
          <c:showVal val="0"/>
          <c:showCatName val="0"/>
          <c:showSerName val="0"/>
          <c:showPercent val="0"/>
          <c:showBubbleSize val="0"/>
        </c:dLbls>
        <c:gapWidth val="300"/>
        <c:axId val="678716048"/>
        <c:axId val="678716592"/>
      </c:barChart>
      <c:catAx>
        <c:axId val="67871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6592"/>
        <c:crosses val="autoZero"/>
        <c:auto val="1"/>
        <c:lblAlgn val="ctr"/>
        <c:lblOffset val="100"/>
        <c:noMultiLvlLbl val="0"/>
      </c:catAx>
      <c:valAx>
        <c:axId val="6787165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6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assets change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current assets</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0.00%</c:formatCode>
                <c:ptCount val="3"/>
                <c:pt idx="0">
                  <c:v>-0.1173</c:v>
                </c:pt>
                <c:pt idx="1">
                  <c:v>-6.1800000000000001E-2</c:v>
                </c:pt>
                <c:pt idx="2">
                  <c:v>4.1999999999999997E-3</c:v>
                </c:pt>
              </c:numCache>
            </c:numRef>
          </c:val>
          <c:smooth val="0"/>
        </c:ser>
        <c:ser>
          <c:idx val="1"/>
          <c:order val="1"/>
          <c:tx>
            <c:strRef>
              <c:f>Sheet1!$C$1</c:f>
              <c:strCache>
                <c:ptCount val="1"/>
                <c:pt idx="0">
                  <c:v>Total non-current assets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0.00%</c:formatCode>
                <c:ptCount val="3"/>
                <c:pt idx="0">
                  <c:v>2.5499999999999998E-2</c:v>
                </c:pt>
                <c:pt idx="1">
                  <c:v>0.19980000000000001</c:v>
                </c:pt>
                <c:pt idx="2">
                  <c:v>5.4999999999999997E-3</c:v>
                </c:pt>
              </c:numCache>
            </c:numRef>
          </c:val>
          <c:smooth val="0"/>
        </c:ser>
        <c:ser>
          <c:idx val="2"/>
          <c:order val="2"/>
          <c:tx>
            <c:strRef>
              <c:f>Sheet1!$D$1</c:f>
              <c:strCache>
                <c:ptCount val="1"/>
                <c:pt idx="0">
                  <c:v>Total assets</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0.00%</c:formatCode>
                <c:ptCount val="3"/>
                <c:pt idx="0">
                  <c:v>-4.3200000000000002E-2</c:v>
                </c:pt>
                <c:pt idx="1">
                  <c:v>8.3699999999999997E-2</c:v>
                </c:pt>
                <c:pt idx="2">
                  <c:v>5.0000000000000001E-3</c:v>
                </c:pt>
              </c:numCache>
            </c:numRef>
          </c:val>
          <c:smooth val="0"/>
        </c:ser>
        <c:dLbls>
          <c:showLegendKey val="0"/>
          <c:showVal val="0"/>
          <c:showCatName val="0"/>
          <c:showSerName val="0"/>
          <c:showPercent val="0"/>
          <c:showBubbleSize val="0"/>
        </c:dLbls>
        <c:smooth val="0"/>
        <c:axId val="678710608"/>
        <c:axId val="678711152"/>
      </c:lineChart>
      <c:catAx>
        <c:axId val="6787106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1152"/>
        <c:crosses val="autoZero"/>
        <c:auto val="1"/>
        <c:lblAlgn val="ctr"/>
        <c:lblOffset val="100"/>
        <c:noMultiLvlLbl val="0"/>
      </c:catAx>
      <c:valAx>
        <c:axId val="67871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layout>
            <c:manualLayout>
              <c:xMode val="edge"/>
              <c:yMode val="edge"/>
              <c:x val="0.125"/>
              <c:y val="0.364332583427071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10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Current liabilities change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Accounts payable</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-8.5199999999999998E-2</c:v>
                </c:pt>
                <c:pt idx="1">
                  <c:v>0.29480000000000001</c:v>
                </c:pt>
                <c:pt idx="2">
                  <c:v>0.17080000000000001</c:v>
                </c:pt>
              </c:numCache>
            </c:numRef>
          </c:val>
        </c:ser>
        <c:ser>
          <c:idx val="1"/>
          <c:order val="1"/>
          <c:tx>
            <c:strRef>
              <c:f>Sheet1!$C$1</c:f>
              <c:strCache>
                <c:ptCount val="1"/>
                <c:pt idx="0">
                  <c:v>Other</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0.13159999999999999</c:v>
                </c:pt>
                <c:pt idx="1">
                  <c:v>0.11269999999999999</c:v>
                </c:pt>
                <c:pt idx="2">
                  <c:v>0.28110000000000002</c:v>
                </c:pt>
              </c:numCache>
            </c:numRef>
          </c:val>
        </c:ser>
        <c:ser>
          <c:idx val="2"/>
          <c:order val="2"/>
          <c:tx>
            <c:strRef>
              <c:f>Sheet1!$D$1</c:f>
              <c:strCache>
                <c:ptCount val="1"/>
                <c:pt idx="0">
                  <c:v>Deferred rev</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0.00%</c:formatCode>
                <c:ptCount val="3"/>
                <c:pt idx="0">
                  <c:v>0.20300000000000001</c:v>
                </c:pt>
                <c:pt idx="1">
                  <c:v>0.1459</c:v>
                </c:pt>
                <c:pt idx="2">
                  <c:v>3.9399999999999998E-2</c:v>
                </c:pt>
              </c:numCache>
            </c:numRef>
          </c:val>
        </c:ser>
        <c:ser>
          <c:idx val="3"/>
          <c:order val="3"/>
          <c:tx>
            <c:strRef>
              <c:f>Sheet1!$E$1</c:f>
              <c:strCache>
                <c:ptCount val="1"/>
                <c:pt idx="0">
                  <c:v>C. paper</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0.00%</c:formatCode>
                <c:ptCount val="3"/>
                <c:pt idx="0">
                  <c:v>-0.16450000000000001</c:v>
                </c:pt>
                <c:pt idx="1">
                  <c:v>0.20100000000000001</c:v>
                </c:pt>
                <c:pt idx="2">
                  <c:v>0.66369999999999996</c:v>
                </c:pt>
              </c:numCache>
            </c:numRef>
          </c:val>
        </c:ser>
        <c:ser>
          <c:idx val="4"/>
          <c:order val="4"/>
          <c:tx>
            <c:strRef>
              <c:f>Sheet1!$F$1</c:f>
              <c:strCache>
                <c:ptCount val="1"/>
                <c:pt idx="0">
                  <c:v>Term debt</c:v>
                </c:pt>
              </c:strCache>
            </c:strRef>
          </c:tx>
          <c:spPr>
            <a:solidFill>
              <a:schemeClr val="accent5"/>
            </a:solidFill>
            <a:ln>
              <a:noFill/>
            </a:ln>
            <a:effectLst/>
          </c:spPr>
          <c:invertIfNegative val="0"/>
          <c:cat>
            <c:numRef>
              <c:f>Sheet1!$A$2:$A$4</c:f>
              <c:numCache>
                <c:formatCode>General</c:formatCode>
                <c:ptCount val="3"/>
                <c:pt idx="0">
                  <c:v>2020</c:v>
                </c:pt>
                <c:pt idx="1">
                  <c:v>2021</c:v>
                </c:pt>
                <c:pt idx="2">
                  <c:v>2022</c:v>
                </c:pt>
              </c:numCache>
            </c:numRef>
          </c:cat>
          <c:val>
            <c:numRef>
              <c:f>Sheet1!$F$2:$F$4</c:f>
              <c:numCache>
                <c:formatCode>0.00%</c:formatCode>
                <c:ptCount val="3"/>
                <c:pt idx="0">
                  <c:v>-0.1449</c:v>
                </c:pt>
                <c:pt idx="1">
                  <c:v>9.5699999999999993E-2</c:v>
                </c:pt>
                <c:pt idx="2">
                  <c:v>0.15759999999999999</c:v>
                </c:pt>
              </c:numCache>
            </c:numRef>
          </c:val>
        </c:ser>
        <c:ser>
          <c:idx val="5"/>
          <c:order val="5"/>
          <c:tx>
            <c:strRef>
              <c:f>Sheet1!$G$1</c:f>
              <c:strCache>
                <c:ptCount val="1"/>
                <c:pt idx="0">
                  <c:v>Total </c:v>
                </c:pt>
              </c:strCache>
            </c:strRef>
          </c:tx>
          <c:spPr>
            <a:solidFill>
              <a:schemeClr val="accent6"/>
            </a:solidFill>
            <a:ln>
              <a:noFill/>
            </a:ln>
            <a:effectLst/>
          </c:spPr>
          <c:invertIfNegative val="0"/>
          <c:cat>
            <c:numRef>
              <c:f>Sheet1!$A$2:$A$4</c:f>
              <c:numCache>
                <c:formatCode>General</c:formatCode>
                <c:ptCount val="3"/>
                <c:pt idx="0">
                  <c:v>2020</c:v>
                </c:pt>
                <c:pt idx="1">
                  <c:v>2021</c:v>
                </c:pt>
                <c:pt idx="2">
                  <c:v>2022</c:v>
                </c:pt>
              </c:numCache>
            </c:numRef>
          </c:cat>
          <c:val>
            <c:numRef>
              <c:f>Sheet1!$G$2:$G$4</c:f>
              <c:numCache>
                <c:formatCode>0.00%</c:formatCode>
                <c:ptCount val="3"/>
                <c:pt idx="0">
                  <c:v>-3.0999999999999999E-3</c:v>
                </c:pt>
                <c:pt idx="1">
                  <c:v>0.19059999999999999</c:v>
                </c:pt>
                <c:pt idx="2">
                  <c:v>0.2271</c:v>
                </c:pt>
              </c:numCache>
            </c:numRef>
          </c:val>
        </c:ser>
        <c:dLbls>
          <c:showLegendKey val="0"/>
          <c:showVal val="0"/>
          <c:showCatName val="0"/>
          <c:showSerName val="0"/>
          <c:showPercent val="0"/>
          <c:showBubbleSize val="0"/>
        </c:dLbls>
        <c:gapWidth val="300"/>
        <c:axId val="515192576"/>
        <c:axId val="515194752"/>
      </c:barChart>
      <c:catAx>
        <c:axId val="5151925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4752"/>
        <c:crosses val="autoZero"/>
        <c:auto val="1"/>
        <c:lblAlgn val="ctr"/>
        <c:lblOffset val="100"/>
        <c:noMultiLvlLbl val="0"/>
      </c:catAx>
      <c:valAx>
        <c:axId val="515194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2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Non-current liabilities change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Deferred rev</c:v>
                </c:pt>
              </c:strCache>
            </c:strRef>
          </c:tx>
          <c:spPr>
            <a:solidFill>
              <a:schemeClr val="accent1"/>
            </a:solidFill>
            <a:ln>
              <a:noFill/>
            </a:ln>
            <a:effectLst/>
          </c:spPr>
          <c:invertIfNegative val="0"/>
          <c:cat>
            <c:numRef>
              <c:f>Sheet1!$A$2:$A$5</c:f>
              <c:numCache>
                <c:formatCode>General</c:formatCode>
                <c:ptCount val="4"/>
                <c:pt idx="0">
                  <c:v>2020</c:v>
                </c:pt>
                <c:pt idx="1">
                  <c:v>2021</c:v>
                </c:pt>
                <c:pt idx="2">
                  <c:v>2022</c:v>
                </c:pt>
              </c:numCache>
            </c:numRef>
          </c:cat>
          <c:val>
            <c:numRef>
              <c:f>Sheet1!$B$2:$B$5</c:f>
              <c:numCache>
                <c:formatCode>0%</c:formatCode>
                <c:ptCount val="4"/>
                <c:pt idx="0">
                  <c:v>1E-8</c:v>
                </c:pt>
                <c:pt idx="1">
                  <c:v>9.9999999999999995E-8</c:v>
                </c:pt>
                <c:pt idx="2">
                  <c:v>9.9999999999999995E-8</c:v>
                </c:pt>
              </c:numCache>
            </c:numRef>
          </c:val>
        </c:ser>
        <c:ser>
          <c:idx val="1"/>
          <c:order val="1"/>
          <c:tx>
            <c:strRef>
              <c:f>Sheet1!$C$1</c:f>
              <c:strCache>
                <c:ptCount val="1"/>
                <c:pt idx="0">
                  <c:v>Term debt</c:v>
                </c:pt>
              </c:strCache>
            </c:strRef>
          </c:tx>
          <c:spPr>
            <a:solidFill>
              <a:schemeClr val="accent2"/>
            </a:solidFill>
            <a:ln>
              <a:noFill/>
            </a:ln>
            <a:effectLst/>
          </c:spPr>
          <c:invertIfNegative val="0"/>
          <c:cat>
            <c:numRef>
              <c:f>Sheet1!$A$2:$A$5</c:f>
              <c:numCache>
                <c:formatCode>General</c:formatCode>
                <c:ptCount val="4"/>
                <c:pt idx="0">
                  <c:v>2020</c:v>
                </c:pt>
                <c:pt idx="1">
                  <c:v>2021</c:v>
                </c:pt>
                <c:pt idx="2">
                  <c:v>2022</c:v>
                </c:pt>
              </c:numCache>
            </c:numRef>
          </c:cat>
          <c:val>
            <c:numRef>
              <c:f>Sheet1!$C$2:$C$5</c:f>
              <c:numCache>
                <c:formatCode>0.00%</c:formatCode>
                <c:ptCount val="4"/>
                <c:pt idx="0">
                  <c:v>7.4700000000000003E-2</c:v>
                </c:pt>
                <c:pt idx="1">
                  <c:v>0.10580000000000001</c:v>
                </c:pt>
                <c:pt idx="2">
                  <c:v>-9.2999999999999999E-2</c:v>
                </c:pt>
              </c:numCache>
            </c:numRef>
          </c:val>
        </c:ser>
        <c:ser>
          <c:idx val="2"/>
          <c:order val="2"/>
          <c:tx>
            <c:strRef>
              <c:f>Sheet1!$D$1</c:f>
              <c:strCache>
                <c:ptCount val="1"/>
                <c:pt idx="0">
                  <c:v>Other</c:v>
                </c:pt>
              </c:strCache>
            </c:strRef>
          </c:tx>
          <c:spPr>
            <a:solidFill>
              <a:schemeClr val="accent3"/>
            </a:solidFill>
            <a:ln>
              <a:noFill/>
            </a:ln>
            <a:effectLst/>
          </c:spPr>
          <c:invertIfNegative val="0"/>
          <c:cat>
            <c:numRef>
              <c:f>Sheet1!$A$2:$A$5</c:f>
              <c:numCache>
                <c:formatCode>General</c:formatCode>
                <c:ptCount val="4"/>
                <c:pt idx="0">
                  <c:v>2020</c:v>
                </c:pt>
                <c:pt idx="1">
                  <c:v>2021</c:v>
                </c:pt>
                <c:pt idx="2">
                  <c:v>2022</c:v>
                </c:pt>
              </c:numCache>
            </c:numRef>
          </c:cat>
          <c:val>
            <c:numRef>
              <c:f>Sheet1!$D$2:$D$5</c:f>
              <c:numCache>
                <c:formatCode>0.00%</c:formatCode>
                <c:ptCount val="4"/>
                <c:pt idx="0">
                  <c:v>7.8899999999999998E-2</c:v>
                </c:pt>
                <c:pt idx="1">
                  <c:v>-2.1399999999999999E-2</c:v>
                </c:pt>
                <c:pt idx="2">
                  <c:v>-7.8399999999999997E-2</c:v>
                </c:pt>
              </c:numCache>
            </c:numRef>
          </c:val>
        </c:ser>
        <c:ser>
          <c:idx val="3"/>
          <c:order val="3"/>
          <c:tx>
            <c:strRef>
              <c:f>Sheet1!$E$1</c:f>
              <c:strCache>
                <c:ptCount val="1"/>
                <c:pt idx="0">
                  <c:v>Total</c:v>
                </c:pt>
              </c:strCache>
            </c:strRef>
          </c:tx>
          <c:spPr>
            <a:solidFill>
              <a:schemeClr val="accent4"/>
            </a:solidFill>
            <a:ln>
              <a:noFill/>
            </a:ln>
            <a:effectLst/>
          </c:spPr>
          <c:invertIfNegative val="0"/>
          <c:cat>
            <c:numRef>
              <c:f>Sheet1!$A$2:$A$5</c:f>
              <c:numCache>
                <c:formatCode>General</c:formatCode>
                <c:ptCount val="4"/>
                <c:pt idx="0">
                  <c:v>2020</c:v>
                </c:pt>
                <c:pt idx="1">
                  <c:v>2021</c:v>
                </c:pt>
                <c:pt idx="2">
                  <c:v>2022</c:v>
                </c:pt>
              </c:numCache>
            </c:numRef>
          </c:cat>
          <c:val>
            <c:numRef>
              <c:f>Sheet1!$E$2:$E$5</c:f>
              <c:numCache>
                <c:formatCode>0.00%</c:formatCode>
                <c:ptCount val="4"/>
                <c:pt idx="0">
                  <c:v>7.6200000000000004E-2</c:v>
                </c:pt>
                <c:pt idx="1">
                  <c:v>6.0600000000000001E-2</c:v>
                </c:pt>
                <c:pt idx="2">
                  <c:v>-8.8200000000000001E-2</c:v>
                </c:pt>
              </c:numCache>
            </c:numRef>
          </c:val>
        </c:ser>
        <c:dLbls>
          <c:showLegendKey val="0"/>
          <c:showVal val="0"/>
          <c:showCatName val="0"/>
          <c:showSerName val="0"/>
          <c:showPercent val="0"/>
          <c:showBubbleSize val="0"/>
        </c:dLbls>
        <c:gapWidth val="219"/>
        <c:overlap val="-27"/>
        <c:axId val="515195296"/>
        <c:axId val="515192032"/>
      </c:barChart>
      <c:catAx>
        <c:axId val="515195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2032"/>
        <c:crosses val="autoZero"/>
        <c:auto val="1"/>
        <c:lblAlgn val="ctr"/>
        <c:lblOffset val="100"/>
        <c:noMultiLvlLbl val="0"/>
      </c:catAx>
      <c:valAx>
        <c:axId val="51519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5296"/>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 trading cycle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Inventory days</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9.8000000000000007</c:v>
                </c:pt>
                <c:pt idx="1">
                  <c:v>12.49</c:v>
                </c:pt>
                <c:pt idx="2">
                  <c:v>8.9600000000000009</c:v>
                </c:pt>
              </c:numCache>
            </c:numRef>
          </c:val>
        </c:ser>
        <c:ser>
          <c:idx val="1"/>
          <c:order val="1"/>
          <c:tx>
            <c:strRef>
              <c:f>Sheet1!$C$1</c:f>
              <c:strCache>
                <c:ptCount val="1"/>
                <c:pt idx="0">
                  <c:v>Payable days</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General</c:formatCode>
                <c:ptCount val="3"/>
                <c:pt idx="0">
                  <c:v>91</c:v>
                </c:pt>
                <c:pt idx="1">
                  <c:v>94</c:v>
                </c:pt>
                <c:pt idx="2">
                  <c:v>105</c:v>
                </c:pt>
              </c:numCache>
            </c:numRef>
          </c:val>
        </c:ser>
        <c:ser>
          <c:idx val="2"/>
          <c:order val="2"/>
          <c:tx>
            <c:strRef>
              <c:f>Sheet1!$D$1</c:f>
              <c:strCache>
                <c:ptCount val="1"/>
                <c:pt idx="0">
                  <c:v>Receivable days</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General</c:formatCode>
                <c:ptCount val="3"/>
                <c:pt idx="0">
                  <c:v>21</c:v>
                </c:pt>
                <c:pt idx="1">
                  <c:v>26</c:v>
                </c:pt>
                <c:pt idx="2">
                  <c:v>26</c:v>
                </c:pt>
              </c:numCache>
            </c:numRef>
          </c:val>
        </c:ser>
        <c:ser>
          <c:idx val="3"/>
          <c:order val="3"/>
          <c:tx>
            <c:strRef>
              <c:f>Sheet1!$E$1</c:f>
              <c:strCache>
                <c:ptCount val="1"/>
                <c:pt idx="0">
                  <c:v>Net trading cycle</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General</c:formatCode>
                <c:ptCount val="3"/>
                <c:pt idx="0">
                  <c:v>-60.2</c:v>
                </c:pt>
                <c:pt idx="1">
                  <c:v>-55.51</c:v>
                </c:pt>
                <c:pt idx="2">
                  <c:v>-70.040000000000006</c:v>
                </c:pt>
              </c:numCache>
            </c:numRef>
          </c:val>
        </c:ser>
        <c:dLbls>
          <c:showLegendKey val="0"/>
          <c:showVal val="0"/>
          <c:showCatName val="0"/>
          <c:showSerName val="0"/>
          <c:showPercent val="0"/>
          <c:showBubbleSize val="0"/>
        </c:dLbls>
        <c:gapWidth val="219"/>
        <c:overlap val="-27"/>
        <c:axId val="658726992"/>
        <c:axId val="658726448"/>
      </c:barChart>
      <c:catAx>
        <c:axId val="65872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26448"/>
        <c:crosses val="autoZero"/>
        <c:auto val="1"/>
        <c:lblAlgn val="ctr"/>
        <c:lblOffset val="100"/>
        <c:noMultiLvlLbl val="0"/>
      </c:catAx>
      <c:valAx>
        <c:axId val="65872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Days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2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liabilities change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current liabilities</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0.00%</c:formatCode>
                <c:ptCount val="3"/>
                <c:pt idx="0">
                  <c:v>-3.0999999999999999E-3</c:v>
                </c:pt>
                <c:pt idx="1">
                  <c:v>0.19059999999999999</c:v>
                </c:pt>
                <c:pt idx="2">
                  <c:v>0.2271</c:v>
                </c:pt>
              </c:numCache>
            </c:numRef>
          </c:val>
          <c:smooth val="0"/>
        </c:ser>
        <c:ser>
          <c:idx val="1"/>
          <c:order val="1"/>
          <c:tx>
            <c:strRef>
              <c:f>Sheet1!$C$1</c:f>
              <c:strCache>
                <c:ptCount val="1"/>
                <c:pt idx="0">
                  <c:v>Total non-current liabilities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0.00%</c:formatCode>
                <c:ptCount val="3"/>
                <c:pt idx="0">
                  <c:v>7.6200000000000004E-2</c:v>
                </c:pt>
                <c:pt idx="1">
                  <c:v>6.0600000000000001E-2</c:v>
                </c:pt>
                <c:pt idx="2">
                  <c:v>-8.8200000000000001E-2</c:v>
                </c:pt>
              </c:numCache>
            </c:numRef>
          </c:val>
          <c:smooth val="0"/>
        </c:ser>
        <c:ser>
          <c:idx val="2"/>
          <c:order val="2"/>
          <c:tx>
            <c:strRef>
              <c:f>Sheet1!$D$1</c:f>
              <c:strCache>
                <c:ptCount val="1"/>
                <c:pt idx="0">
                  <c:v>Total liabilities</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0.00%</c:formatCode>
                <c:ptCount val="3"/>
                <c:pt idx="0">
                  <c:v>4.24E-2</c:v>
                </c:pt>
                <c:pt idx="1">
                  <c:v>0.11360000000000001</c:v>
                </c:pt>
                <c:pt idx="2">
                  <c:v>4.9200000000000001E-2</c:v>
                </c:pt>
              </c:numCache>
            </c:numRef>
          </c:val>
          <c:smooth val="0"/>
        </c:ser>
        <c:dLbls>
          <c:showLegendKey val="0"/>
          <c:showVal val="0"/>
          <c:showCatName val="0"/>
          <c:showSerName val="0"/>
          <c:showPercent val="0"/>
          <c:showBubbleSize val="0"/>
        </c:dLbls>
        <c:smooth val="0"/>
        <c:axId val="515190944"/>
        <c:axId val="515193120"/>
      </c:lineChart>
      <c:catAx>
        <c:axId val="5151909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3120"/>
        <c:crosses val="autoZero"/>
        <c:auto val="1"/>
        <c:lblAlgn val="ctr"/>
        <c:lblOffset val="100"/>
        <c:noMultiLvlLbl val="0"/>
      </c:catAx>
      <c:valAx>
        <c:axId val="5151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layout>
            <c:manualLayout>
              <c:xMode val="edge"/>
              <c:yMode val="edge"/>
              <c:x val="0.13194444444444445"/>
              <c:y val="0.364332583427071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190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Shareholders' equity chagne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Common stock</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0.00%</c:formatCode>
                <c:ptCount val="3"/>
                <c:pt idx="0">
                  <c:v>0.1241</c:v>
                </c:pt>
                <c:pt idx="1">
                  <c:v>0.12970000000000001</c:v>
                </c:pt>
                <c:pt idx="2">
                  <c:v>0.1305</c:v>
                </c:pt>
              </c:numCache>
            </c:numRef>
          </c:val>
          <c:smooth val="0"/>
        </c:ser>
        <c:ser>
          <c:idx val="1"/>
          <c:order val="1"/>
          <c:tx>
            <c:strRef>
              <c:f>Sheet1!$C$1</c:f>
              <c:strCache>
                <c:ptCount val="1"/>
                <c:pt idx="0">
                  <c:v>Retained earnings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0.00%</c:formatCode>
                <c:ptCount val="3"/>
                <c:pt idx="0">
                  <c:v>-0.67390000000000005</c:v>
                </c:pt>
                <c:pt idx="1">
                  <c:v>-0.62839999999999996</c:v>
                </c:pt>
                <c:pt idx="2">
                  <c:v>-1.5516000000000001</c:v>
                </c:pt>
              </c:numCache>
            </c:numRef>
          </c:val>
          <c:smooth val="0"/>
        </c:ser>
        <c:ser>
          <c:idx val="2"/>
          <c:order val="2"/>
          <c:tx>
            <c:strRef>
              <c:f>Sheet1!$D$1</c:f>
              <c:strCache>
                <c:ptCount val="1"/>
                <c:pt idx="0">
                  <c:v>Acc. Other</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0.00%</c:formatCode>
                <c:ptCount val="3"/>
                <c:pt idx="0">
                  <c:v>0.30480000000000002</c:v>
                </c:pt>
                <c:pt idx="1">
                  <c:v>1.4015</c:v>
                </c:pt>
                <c:pt idx="2">
                  <c:v>-69.153400000000005</c:v>
                </c:pt>
              </c:numCache>
            </c:numRef>
          </c:val>
          <c:smooth val="0"/>
        </c:ser>
        <c:ser>
          <c:idx val="3"/>
          <c:order val="3"/>
          <c:tx>
            <c:strRef>
              <c:f>Sheet1!$E$1</c:f>
              <c:strCache>
                <c:ptCount val="1"/>
                <c:pt idx="0">
                  <c:v>Total</c:v>
                </c:pt>
              </c:strCache>
            </c:strRef>
          </c:tx>
          <c:spPr>
            <a:ln w="28575" cap="rnd">
              <a:solidFill>
                <a:schemeClr val="accent4"/>
              </a:solidFill>
              <a:round/>
            </a:ln>
            <a:effectLst/>
          </c:spPr>
          <c:marker>
            <c:symbol val="none"/>
          </c:marker>
          <c:cat>
            <c:numRef>
              <c:f>Sheet1!$A$2:$A$4</c:f>
              <c:numCache>
                <c:formatCode>General</c:formatCode>
                <c:ptCount val="3"/>
                <c:pt idx="0">
                  <c:v>2020</c:v>
                </c:pt>
                <c:pt idx="1">
                  <c:v>2021</c:v>
                </c:pt>
                <c:pt idx="2">
                  <c:v>2022</c:v>
                </c:pt>
              </c:numCache>
            </c:numRef>
          </c:cat>
          <c:val>
            <c:numRef>
              <c:f>Sheet1!$E$2:$E$4</c:f>
              <c:numCache>
                <c:formatCode>0.00%</c:formatCode>
                <c:ptCount val="3"/>
                <c:pt idx="0">
                  <c:v>-0.27789999999999998</c:v>
                </c:pt>
                <c:pt idx="1">
                  <c:v>-3.44E-2</c:v>
                </c:pt>
                <c:pt idx="2">
                  <c:v>-0.1968</c:v>
                </c:pt>
              </c:numCache>
            </c:numRef>
          </c:val>
          <c:smooth val="0"/>
        </c:ser>
        <c:dLbls>
          <c:showLegendKey val="0"/>
          <c:showVal val="0"/>
          <c:showCatName val="0"/>
          <c:showSerName val="0"/>
          <c:showPercent val="0"/>
          <c:showBubbleSize val="0"/>
        </c:dLbls>
        <c:smooth val="0"/>
        <c:axId val="678731376"/>
        <c:axId val="678728656"/>
      </c:lineChart>
      <c:catAx>
        <c:axId val="67873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28656"/>
        <c:crosses val="autoZero"/>
        <c:auto val="1"/>
        <c:lblAlgn val="ctr"/>
        <c:lblOffset val="100"/>
        <c:noMultiLvlLbl val="0"/>
      </c:catAx>
      <c:valAx>
        <c:axId val="67872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layout>
            <c:manualLayout>
              <c:xMode val="edge"/>
              <c:yMode val="edge"/>
              <c:x val="8.1018518518518517E-2"/>
              <c:y val="0.335840519935008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3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of Net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COGS</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0.00%</c:formatCode>
                <c:ptCount val="3"/>
                <c:pt idx="0">
                  <c:v>0.61770000000000003</c:v>
                </c:pt>
                <c:pt idx="1">
                  <c:v>0.58220000000000005</c:v>
                </c:pt>
                <c:pt idx="2">
                  <c:v>0.56689999999999996</c:v>
                </c:pt>
              </c:numCache>
            </c:numRef>
          </c:val>
        </c:ser>
        <c:ser>
          <c:idx val="1"/>
          <c:order val="1"/>
          <c:tx>
            <c:strRef>
              <c:f>Sheet1!$C$1</c:f>
              <c:strCache>
                <c:ptCount val="1"/>
                <c:pt idx="0">
                  <c:v>Gross profit</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0.00%</c:formatCode>
                <c:ptCount val="3"/>
                <c:pt idx="0">
                  <c:v>0.38229999999999997</c:v>
                </c:pt>
                <c:pt idx="1">
                  <c:v>0.4178</c:v>
                </c:pt>
                <c:pt idx="2">
                  <c:v>0.43309999999999998</c:v>
                </c:pt>
              </c:numCache>
            </c:numRef>
          </c:val>
        </c:ser>
        <c:ser>
          <c:idx val="2"/>
          <c:order val="2"/>
          <c:tx>
            <c:strRef>
              <c:f>Sheet1!$D$1</c:f>
              <c:strCache>
                <c:ptCount val="1"/>
                <c:pt idx="0">
                  <c:v>R&amp;D</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0.00%</c:formatCode>
                <c:ptCount val="3"/>
                <c:pt idx="0">
                  <c:v>6.83E-2</c:v>
                </c:pt>
                <c:pt idx="1">
                  <c:v>5.9900000000000002E-2</c:v>
                </c:pt>
                <c:pt idx="2">
                  <c:v>6.6600000000000006E-2</c:v>
                </c:pt>
              </c:numCache>
            </c:numRef>
          </c:val>
        </c:ser>
        <c:ser>
          <c:idx val="3"/>
          <c:order val="3"/>
          <c:tx>
            <c:strRef>
              <c:f>Sheet1!$E$1</c:f>
              <c:strCache>
                <c:ptCount val="1"/>
                <c:pt idx="0">
                  <c:v>SG&amp;A</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0.00%</c:formatCode>
                <c:ptCount val="3"/>
                <c:pt idx="0">
                  <c:v>7.2499999999999995E-2</c:v>
                </c:pt>
                <c:pt idx="1">
                  <c:v>6.0100000000000001E-2</c:v>
                </c:pt>
                <c:pt idx="2">
                  <c:v>6.3600000000000004E-2</c:v>
                </c:pt>
              </c:numCache>
            </c:numRef>
          </c:val>
        </c:ser>
        <c:ser>
          <c:idx val="4"/>
          <c:order val="4"/>
          <c:tx>
            <c:strRef>
              <c:f>Sheet1!$F$1</c:f>
              <c:strCache>
                <c:ptCount val="1"/>
                <c:pt idx="0">
                  <c:v>Operating Income</c:v>
                </c:pt>
              </c:strCache>
            </c:strRef>
          </c:tx>
          <c:spPr>
            <a:solidFill>
              <a:schemeClr val="accent5"/>
            </a:solidFill>
            <a:ln>
              <a:noFill/>
            </a:ln>
            <a:effectLst/>
          </c:spPr>
          <c:invertIfNegative val="0"/>
          <c:cat>
            <c:numRef>
              <c:f>Sheet1!$A$2:$A$4</c:f>
              <c:numCache>
                <c:formatCode>General</c:formatCode>
                <c:ptCount val="3"/>
                <c:pt idx="0">
                  <c:v>2020</c:v>
                </c:pt>
                <c:pt idx="1">
                  <c:v>2021</c:v>
                </c:pt>
                <c:pt idx="2">
                  <c:v>2022</c:v>
                </c:pt>
              </c:numCache>
            </c:numRef>
          </c:cat>
          <c:val>
            <c:numRef>
              <c:f>Sheet1!$F$2:$F$4</c:f>
              <c:numCache>
                <c:formatCode>0.00%</c:formatCode>
                <c:ptCount val="3"/>
                <c:pt idx="0">
                  <c:v>0.24149999999999999</c:v>
                </c:pt>
                <c:pt idx="1">
                  <c:v>0.29780000000000001</c:v>
                </c:pt>
                <c:pt idx="2">
                  <c:v>0.3029</c:v>
                </c:pt>
              </c:numCache>
            </c:numRef>
          </c:val>
        </c:ser>
        <c:ser>
          <c:idx val="5"/>
          <c:order val="5"/>
          <c:tx>
            <c:strRef>
              <c:f>Sheet1!$G$1</c:f>
              <c:strCache>
                <c:ptCount val="1"/>
                <c:pt idx="0">
                  <c:v>Net profit</c:v>
                </c:pt>
              </c:strCache>
            </c:strRef>
          </c:tx>
          <c:spPr>
            <a:solidFill>
              <a:schemeClr val="accent6"/>
            </a:solidFill>
            <a:ln>
              <a:noFill/>
            </a:ln>
            <a:effectLst/>
          </c:spPr>
          <c:invertIfNegative val="0"/>
          <c:cat>
            <c:numRef>
              <c:f>Sheet1!$A$2:$A$4</c:f>
              <c:numCache>
                <c:formatCode>General</c:formatCode>
                <c:ptCount val="3"/>
                <c:pt idx="0">
                  <c:v>2020</c:v>
                </c:pt>
                <c:pt idx="1">
                  <c:v>2021</c:v>
                </c:pt>
                <c:pt idx="2">
                  <c:v>2022</c:v>
                </c:pt>
              </c:numCache>
            </c:numRef>
          </c:cat>
          <c:val>
            <c:numRef>
              <c:f>Sheet1!$G$2:$G$4</c:f>
              <c:numCache>
                <c:formatCode>0.00%</c:formatCode>
                <c:ptCount val="3"/>
                <c:pt idx="0">
                  <c:v>0.20910000000000001</c:v>
                </c:pt>
                <c:pt idx="1">
                  <c:v>0.25879999999999997</c:v>
                </c:pt>
                <c:pt idx="2">
                  <c:v>0.25309999999999999</c:v>
                </c:pt>
              </c:numCache>
            </c:numRef>
          </c:val>
        </c:ser>
        <c:dLbls>
          <c:showLegendKey val="0"/>
          <c:showVal val="0"/>
          <c:showCatName val="0"/>
          <c:showSerName val="0"/>
          <c:showPercent val="0"/>
          <c:showBubbleSize val="0"/>
        </c:dLbls>
        <c:gapWidth val="300"/>
        <c:axId val="678729744"/>
        <c:axId val="678730288"/>
      </c:barChart>
      <c:catAx>
        <c:axId val="67872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30288"/>
        <c:crosses val="autoZero"/>
        <c:auto val="1"/>
        <c:lblAlgn val="ctr"/>
        <c:lblOffset val="100"/>
        <c:noMultiLvlLbl val="0"/>
      </c:catAx>
      <c:valAx>
        <c:axId val="6787302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29744"/>
        <c:crosses val="autoZero"/>
        <c:crossBetween val="between"/>
        <c:majorUnit val="5.000000000000001E-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Income tax,</a:t>
            </a:r>
            <a:r>
              <a:rPr lang="en-GB" baseline="0"/>
              <a:t> Capex as % of sales, Capex as % of fixed assets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Income tax rate</c:v>
                </c:pt>
              </c:strCache>
            </c:strRef>
          </c:tx>
          <c:spPr>
            <a:ln w="28575" cap="rnd">
              <a:solidFill>
                <a:schemeClr val="accent1"/>
              </a:solidFill>
              <a:round/>
            </a:ln>
            <a:effectLst/>
          </c:spPr>
          <c:marker>
            <c:symbol val="none"/>
          </c:marker>
          <c:cat>
            <c:numRef>
              <c:f>Sheet1!$A$2:$A$5</c:f>
              <c:numCache>
                <c:formatCode>General</c:formatCode>
                <c:ptCount val="4"/>
                <c:pt idx="0">
                  <c:v>2020</c:v>
                </c:pt>
                <c:pt idx="1">
                  <c:v>2021</c:v>
                </c:pt>
                <c:pt idx="2">
                  <c:v>2022</c:v>
                </c:pt>
              </c:numCache>
            </c:numRef>
          </c:cat>
          <c:val>
            <c:numRef>
              <c:f>Sheet1!$B$2:$B$5</c:f>
              <c:numCache>
                <c:formatCode>0.00%</c:formatCode>
                <c:ptCount val="4"/>
                <c:pt idx="0">
                  <c:v>0.14430000000000001</c:v>
                </c:pt>
                <c:pt idx="1">
                  <c:v>0.13300000000000001</c:v>
                </c:pt>
                <c:pt idx="2">
                  <c:v>0.16200000000000001</c:v>
                </c:pt>
              </c:numCache>
            </c:numRef>
          </c:val>
          <c:smooth val="0"/>
        </c:ser>
        <c:ser>
          <c:idx val="1"/>
          <c:order val="1"/>
          <c:tx>
            <c:strRef>
              <c:f>Sheet1!$C$1</c:f>
              <c:strCache>
                <c:ptCount val="1"/>
                <c:pt idx="0">
                  <c:v>Capex as % of sales</c:v>
                </c:pt>
              </c:strCache>
            </c:strRef>
          </c:tx>
          <c:spPr>
            <a:ln w="28575" cap="rnd">
              <a:solidFill>
                <a:schemeClr val="accent2"/>
              </a:solidFill>
              <a:round/>
            </a:ln>
            <a:effectLst/>
          </c:spPr>
          <c:marker>
            <c:symbol val="none"/>
          </c:marker>
          <c:cat>
            <c:numRef>
              <c:f>Sheet1!$A$2:$A$5</c:f>
              <c:numCache>
                <c:formatCode>General</c:formatCode>
                <c:ptCount val="4"/>
                <c:pt idx="0">
                  <c:v>2020</c:v>
                </c:pt>
                <c:pt idx="1">
                  <c:v>2021</c:v>
                </c:pt>
                <c:pt idx="2">
                  <c:v>2022</c:v>
                </c:pt>
              </c:numCache>
            </c:numRef>
          </c:cat>
          <c:val>
            <c:numRef>
              <c:f>Sheet1!$C$2:$C$5</c:f>
              <c:numCache>
                <c:formatCode>0.00%</c:formatCode>
                <c:ptCount val="4"/>
                <c:pt idx="0">
                  <c:v>3.2199999999999999E-2</c:v>
                </c:pt>
                <c:pt idx="1">
                  <c:v>3.04E-2</c:v>
                </c:pt>
                <c:pt idx="2">
                  <c:v>2.7900000000000001E-2</c:v>
                </c:pt>
              </c:numCache>
            </c:numRef>
          </c:val>
          <c:smooth val="0"/>
        </c:ser>
        <c:ser>
          <c:idx val="2"/>
          <c:order val="2"/>
          <c:tx>
            <c:strRef>
              <c:f>Sheet1!$D$1</c:f>
              <c:strCache>
                <c:ptCount val="1"/>
                <c:pt idx="0">
                  <c:v>Capex as % of fixed assets</c:v>
                </c:pt>
              </c:strCache>
            </c:strRef>
          </c:tx>
          <c:spPr>
            <a:ln w="28575" cap="rnd">
              <a:solidFill>
                <a:schemeClr val="accent3"/>
              </a:solidFill>
              <a:round/>
            </a:ln>
            <a:effectLst/>
          </c:spPr>
          <c:marker>
            <c:symbol val="none"/>
          </c:marker>
          <c:cat>
            <c:numRef>
              <c:f>Sheet1!$A$2:$A$5</c:f>
              <c:numCache>
                <c:formatCode>General</c:formatCode>
                <c:ptCount val="4"/>
                <c:pt idx="0">
                  <c:v>2020</c:v>
                </c:pt>
                <c:pt idx="1">
                  <c:v>2021</c:v>
                </c:pt>
                <c:pt idx="2">
                  <c:v>2022</c:v>
                </c:pt>
              </c:numCache>
            </c:numRef>
          </c:cat>
          <c:val>
            <c:numRef>
              <c:f>Sheet1!$D$2:$D$5</c:f>
              <c:numCache>
                <c:formatCode>0.00%</c:formatCode>
                <c:ptCount val="4"/>
                <c:pt idx="0">
                  <c:v>0.1114</c:v>
                </c:pt>
                <c:pt idx="1">
                  <c:v>0.12590000000000001</c:v>
                </c:pt>
                <c:pt idx="2">
                  <c:v>0.11409999999999999</c:v>
                </c:pt>
              </c:numCache>
            </c:numRef>
          </c:val>
          <c:smooth val="0"/>
        </c:ser>
        <c:dLbls>
          <c:showLegendKey val="0"/>
          <c:showVal val="0"/>
          <c:showCatName val="0"/>
          <c:showSerName val="0"/>
          <c:showPercent val="0"/>
          <c:showBubbleSize val="0"/>
        </c:dLbls>
        <c:smooth val="0"/>
        <c:axId val="678727024"/>
        <c:axId val="678727568"/>
      </c:lineChart>
      <c:catAx>
        <c:axId val="67872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27568"/>
        <c:crosses val="autoZero"/>
        <c:auto val="1"/>
        <c:lblAlgn val="ctr"/>
        <c:lblOffset val="100"/>
        <c:noMultiLvlLbl val="0"/>
      </c:catAx>
      <c:valAx>
        <c:axId val="67872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2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Working capital and Working capital to sales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Working capital</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38321</c:v>
                </c:pt>
                <c:pt idx="1">
                  <c:v>9355</c:v>
                </c:pt>
                <c:pt idx="2">
                  <c:v>-18577</c:v>
                </c:pt>
              </c:numCache>
            </c:numRef>
          </c:val>
        </c:ser>
        <c:dLbls>
          <c:showLegendKey val="0"/>
          <c:showVal val="0"/>
          <c:showCatName val="0"/>
          <c:showSerName val="0"/>
          <c:showPercent val="0"/>
          <c:showBubbleSize val="0"/>
        </c:dLbls>
        <c:gapWidth val="219"/>
        <c:overlap val="-100"/>
        <c:axId val="658727536"/>
        <c:axId val="658730256"/>
      </c:barChart>
      <c:lineChart>
        <c:grouping val="standard"/>
        <c:varyColors val="0"/>
        <c:ser>
          <c:idx val="1"/>
          <c:order val="1"/>
          <c:tx>
            <c:strRef>
              <c:f>Sheet1!$C$1</c:f>
              <c:strCache>
                <c:ptCount val="1"/>
                <c:pt idx="0">
                  <c:v>Working capital to sales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Sheet1!$A$2:$A$4</c:f>
              <c:numCache>
                <c:formatCode>General</c:formatCode>
                <c:ptCount val="3"/>
                <c:pt idx="0">
                  <c:v>2020</c:v>
                </c:pt>
                <c:pt idx="1">
                  <c:v>2021</c:v>
                </c:pt>
                <c:pt idx="2">
                  <c:v>2022</c:v>
                </c:pt>
              </c:numCache>
            </c:numRef>
          </c:cat>
          <c:val>
            <c:numRef>
              <c:f>Sheet1!$C$2:$C$4</c:f>
              <c:numCache>
                <c:formatCode>0.00%</c:formatCode>
                <c:ptCount val="3"/>
                <c:pt idx="0">
                  <c:v>0.1396</c:v>
                </c:pt>
                <c:pt idx="1">
                  <c:v>2.5600000000000001E-2</c:v>
                </c:pt>
                <c:pt idx="2">
                  <c:v>-4.7100000000000003E-2</c:v>
                </c:pt>
              </c:numCache>
            </c:numRef>
          </c:val>
          <c:smooth val="0"/>
        </c:ser>
        <c:dLbls>
          <c:showLegendKey val="0"/>
          <c:showVal val="0"/>
          <c:showCatName val="0"/>
          <c:showSerName val="0"/>
          <c:showPercent val="0"/>
          <c:showBubbleSize val="0"/>
        </c:dLbls>
        <c:marker val="1"/>
        <c:smooth val="0"/>
        <c:axId val="658730800"/>
        <c:axId val="658728624"/>
      </c:lineChart>
      <c:catAx>
        <c:axId val="6587275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30256"/>
        <c:crosses val="autoZero"/>
        <c:auto val="1"/>
        <c:lblAlgn val="ctr"/>
        <c:lblOffset val="100"/>
        <c:noMultiLvlLbl val="0"/>
      </c:catAx>
      <c:valAx>
        <c:axId val="658730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million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27536"/>
        <c:crosses val="autoZero"/>
        <c:crossBetween val="between"/>
      </c:valAx>
      <c:valAx>
        <c:axId val="6587286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 to sales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30800"/>
        <c:crosses val="max"/>
        <c:crossBetween val="between"/>
      </c:valAx>
      <c:catAx>
        <c:axId val="658730800"/>
        <c:scaling>
          <c:orientation val="minMax"/>
        </c:scaling>
        <c:delete val="1"/>
        <c:axPos val="b"/>
        <c:numFmt formatCode="General" sourceLinked="1"/>
        <c:majorTickMark val="out"/>
        <c:minorTickMark val="none"/>
        <c:tickLblPos val="nextTo"/>
        <c:crossAx val="658728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Gross profit, EBITDA, EBIT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Gross profit</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104956</c:v>
                </c:pt>
                <c:pt idx="1">
                  <c:v>152836</c:v>
                </c:pt>
                <c:pt idx="2">
                  <c:v>170782</c:v>
                </c:pt>
              </c:numCache>
            </c:numRef>
          </c:val>
        </c:ser>
        <c:ser>
          <c:idx val="1"/>
          <c:order val="1"/>
          <c:tx>
            <c:strRef>
              <c:f>Sheet1!$C$1</c:f>
              <c:strCache>
                <c:ptCount val="1"/>
                <c:pt idx="0">
                  <c:v>EBITDA</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General</c:formatCode>
                <c:ptCount val="3"/>
                <c:pt idx="0">
                  <c:v>77344</c:v>
                </c:pt>
                <c:pt idx="1">
                  <c:v>120233</c:v>
                </c:pt>
                <c:pt idx="2">
                  <c:v>130541</c:v>
                </c:pt>
              </c:numCache>
            </c:numRef>
          </c:val>
        </c:ser>
        <c:ser>
          <c:idx val="2"/>
          <c:order val="2"/>
          <c:tx>
            <c:strRef>
              <c:f>Sheet1!$D$1</c:f>
              <c:strCache>
                <c:ptCount val="1"/>
                <c:pt idx="0">
                  <c:v>EBIT</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General</c:formatCode>
                <c:ptCount val="3"/>
                <c:pt idx="0">
                  <c:v>66288</c:v>
                </c:pt>
                <c:pt idx="1">
                  <c:v>108949</c:v>
                </c:pt>
                <c:pt idx="2">
                  <c:v>119437</c:v>
                </c:pt>
              </c:numCache>
            </c:numRef>
          </c:val>
        </c:ser>
        <c:dLbls>
          <c:showLegendKey val="0"/>
          <c:showVal val="0"/>
          <c:showCatName val="0"/>
          <c:showSerName val="0"/>
          <c:showPercent val="0"/>
          <c:showBubbleSize val="0"/>
        </c:dLbls>
        <c:gapWidth val="219"/>
        <c:overlap val="-27"/>
        <c:axId val="658732432"/>
        <c:axId val="658732976"/>
      </c:barChart>
      <c:catAx>
        <c:axId val="65873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32976"/>
        <c:crosses val="autoZero"/>
        <c:auto val="1"/>
        <c:lblAlgn val="ctr"/>
        <c:lblOffset val="100"/>
        <c:noMultiLvlLbl val="0"/>
      </c:catAx>
      <c:valAx>
        <c:axId val="658732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million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3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Gross margin,</a:t>
            </a:r>
            <a:r>
              <a:rPr lang="en-GB" baseline="0"/>
              <a:t> EBITDA margin, EBIT margin, Net margin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Gross margin</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38</c:v>
                </c:pt>
                <c:pt idx="1">
                  <c:v>42</c:v>
                </c:pt>
                <c:pt idx="2">
                  <c:v>43</c:v>
                </c:pt>
              </c:numCache>
            </c:numRef>
          </c:val>
        </c:ser>
        <c:ser>
          <c:idx val="1"/>
          <c:order val="1"/>
          <c:tx>
            <c:strRef>
              <c:f>Sheet1!$C$1</c:f>
              <c:strCache>
                <c:ptCount val="1"/>
                <c:pt idx="0">
                  <c:v>EBITDA margin</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General</c:formatCode>
                <c:ptCount val="3"/>
                <c:pt idx="0">
                  <c:v>28.17</c:v>
                </c:pt>
                <c:pt idx="1">
                  <c:v>32.869999999999997</c:v>
                </c:pt>
                <c:pt idx="2">
                  <c:v>33.1</c:v>
                </c:pt>
              </c:numCache>
            </c:numRef>
          </c:val>
        </c:ser>
        <c:ser>
          <c:idx val="2"/>
          <c:order val="2"/>
          <c:tx>
            <c:strRef>
              <c:f>Sheet1!$D$1</c:f>
              <c:strCache>
                <c:ptCount val="1"/>
                <c:pt idx="0">
                  <c:v>EBIT margin</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General</c:formatCode>
                <c:ptCount val="3"/>
                <c:pt idx="0">
                  <c:v>24.15</c:v>
                </c:pt>
                <c:pt idx="1">
                  <c:v>29.78</c:v>
                </c:pt>
                <c:pt idx="2">
                  <c:v>30.29</c:v>
                </c:pt>
              </c:numCache>
            </c:numRef>
          </c:val>
        </c:ser>
        <c:ser>
          <c:idx val="3"/>
          <c:order val="3"/>
          <c:tx>
            <c:strRef>
              <c:f>Sheet1!$E$1</c:f>
              <c:strCache>
                <c:ptCount val="1"/>
                <c:pt idx="0">
                  <c:v>Net margin</c:v>
                </c:pt>
              </c:strCache>
            </c:strRef>
          </c:tx>
          <c:spPr>
            <a:solidFill>
              <a:schemeClr val="accent4"/>
            </a:solidFill>
            <a:ln>
              <a:noFill/>
            </a:ln>
            <a:effectLst/>
          </c:spPr>
          <c:invertIfNegative val="0"/>
          <c:cat>
            <c:numRef>
              <c:f>Sheet1!$A$2:$A$4</c:f>
              <c:numCache>
                <c:formatCode>General</c:formatCode>
                <c:ptCount val="3"/>
                <c:pt idx="0">
                  <c:v>2020</c:v>
                </c:pt>
                <c:pt idx="1">
                  <c:v>2021</c:v>
                </c:pt>
                <c:pt idx="2">
                  <c:v>2022</c:v>
                </c:pt>
              </c:numCache>
            </c:numRef>
          </c:cat>
          <c:val>
            <c:numRef>
              <c:f>Sheet1!$E$2:$E$4</c:f>
              <c:numCache>
                <c:formatCode>General</c:formatCode>
                <c:ptCount val="3"/>
                <c:pt idx="0">
                  <c:v>20.91</c:v>
                </c:pt>
                <c:pt idx="1">
                  <c:v>25.88</c:v>
                </c:pt>
                <c:pt idx="2">
                  <c:v>25.31</c:v>
                </c:pt>
              </c:numCache>
            </c:numRef>
          </c:val>
        </c:ser>
        <c:dLbls>
          <c:showLegendKey val="0"/>
          <c:showVal val="0"/>
          <c:showCatName val="0"/>
          <c:showSerName val="0"/>
          <c:showPercent val="0"/>
          <c:showBubbleSize val="0"/>
        </c:dLbls>
        <c:gapWidth val="219"/>
        <c:overlap val="-27"/>
        <c:axId val="622077632"/>
        <c:axId val="622076544"/>
      </c:barChart>
      <c:catAx>
        <c:axId val="62207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6544"/>
        <c:crosses val="autoZero"/>
        <c:auto val="1"/>
        <c:lblAlgn val="ctr"/>
        <c:lblOffset val="100"/>
        <c:noMultiLvlLbl val="0"/>
      </c:catAx>
      <c:valAx>
        <c:axId val="62207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 of revenue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Debt ratios and TIE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General</c:formatCode>
                <c:ptCount val="3"/>
                <c:pt idx="0">
                  <c:v>1.72</c:v>
                </c:pt>
                <c:pt idx="1">
                  <c:v>1.98</c:v>
                </c:pt>
                <c:pt idx="2">
                  <c:v>2.37</c:v>
                </c:pt>
              </c:numCache>
            </c:numRef>
          </c:val>
        </c:ser>
        <c:ser>
          <c:idx val="1"/>
          <c:order val="1"/>
          <c:tx>
            <c:strRef>
              <c:f>Sheet1!$C$1</c:f>
              <c:strCache>
                <c:ptCount val="1"/>
                <c:pt idx="0">
                  <c:v>Debt/total assets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General</c:formatCode>
                <c:ptCount val="3"/>
                <c:pt idx="0">
                  <c:v>0.35</c:v>
                </c:pt>
                <c:pt idx="1">
                  <c:v>0.36</c:v>
                </c:pt>
                <c:pt idx="2">
                  <c:v>0.34</c:v>
                </c:pt>
              </c:numCache>
            </c:numRef>
          </c:val>
        </c:ser>
        <c:ser>
          <c:idx val="2"/>
          <c:order val="2"/>
          <c:tx>
            <c:strRef>
              <c:f>Sheet1!$D$1</c:f>
              <c:strCache>
                <c:ptCount val="1"/>
                <c:pt idx="0">
                  <c:v>LT debt/capital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General</c:formatCode>
                <c:ptCount val="3"/>
                <c:pt idx="0">
                  <c:v>0.56000000000000005</c:v>
                </c:pt>
                <c:pt idx="1">
                  <c:v>0.57999999999999996</c:v>
                </c:pt>
                <c:pt idx="2">
                  <c:v>0.57999999999999996</c:v>
                </c:pt>
              </c:numCache>
            </c:numRef>
          </c:val>
        </c:ser>
        <c:ser>
          <c:idx val="3"/>
          <c:order val="3"/>
          <c:tx>
            <c:strRef>
              <c:f>Sheet1!$E$1</c:f>
              <c:strCache>
                <c:ptCount val="1"/>
                <c:pt idx="0">
                  <c:v>Debt coverage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Sheet1!$E$2:$E$4</c:f>
              <c:numCache>
                <c:formatCode>General</c:formatCode>
                <c:ptCount val="3"/>
                <c:pt idx="0">
                  <c:v>4.04</c:v>
                </c:pt>
                <c:pt idx="1">
                  <c:v>8.77</c:v>
                </c:pt>
                <c:pt idx="2">
                  <c:v>7.28</c:v>
                </c:pt>
              </c:numCache>
            </c:numRef>
          </c:val>
        </c:ser>
        <c:dLbls>
          <c:showLegendKey val="0"/>
          <c:showVal val="1"/>
          <c:showCatName val="0"/>
          <c:showSerName val="0"/>
          <c:showPercent val="0"/>
          <c:showBubbleSize val="0"/>
        </c:dLbls>
        <c:gapWidth val="75"/>
        <c:axId val="622077088"/>
        <c:axId val="622078176"/>
      </c:barChart>
      <c:lineChart>
        <c:grouping val="standard"/>
        <c:varyColors val="0"/>
        <c:ser>
          <c:idx val="4"/>
          <c:order val="4"/>
          <c:tx>
            <c:strRef>
              <c:f>Sheet1!$F$1</c:f>
              <c:strCache>
                <c:ptCount val="1"/>
                <c:pt idx="0">
                  <c:v>TIE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6.25E-2"/>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7870370370370371E-2"/>
                  <c:y val="-3.57142857142857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037037037037035E-2"/>
                  <c:y val="-3.57142857142857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Sheet1!$F$2:$F$4</c:f>
              <c:numCache>
                <c:formatCode>General</c:formatCode>
                <c:ptCount val="3"/>
                <c:pt idx="0">
                  <c:v>22.08</c:v>
                </c:pt>
                <c:pt idx="1">
                  <c:v>40.549999999999997</c:v>
                </c:pt>
                <c:pt idx="2">
                  <c:v>41.69</c:v>
                </c:pt>
              </c:numCache>
            </c:numRef>
          </c:val>
          <c:smooth val="0"/>
        </c:ser>
        <c:dLbls>
          <c:showLegendKey val="0"/>
          <c:showVal val="1"/>
          <c:showCatName val="0"/>
          <c:showSerName val="0"/>
          <c:showPercent val="0"/>
          <c:showBubbleSize val="0"/>
        </c:dLbls>
        <c:marker val="1"/>
        <c:smooth val="0"/>
        <c:axId val="622079808"/>
        <c:axId val="622079264"/>
      </c:lineChart>
      <c:catAx>
        <c:axId val="6220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8176"/>
        <c:crosses val="autoZero"/>
        <c:auto val="1"/>
        <c:lblAlgn val="ctr"/>
        <c:lblOffset val="100"/>
        <c:noMultiLvlLbl val="0"/>
      </c:catAx>
      <c:valAx>
        <c:axId val="622078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Debt ratios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7088"/>
        <c:crosses val="autoZero"/>
        <c:crossBetween val="between"/>
      </c:valAx>
      <c:valAx>
        <c:axId val="6220792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Times</a:t>
                </a:r>
                <a:r>
                  <a:rPr lang="en-GB" sz="1200" baseline="0"/>
                  <a:t> interest earned (TIE)</a:t>
                </a:r>
                <a:endParaRPr lang="en-GB" sz="12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9808"/>
        <c:crosses val="max"/>
        <c:crossBetween val="between"/>
      </c:valAx>
      <c:catAx>
        <c:axId val="622079808"/>
        <c:scaling>
          <c:orientation val="minMax"/>
        </c:scaling>
        <c:delete val="1"/>
        <c:axPos val="b"/>
        <c:numFmt formatCode="General" sourceLinked="1"/>
        <c:majorTickMark val="out"/>
        <c:minorTickMark val="none"/>
        <c:tickLblPos val="nextTo"/>
        <c:crossAx val="622079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FCFE and FCFE per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FCFE</c:v>
                </c:pt>
              </c:strCache>
            </c:strRef>
          </c:tx>
          <c:spPr>
            <a:solidFill>
              <a:schemeClr val="accent1"/>
            </a:solidFill>
            <a:ln>
              <a:noFill/>
            </a:ln>
            <a:effectLst/>
          </c:spPr>
          <c:invertIfNegative val="0"/>
          <c:cat>
            <c:numRef>
              <c:f>Sheet1!$A$2:$A$5</c:f>
              <c:numCache>
                <c:formatCode>General</c:formatCode>
                <c:ptCount val="4"/>
                <c:pt idx="0">
                  <c:v>2020</c:v>
                </c:pt>
                <c:pt idx="1">
                  <c:v>2021</c:v>
                </c:pt>
                <c:pt idx="2">
                  <c:v>2022</c:v>
                </c:pt>
              </c:numCache>
            </c:numRef>
          </c:cat>
          <c:val>
            <c:numRef>
              <c:f>Sheet1!$B$2:$B$5</c:f>
              <c:numCache>
                <c:formatCode>General</c:formatCode>
                <c:ptCount val="4"/>
                <c:pt idx="0">
                  <c:v>23812</c:v>
                </c:pt>
                <c:pt idx="1">
                  <c:v>98156</c:v>
                </c:pt>
                <c:pt idx="2">
                  <c:v>118347</c:v>
                </c:pt>
              </c:numCache>
            </c:numRef>
          </c:val>
        </c:ser>
        <c:dLbls>
          <c:showLegendKey val="0"/>
          <c:showVal val="0"/>
          <c:showCatName val="0"/>
          <c:showSerName val="0"/>
          <c:showPercent val="0"/>
          <c:showBubbleSize val="0"/>
        </c:dLbls>
        <c:gapWidth val="150"/>
        <c:axId val="622073824"/>
        <c:axId val="622074368"/>
      </c:barChart>
      <c:lineChart>
        <c:grouping val="standard"/>
        <c:varyColors val="0"/>
        <c:ser>
          <c:idx val="1"/>
          <c:order val="1"/>
          <c:tx>
            <c:strRef>
              <c:f>Sheet1!$C$1</c:f>
              <c:strCache>
                <c:ptCount val="1"/>
                <c:pt idx="0">
                  <c:v>FCFE per share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Sheet1!$A$2:$A$5</c:f>
              <c:numCache>
                <c:formatCode>General</c:formatCode>
                <c:ptCount val="4"/>
                <c:pt idx="0">
                  <c:v>2020</c:v>
                </c:pt>
                <c:pt idx="1">
                  <c:v>2021</c:v>
                </c:pt>
                <c:pt idx="2">
                  <c:v>2022</c:v>
                </c:pt>
              </c:numCache>
            </c:numRef>
          </c:cat>
          <c:val>
            <c:numRef>
              <c:f>Sheet1!$C$2:$C$5</c:f>
              <c:numCache>
                <c:formatCode>General</c:formatCode>
                <c:ptCount val="4"/>
                <c:pt idx="0">
                  <c:v>1.36</c:v>
                </c:pt>
                <c:pt idx="1">
                  <c:v>5.82</c:v>
                </c:pt>
                <c:pt idx="2">
                  <c:v>7.25</c:v>
                </c:pt>
              </c:numCache>
            </c:numRef>
          </c:val>
          <c:smooth val="0"/>
        </c:ser>
        <c:dLbls>
          <c:showLegendKey val="0"/>
          <c:showVal val="0"/>
          <c:showCatName val="0"/>
          <c:showSerName val="0"/>
          <c:showPercent val="0"/>
          <c:showBubbleSize val="0"/>
        </c:dLbls>
        <c:marker val="1"/>
        <c:smooth val="0"/>
        <c:axId val="588248128"/>
        <c:axId val="588246496"/>
      </c:lineChart>
      <c:catAx>
        <c:axId val="62207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4368"/>
        <c:crosses val="autoZero"/>
        <c:auto val="1"/>
        <c:lblAlgn val="ctr"/>
        <c:lblOffset val="100"/>
        <c:noMultiLvlLbl val="0"/>
      </c:catAx>
      <c:valAx>
        <c:axId val="62207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b" anchorCtr="1"/>
              <a:lstStyle/>
              <a:p>
                <a:pPr>
                  <a:defRPr sz="1000" b="0" i="0" u="none" strike="noStrike" kern="1200" baseline="0">
                    <a:solidFill>
                      <a:schemeClr val="tx1">
                        <a:lumMod val="65000"/>
                        <a:lumOff val="35000"/>
                      </a:schemeClr>
                    </a:solidFill>
                    <a:latin typeface="+mn-lt"/>
                    <a:ea typeface="+mn-ea"/>
                    <a:cs typeface="+mn-cs"/>
                  </a:defRPr>
                </a:pPr>
                <a:r>
                  <a:rPr lang="en-GB" sz="1200"/>
                  <a:t>million</a:t>
                </a:r>
              </a:p>
            </c:rich>
          </c:tx>
          <c:layout>
            <c:manualLayout>
              <c:xMode val="edge"/>
              <c:yMode val="edge"/>
              <c:x val="8.564814814814814E-2"/>
              <c:y val="0.40136607924009499"/>
            </c:manualLayout>
          </c:layout>
          <c:overlay val="0"/>
          <c:spPr>
            <a:noFill/>
            <a:ln>
              <a:noFill/>
            </a:ln>
            <a:effectLst/>
          </c:spPr>
          <c:txPr>
            <a:bodyPr rot="-5400000" spcFirstLastPara="1" vertOverflow="ellipsis" vert="horz" wrap="square" anchor="b"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73824"/>
        <c:crosses val="autoZero"/>
        <c:crossBetween val="between"/>
      </c:valAx>
      <c:valAx>
        <c:axId val="5882464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8128"/>
        <c:crosses val="max"/>
        <c:crossBetween val="between"/>
      </c:valAx>
      <c:catAx>
        <c:axId val="588248128"/>
        <c:scaling>
          <c:orientation val="minMax"/>
        </c:scaling>
        <c:delete val="1"/>
        <c:axPos val="b"/>
        <c:numFmt formatCode="General" sourceLinked="1"/>
        <c:majorTickMark val="out"/>
        <c:minorTickMark val="none"/>
        <c:tickLblPos val="nextTo"/>
        <c:crossAx val="58824649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a:t>
            </a:r>
            <a:r>
              <a:rPr lang="en-GB" baseline="0"/>
              <a:t> turnover and ROA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asset turnover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Sheet1!$B$2:$B$5</c:f>
              <c:numCache>
                <c:formatCode>General</c:formatCode>
                <c:ptCount val="4"/>
                <c:pt idx="0">
                  <c:v>0.85</c:v>
                </c:pt>
                <c:pt idx="1">
                  <c:v>1.04</c:v>
                </c:pt>
                <c:pt idx="2">
                  <c:v>1.1200000000000001</c:v>
                </c:pt>
              </c:numCache>
            </c:numRef>
          </c:val>
        </c:ser>
        <c:ser>
          <c:idx val="1"/>
          <c:order val="1"/>
          <c:tx>
            <c:strRef>
              <c:f>Sheet1!$C$1</c:f>
              <c:strCache>
                <c:ptCount val="1"/>
                <c:pt idx="0">
                  <c:v>Fixed asset turnover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Sheet1!$C$2:$C$5</c:f>
              <c:numCache>
                <c:formatCode>General</c:formatCode>
                <c:ptCount val="4"/>
                <c:pt idx="0">
                  <c:v>3.46</c:v>
                </c:pt>
                <c:pt idx="1">
                  <c:v>4.1399999999999997</c:v>
                </c:pt>
                <c:pt idx="2">
                  <c:v>4.08</c:v>
                </c:pt>
              </c:numCache>
            </c:numRef>
          </c:val>
        </c:ser>
        <c:ser>
          <c:idx val="2"/>
          <c:order val="2"/>
          <c:tx>
            <c:strRef>
              <c:f>Sheet1!$D$1</c:f>
              <c:strCache>
                <c:ptCount val="1"/>
                <c:pt idx="0">
                  <c:v>Inventory turnover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Sheet1!$D$2:$D$5</c:f>
              <c:numCache>
                <c:formatCode>General</c:formatCode>
                <c:ptCount val="4"/>
                <c:pt idx="0">
                  <c:v>37.25</c:v>
                </c:pt>
                <c:pt idx="1">
                  <c:v>29.22</c:v>
                </c:pt>
                <c:pt idx="2">
                  <c:v>40.729999999999997</c:v>
                </c:pt>
              </c:numCache>
            </c:numRef>
          </c:val>
        </c:ser>
        <c:dLbls>
          <c:showLegendKey val="0"/>
          <c:showVal val="1"/>
          <c:showCatName val="0"/>
          <c:showSerName val="0"/>
          <c:showPercent val="0"/>
          <c:showBubbleSize val="0"/>
        </c:dLbls>
        <c:gapWidth val="75"/>
        <c:axId val="588245952"/>
        <c:axId val="588247040"/>
      </c:barChart>
      <c:lineChart>
        <c:grouping val="standard"/>
        <c:varyColors val="0"/>
        <c:ser>
          <c:idx val="3"/>
          <c:order val="3"/>
          <c:tx>
            <c:strRef>
              <c:f>Sheet1!$E$1</c:f>
              <c:strCache>
                <c:ptCount val="1"/>
                <c:pt idx="0">
                  <c:v>ROA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5.3240740740740741E-2"/>
                  <c:y val="-2.380952380952380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5648148148148195E-2"/>
                  <c:y val="-2.38095238095238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6388888888888895E-2"/>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Sheet1!$E$2:$E$5</c:f>
              <c:numCache>
                <c:formatCode>0.00%</c:formatCode>
                <c:ptCount val="4"/>
                <c:pt idx="0" formatCode="0%">
                  <c:v>0.18</c:v>
                </c:pt>
                <c:pt idx="1">
                  <c:v>0.2697</c:v>
                </c:pt>
                <c:pt idx="2">
                  <c:v>0.28289999999999998</c:v>
                </c:pt>
              </c:numCache>
            </c:numRef>
          </c:val>
          <c:smooth val="0"/>
        </c:ser>
        <c:dLbls>
          <c:showLegendKey val="0"/>
          <c:showVal val="1"/>
          <c:showCatName val="0"/>
          <c:showSerName val="0"/>
          <c:showPercent val="0"/>
          <c:showBubbleSize val="0"/>
        </c:dLbls>
        <c:marker val="1"/>
        <c:smooth val="0"/>
        <c:axId val="588247584"/>
        <c:axId val="588244320"/>
      </c:lineChart>
      <c:catAx>
        <c:axId val="5882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7040"/>
        <c:crosses val="autoZero"/>
        <c:auto val="1"/>
        <c:lblAlgn val="ctr"/>
        <c:lblOffset val="100"/>
        <c:noMultiLvlLbl val="0"/>
      </c:catAx>
      <c:valAx>
        <c:axId val="588247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turnover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5952"/>
        <c:crosses val="autoZero"/>
        <c:crossBetween val="between"/>
      </c:valAx>
      <c:valAx>
        <c:axId val="5882443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return on assets (ROA)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7584"/>
        <c:crosses val="max"/>
        <c:crossBetween val="between"/>
      </c:valAx>
      <c:catAx>
        <c:axId val="588247584"/>
        <c:scaling>
          <c:orientation val="minMax"/>
        </c:scaling>
        <c:delete val="1"/>
        <c:axPos val="b"/>
        <c:numFmt formatCode="General" sourceLinked="1"/>
        <c:majorTickMark val="out"/>
        <c:minorTickMark val="none"/>
        <c:tickLblPos val="nextTo"/>
        <c:crossAx val="588244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 P/BV, EPS,</a:t>
            </a:r>
            <a:r>
              <a:rPr lang="en-GB" baseline="0"/>
              <a:t> BV</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34.229999999999997</c:v>
                </c:pt>
                <c:pt idx="1">
                  <c:v>26.19</c:v>
                </c:pt>
                <c:pt idx="2">
                  <c:v>24.62</c:v>
                </c:pt>
              </c:numCache>
            </c:numRef>
          </c:val>
        </c:ser>
        <c:ser>
          <c:idx val="2"/>
          <c:order val="2"/>
          <c:tx>
            <c:strRef>
              <c:f>Sheet1!$D$1</c:f>
              <c:strCache>
                <c:ptCount val="1"/>
                <c:pt idx="0">
                  <c:v>P/BV</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General</c:formatCode>
                <c:ptCount val="3"/>
                <c:pt idx="0">
                  <c:v>20.34</c:v>
                </c:pt>
                <c:pt idx="1">
                  <c:v>23.54</c:v>
                </c:pt>
                <c:pt idx="2">
                  <c:v>21.34</c:v>
                </c:pt>
              </c:numCache>
            </c:numRef>
          </c:val>
        </c:ser>
        <c:dLbls>
          <c:showLegendKey val="0"/>
          <c:showVal val="0"/>
          <c:showCatName val="0"/>
          <c:showSerName val="0"/>
          <c:showPercent val="0"/>
          <c:showBubbleSize val="0"/>
        </c:dLbls>
        <c:gapWidth val="150"/>
        <c:axId val="588242688"/>
        <c:axId val="588243232"/>
      </c:barChart>
      <c:lineChart>
        <c:grouping val="standard"/>
        <c:varyColors val="0"/>
        <c:ser>
          <c:idx val="1"/>
          <c:order val="1"/>
          <c:tx>
            <c:strRef>
              <c:f>Sheet1!$C$1</c:f>
              <c:strCache>
                <c:ptCount val="1"/>
                <c:pt idx="0">
                  <c:v>EPS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Sheet1!$A$2:$A$4</c:f>
              <c:numCache>
                <c:formatCode>General</c:formatCode>
                <c:ptCount val="3"/>
                <c:pt idx="0">
                  <c:v>2020</c:v>
                </c:pt>
                <c:pt idx="1">
                  <c:v>2021</c:v>
                </c:pt>
                <c:pt idx="2">
                  <c:v>2022</c:v>
                </c:pt>
              </c:numCache>
            </c:numRef>
          </c:cat>
          <c:val>
            <c:numRef>
              <c:f>Sheet1!$C$2:$C$4</c:f>
              <c:numCache>
                <c:formatCode>General</c:formatCode>
                <c:ptCount val="3"/>
                <c:pt idx="0">
                  <c:v>3.28</c:v>
                </c:pt>
                <c:pt idx="1">
                  <c:v>5.61</c:v>
                </c:pt>
                <c:pt idx="2">
                  <c:v>6.11</c:v>
                </c:pt>
              </c:numCache>
            </c:numRef>
          </c:val>
          <c:smooth val="0"/>
        </c:ser>
        <c:ser>
          <c:idx val="3"/>
          <c:order val="3"/>
          <c:tx>
            <c:strRef>
              <c:f>Sheet1!$E$1</c:f>
              <c:strCache>
                <c:ptCount val="1"/>
                <c:pt idx="0">
                  <c:v>BV</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Sheet1!$A$2:$A$4</c:f>
              <c:numCache>
                <c:formatCode>General</c:formatCode>
                <c:ptCount val="3"/>
                <c:pt idx="0">
                  <c:v>2020</c:v>
                </c:pt>
                <c:pt idx="1">
                  <c:v>2021</c:v>
                </c:pt>
                <c:pt idx="2">
                  <c:v>2022</c:v>
                </c:pt>
              </c:numCache>
            </c:numRef>
          </c:cat>
          <c:val>
            <c:numRef>
              <c:f>Sheet1!$E$2:$E$4</c:f>
              <c:numCache>
                <c:formatCode>General</c:formatCode>
                <c:ptCount val="3"/>
                <c:pt idx="0">
                  <c:v>5.52</c:v>
                </c:pt>
                <c:pt idx="1">
                  <c:v>6.24</c:v>
                </c:pt>
                <c:pt idx="2">
                  <c:v>7.05</c:v>
                </c:pt>
              </c:numCache>
            </c:numRef>
          </c:val>
          <c:smooth val="0"/>
        </c:ser>
        <c:dLbls>
          <c:showLegendKey val="0"/>
          <c:showVal val="0"/>
          <c:showCatName val="0"/>
          <c:showSerName val="0"/>
          <c:showPercent val="0"/>
          <c:showBubbleSize val="0"/>
        </c:dLbls>
        <c:marker val="1"/>
        <c:smooth val="0"/>
        <c:axId val="304186128"/>
        <c:axId val="588243776"/>
      </c:lineChart>
      <c:catAx>
        <c:axId val="58824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3232"/>
        <c:crosses val="autoZero"/>
        <c:auto val="1"/>
        <c:lblAlgn val="ctr"/>
        <c:lblOffset val="100"/>
        <c:noMultiLvlLbl val="0"/>
      </c:catAx>
      <c:valAx>
        <c:axId val="58824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ratios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42688"/>
        <c:crosses val="autoZero"/>
        <c:crossBetween val="between"/>
      </c:valAx>
      <c:valAx>
        <c:axId val="5882437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186128"/>
        <c:crosses val="max"/>
        <c:crossBetween val="between"/>
      </c:valAx>
      <c:catAx>
        <c:axId val="304186128"/>
        <c:scaling>
          <c:orientation val="minMax"/>
        </c:scaling>
        <c:delete val="1"/>
        <c:axPos val="b"/>
        <c:numFmt formatCode="General" sourceLinked="1"/>
        <c:majorTickMark val="out"/>
        <c:minorTickMark val="none"/>
        <c:tickLblPos val="nextTo"/>
        <c:crossAx val="5882437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D539-5627-426E-A279-28B393D2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66</cp:revision>
  <dcterms:created xsi:type="dcterms:W3CDTF">2024-08-19T10:26:00Z</dcterms:created>
  <dcterms:modified xsi:type="dcterms:W3CDTF">2024-08-21T17:09:00Z</dcterms:modified>
</cp:coreProperties>
</file>