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19E" w:rsidRDefault="00E1419E" w:rsidP="00E1419E">
      <w:pPr>
        <w:spacing w:after="0"/>
        <w:jc w:val="both"/>
        <w:rPr>
          <w:b/>
          <w:u w:val="single"/>
        </w:rPr>
      </w:pPr>
      <w:r w:rsidRPr="009E47F0">
        <w:rPr>
          <w:b/>
          <w:u w:val="single"/>
        </w:rPr>
        <w:t xml:space="preserve">Comparison analysis to Tesla Inc. (Toyota Industries Corp., BYD Company, General Motors Corp., </w:t>
      </w:r>
      <w:proofErr w:type="spellStart"/>
      <w:r w:rsidRPr="009E47F0">
        <w:rPr>
          <w:b/>
          <w:u w:val="single"/>
        </w:rPr>
        <w:t>Stellantis</w:t>
      </w:r>
      <w:proofErr w:type="spellEnd"/>
      <w:r w:rsidRPr="009E47F0">
        <w:rPr>
          <w:b/>
          <w:u w:val="single"/>
        </w:rPr>
        <w:t xml:space="preserve"> NV, </w:t>
      </w:r>
      <w:proofErr w:type="spellStart"/>
      <w:r w:rsidRPr="009E47F0">
        <w:rPr>
          <w:b/>
          <w:u w:val="single"/>
        </w:rPr>
        <w:t>Rivian</w:t>
      </w:r>
      <w:proofErr w:type="spellEnd"/>
      <w:r w:rsidRPr="009E47F0">
        <w:rPr>
          <w:b/>
          <w:u w:val="single"/>
        </w:rPr>
        <w:t xml:space="preserve"> Automotive Inc.)</w:t>
      </w:r>
    </w:p>
    <w:p w:rsidR="00E1419E" w:rsidRDefault="00E1419E"/>
    <w:tbl>
      <w:tblPr>
        <w:tblStyle w:val="TableGrid"/>
        <w:tblW w:w="9209" w:type="dxa"/>
        <w:tblLook w:val="04A0" w:firstRow="1" w:lastRow="0" w:firstColumn="1" w:lastColumn="0" w:noHBand="0" w:noVBand="1"/>
      </w:tblPr>
      <w:tblGrid>
        <w:gridCol w:w="2201"/>
        <w:gridCol w:w="1168"/>
        <w:gridCol w:w="1168"/>
        <w:gridCol w:w="1168"/>
        <w:gridCol w:w="1168"/>
        <w:gridCol w:w="1168"/>
        <w:gridCol w:w="1168"/>
      </w:tblGrid>
      <w:tr w:rsidR="005E2BF6" w:rsidTr="00806AED">
        <w:trPr>
          <w:trHeight w:val="269"/>
        </w:trPr>
        <w:tc>
          <w:tcPr>
            <w:tcW w:w="0" w:type="auto"/>
          </w:tcPr>
          <w:p w:rsidR="005E2BF6" w:rsidRDefault="005E2BF6" w:rsidP="00F772A3"/>
        </w:tc>
        <w:tc>
          <w:tcPr>
            <w:tcW w:w="1168" w:type="dxa"/>
            <w:shd w:val="clear" w:color="auto" w:fill="FFE599" w:themeFill="accent4" w:themeFillTint="66"/>
          </w:tcPr>
          <w:p w:rsidR="005E2BF6" w:rsidRPr="00806AED" w:rsidRDefault="005E2BF6" w:rsidP="00D87481">
            <w:pPr>
              <w:jc w:val="center"/>
              <w:rPr>
                <w:b/>
              </w:rPr>
            </w:pPr>
            <w:r w:rsidRPr="00806AED">
              <w:rPr>
                <w:b/>
              </w:rPr>
              <w:t>Tesla</w:t>
            </w:r>
          </w:p>
        </w:tc>
        <w:tc>
          <w:tcPr>
            <w:tcW w:w="1168" w:type="dxa"/>
          </w:tcPr>
          <w:p w:rsidR="005E2BF6" w:rsidRPr="00806AED" w:rsidRDefault="005E2BF6" w:rsidP="00D87481">
            <w:pPr>
              <w:jc w:val="center"/>
              <w:rPr>
                <w:b/>
              </w:rPr>
            </w:pPr>
            <w:r w:rsidRPr="00806AED">
              <w:rPr>
                <w:b/>
              </w:rPr>
              <w:t>Toyota</w:t>
            </w:r>
          </w:p>
        </w:tc>
        <w:tc>
          <w:tcPr>
            <w:tcW w:w="1168" w:type="dxa"/>
          </w:tcPr>
          <w:p w:rsidR="005E2BF6" w:rsidRPr="00806AED" w:rsidRDefault="005E2BF6" w:rsidP="00D87481">
            <w:pPr>
              <w:jc w:val="center"/>
              <w:rPr>
                <w:b/>
              </w:rPr>
            </w:pPr>
            <w:r w:rsidRPr="00806AED">
              <w:rPr>
                <w:b/>
              </w:rPr>
              <w:t>BYD</w:t>
            </w:r>
          </w:p>
        </w:tc>
        <w:tc>
          <w:tcPr>
            <w:tcW w:w="1168" w:type="dxa"/>
          </w:tcPr>
          <w:p w:rsidR="005E2BF6" w:rsidRPr="00806AED" w:rsidRDefault="005E2BF6" w:rsidP="00D87481">
            <w:pPr>
              <w:jc w:val="center"/>
              <w:rPr>
                <w:b/>
              </w:rPr>
            </w:pPr>
            <w:r w:rsidRPr="00806AED">
              <w:rPr>
                <w:b/>
              </w:rPr>
              <w:t>GM</w:t>
            </w:r>
          </w:p>
        </w:tc>
        <w:tc>
          <w:tcPr>
            <w:tcW w:w="1168" w:type="dxa"/>
          </w:tcPr>
          <w:p w:rsidR="005E2BF6" w:rsidRPr="00806AED" w:rsidRDefault="005E2BF6" w:rsidP="00D87481">
            <w:pPr>
              <w:jc w:val="center"/>
              <w:rPr>
                <w:b/>
              </w:rPr>
            </w:pPr>
            <w:proofErr w:type="spellStart"/>
            <w:r w:rsidRPr="00806AED">
              <w:rPr>
                <w:b/>
              </w:rPr>
              <w:t>Stellantis</w:t>
            </w:r>
            <w:proofErr w:type="spellEnd"/>
          </w:p>
        </w:tc>
        <w:tc>
          <w:tcPr>
            <w:tcW w:w="1168" w:type="dxa"/>
          </w:tcPr>
          <w:p w:rsidR="005E2BF6" w:rsidRPr="00806AED" w:rsidRDefault="005E2BF6" w:rsidP="00D87481">
            <w:pPr>
              <w:jc w:val="center"/>
              <w:rPr>
                <w:b/>
              </w:rPr>
            </w:pPr>
            <w:proofErr w:type="spellStart"/>
            <w:r w:rsidRPr="00806AED">
              <w:rPr>
                <w:b/>
              </w:rPr>
              <w:t>Rivian</w:t>
            </w:r>
            <w:proofErr w:type="spellEnd"/>
          </w:p>
        </w:tc>
      </w:tr>
      <w:tr w:rsidR="005E2BF6" w:rsidTr="00806AED">
        <w:trPr>
          <w:trHeight w:val="269"/>
        </w:trPr>
        <w:tc>
          <w:tcPr>
            <w:tcW w:w="0" w:type="auto"/>
          </w:tcPr>
          <w:p w:rsidR="005E2BF6" w:rsidRPr="00347F9B" w:rsidRDefault="005E2BF6" w:rsidP="00F772A3">
            <w:pPr>
              <w:rPr>
                <w:b/>
              </w:rPr>
            </w:pPr>
            <w:r w:rsidRPr="00347F9B">
              <w:rPr>
                <w:b/>
              </w:rPr>
              <w:t>Valuation multiples</w:t>
            </w:r>
          </w:p>
        </w:tc>
        <w:tc>
          <w:tcPr>
            <w:tcW w:w="1168" w:type="dxa"/>
            <w:shd w:val="clear" w:color="auto" w:fill="FFE599" w:themeFill="accent4" w:themeFillTint="66"/>
          </w:tcPr>
          <w:p w:rsidR="005E2BF6" w:rsidRDefault="005E2BF6" w:rsidP="00F772A3"/>
        </w:tc>
        <w:tc>
          <w:tcPr>
            <w:tcW w:w="1168" w:type="dxa"/>
          </w:tcPr>
          <w:p w:rsidR="005E2BF6" w:rsidRDefault="005E2BF6" w:rsidP="00F772A3"/>
        </w:tc>
        <w:tc>
          <w:tcPr>
            <w:tcW w:w="1168" w:type="dxa"/>
          </w:tcPr>
          <w:p w:rsidR="005E2BF6" w:rsidRDefault="005E2BF6" w:rsidP="00F772A3"/>
        </w:tc>
        <w:tc>
          <w:tcPr>
            <w:tcW w:w="1168" w:type="dxa"/>
          </w:tcPr>
          <w:p w:rsidR="005E2BF6" w:rsidRDefault="005E2BF6" w:rsidP="00F772A3"/>
        </w:tc>
        <w:tc>
          <w:tcPr>
            <w:tcW w:w="1168" w:type="dxa"/>
          </w:tcPr>
          <w:p w:rsidR="005E2BF6" w:rsidRDefault="005E2BF6" w:rsidP="00F772A3"/>
        </w:tc>
        <w:tc>
          <w:tcPr>
            <w:tcW w:w="1168" w:type="dxa"/>
          </w:tcPr>
          <w:p w:rsidR="005E2BF6" w:rsidRDefault="005E2BF6" w:rsidP="00F772A3"/>
        </w:tc>
      </w:tr>
      <w:tr w:rsidR="005E2BF6" w:rsidTr="00806AED">
        <w:trPr>
          <w:trHeight w:val="269"/>
        </w:trPr>
        <w:tc>
          <w:tcPr>
            <w:tcW w:w="0" w:type="auto"/>
          </w:tcPr>
          <w:p w:rsidR="005E2BF6" w:rsidRDefault="00153BD9" w:rsidP="00F772A3">
            <w:r>
              <w:t>Price (29.12.2023</w:t>
            </w:r>
            <w:r w:rsidR="005E2BF6">
              <w:t>)</w:t>
            </w:r>
            <w:r>
              <w:t xml:space="preserve"> ($)</w:t>
            </w:r>
          </w:p>
        </w:tc>
        <w:tc>
          <w:tcPr>
            <w:tcW w:w="1168" w:type="dxa"/>
            <w:shd w:val="clear" w:color="auto" w:fill="FFE599" w:themeFill="accent4" w:themeFillTint="66"/>
          </w:tcPr>
          <w:p w:rsidR="005E2BF6" w:rsidRDefault="00153BD9" w:rsidP="00153BD9">
            <w:pPr>
              <w:jc w:val="center"/>
            </w:pPr>
            <w:r>
              <w:t>248.48</w:t>
            </w:r>
          </w:p>
        </w:tc>
        <w:tc>
          <w:tcPr>
            <w:tcW w:w="1168" w:type="dxa"/>
          </w:tcPr>
          <w:p w:rsidR="005E2BF6" w:rsidRDefault="00153BD9" w:rsidP="00153BD9">
            <w:pPr>
              <w:jc w:val="center"/>
            </w:pPr>
            <w:r>
              <w:t>18</w:t>
            </w:r>
            <w:r w:rsidR="00A37D48">
              <w:t>.90</w:t>
            </w:r>
          </w:p>
        </w:tc>
        <w:tc>
          <w:tcPr>
            <w:tcW w:w="1168" w:type="dxa"/>
          </w:tcPr>
          <w:p w:rsidR="005E2BF6" w:rsidRDefault="00A37D48" w:rsidP="00153BD9">
            <w:pPr>
              <w:jc w:val="center"/>
            </w:pPr>
            <w:r>
              <w:t>27.90</w:t>
            </w:r>
          </w:p>
        </w:tc>
        <w:tc>
          <w:tcPr>
            <w:tcW w:w="1168" w:type="dxa"/>
          </w:tcPr>
          <w:p w:rsidR="005E2BF6" w:rsidRDefault="00153BD9" w:rsidP="00153BD9">
            <w:pPr>
              <w:jc w:val="center"/>
            </w:pPr>
            <w:r>
              <w:t>35.92</w:t>
            </w:r>
          </w:p>
        </w:tc>
        <w:tc>
          <w:tcPr>
            <w:tcW w:w="1168" w:type="dxa"/>
          </w:tcPr>
          <w:p w:rsidR="005E2BF6" w:rsidRDefault="00A37D48" w:rsidP="00153BD9">
            <w:pPr>
              <w:jc w:val="center"/>
            </w:pPr>
            <w:r>
              <w:t>23.41</w:t>
            </w:r>
          </w:p>
        </w:tc>
        <w:tc>
          <w:tcPr>
            <w:tcW w:w="1168" w:type="dxa"/>
          </w:tcPr>
          <w:p w:rsidR="005E2BF6" w:rsidRDefault="00A37D48" w:rsidP="00153BD9">
            <w:pPr>
              <w:jc w:val="center"/>
            </w:pPr>
            <w:r>
              <w:t>23.46</w:t>
            </w:r>
          </w:p>
        </w:tc>
      </w:tr>
      <w:tr w:rsidR="005E2BF6" w:rsidTr="00806AED">
        <w:trPr>
          <w:trHeight w:val="269"/>
        </w:trPr>
        <w:tc>
          <w:tcPr>
            <w:tcW w:w="0" w:type="auto"/>
          </w:tcPr>
          <w:p w:rsidR="005E2BF6" w:rsidRDefault="005E2BF6" w:rsidP="00F772A3">
            <w:r>
              <w:t>Market Cap</w:t>
            </w:r>
            <w:r w:rsidR="00153BD9">
              <w:t xml:space="preserve"> ($B)</w:t>
            </w:r>
          </w:p>
        </w:tc>
        <w:tc>
          <w:tcPr>
            <w:tcW w:w="1168" w:type="dxa"/>
            <w:shd w:val="clear" w:color="auto" w:fill="FFE599" w:themeFill="accent4" w:themeFillTint="66"/>
          </w:tcPr>
          <w:p w:rsidR="005E2BF6" w:rsidRDefault="00153BD9" w:rsidP="00153BD9">
            <w:pPr>
              <w:jc w:val="center"/>
            </w:pPr>
            <w:r>
              <w:t>703.84</w:t>
            </w:r>
          </w:p>
        </w:tc>
        <w:tc>
          <w:tcPr>
            <w:tcW w:w="1168" w:type="dxa"/>
          </w:tcPr>
          <w:p w:rsidR="005E2BF6" w:rsidRDefault="00153BD9" w:rsidP="00153BD9">
            <w:pPr>
              <w:jc w:val="center"/>
            </w:pPr>
            <w:r>
              <w:t>249.31</w:t>
            </w:r>
          </w:p>
        </w:tc>
        <w:tc>
          <w:tcPr>
            <w:tcW w:w="1168" w:type="dxa"/>
          </w:tcPr>
          <w:p w:rsidR="005E2BF6" w:rsidRDefault="00153BD9" w:rsidP="00153BD9">
            <w:pPr>
              <w:jc w:val="center"/>
            </w:pPr>
            <w:r>
              <w:t>92.51</w:t>
            </w:r>
          </w:p>
        </w:tc>
        <w:tc>
          <w:tcPr>
            <w:tcW w:w="1168" w:type="dxa"/>
          </w:tcPr>
          <w:p w:rsidR="005E2BF6" w:rsidRDefault="00153BD9" w:rsidP="00153BD9">
            <w:pPr>
              <w:jc w:val="center"/>
            </w:pPr>
            <w:r>
              <w:t>54.59</w:t>
            </w:r>
          </w:p>
        </w:tc>
        <w:tc>
          <w:tcPr>
            <w:tcW w:w="1168" w:type="dxa"/>
          </w:tcPr>
          <w:p w:rsidR="005E2BF6" w:rsidRDefault="00153BD9" w:rsidP="00153BD9">
            <w:pPr>
              <w:jc w:val="center"/>
            </w:pPr>
            <w:r>
              <w:t>48.44</w:t>
            </w:r>
          </w:p>
        </w:tc>
        <w:tc>
          <w:tcPr>
            <w:tcW w:w="1168" w:type="dxa"/>
          </w:tcPr>
          <w:p w:rsidR="005E2BF6" w:rsidRDefault="00153BD9" w:rsidP="00153BD9">
            <w:pPr>
              <w:jc w:val="center"/>
            </w:pPr>
            <w:r>
              <w:t>14.08</w:t>
            </w:r>
          </w:p>
        </w:tc>
      </w:tr>
      <w:tr w:rsidR="005E2BF6" w:rsidTr="00806AED">
        <w:trPr>
          <w:trHeight w:val="269"/>
        </w:trPr>
        <w:tc>
          <w:tcPr>
            <w:tcW w:w="0" w:type="auto"/>
          </w:tcPr>
          <w:p w:rsidR="005E2BF6" w:rsidRDefault="005E2BF6" w:rsidP="00F772A3">
            <w:r>
              <w:t xml:space="preserve">P/E </w:t>
            </w:r>
          </w:p>
        </w:tc>
        <w:tc>
          <w:tcPr>
            <w:tcW w:w="1168" w:type="dxa"/>
            <w:shd w:val="clear" w:color="auto" w:fill="FFE599" w:themeFill="accent4" w:themeFillTint="66"/>
          </w:tcPr>
          <w:p w:rsidR="005E2BF6" w:rsidRDefault="009B1E88" w:rsidP="00153BD9">
            <w:pPr>
              <w:jc w:val="center"/>
            </w:pPr>
            <w:r>
              <w:t>58</w:t>
            </w:r>
          </w:p>
        </w:tc>
        <w:tc>
          <w:tcPr>
            <w:tcW w:w="1168" w:type="dxa"/>
          </w:tcPr>
          <w:p w:rsidR="005E2BF6" w:rsidRDefault="001C4E86" w:rsidP="00153BD9">
            <w:pPr>
              <w:jc w:val="center"/>
            </w:pPr>
            <w:r>
              <w:t>3.88</w:t>
            </w:r>
          </w:p>
        </w:tc>
        <w:tc>
          <w:tcPr>
            <w:tcW w:w="1168" w:type="dxa"/>
          </w:tcPr>
          <w:p w:rsidR="005E2BF6" w:rsidRDefault="00D87481" w:rsidP="00153BD9">
            <w:pPr>
              <w:jc w:val="center"/>
            </w:pPr>
            <w:r>
              <w:t>20.36</w:t>
            </w:r>
          </w:p>
        </w:tc>
        <w:tc>
          <w:tcPr>
            <w:tcW w:w="1168" w:type="dxa"/>
          </w:tcPr>
          <w:p w:rsidR="005E2BF6" w:rsidRDefault="00C74A0C" w:rsidP="00153BD9">
            <w:pPr>
              <w:jc w:val="center"/>
            </w:pPr>
            <w:r>
              <w:t>4.68</w:t>
            </w:r>
          </w:p>
        </w:tc>
        <w:tc>
          <w:tcPr>
            <w:tcW w:w="1168" w:type="dxa"/>
          </w:tcPr>
          <w:p w:rsidR="005E2BF6" w:rsidRDefault="00D21271" w:rsidP="00153BD9">
            <w:pPr>
              <w:jc w:val="center"/>
            </w:pPr>
            <w:r>
              <w:t>3.94</w:t>
            </w:r>
          </w:p>
        </w:tc>
        <w:tc>
          <w:tcPr>
            <w:tcW w:w="1168" w:type="dxa"/>
          </w:tcPr>
          <w:p w:rsidR="005E2BF6" w:rsidRDefault="00117DCE" w:rsidP="00153BD9">
            <w:pPr>
              <w:jc w:val="center"/>
            </w:pPr>
            <w:r>
              <w:t>-4.81</w:t>
            </w:r>
          </w:p>
        </w:tc>
      </w:tr>
      <w:tr w:rsidR="005E2BF6" w:rsidTr="00806AED">
        <w:trPr>
          <w:trHeight w:val="269"/>
        </w:trPr>
        <w:tc>
          <w:tcPr>
            <w:tcW w:w="0" w:type="auto"/>
          </w:tcPr>
          <w:p w:rsidR="005E2BF6" w:rsidRDefault="005E2BF6" w:rsidP="00F772A3">
            <w:r>
              <w:t>P/E forward</w:t>
            </w:r>
          </w:p>
        </w:tc>
        <w:tc>
          <w:tcPr>
            <w:tcW w:w="1168" w:type="dxa"/>
            <w:shd w:val="clear" w:color="auto" w:fill="FFE599" w:themeFill="accent4" w:themeFillTint="66"/>
          </w:tcPr>
          <w:p w:rsidR="005E2BF6" w:rsidRDefault="00EF13CB" w:rsidP="00153BD9">
            <w:pPr>
              <w:jc w:val="center"/>
            </w:pPr>
            <w:r>
              <w:t>79</w:t>
            </w:r>
          </w:p>
        </w:tc>
        <w:tc>
          <w:tcPr>
            <w:tcW w:w="1168" w:type="dxa"/>
          </w:tcPr>
          <w:p w:rsidR="005E2BF6" w:rsidRDefault="001C4E86" w:rsidP="00153BD9">
            <w:pPr>
              <w:jc w:val="center"/>
            </w:pPr>
            <w:r>
              <w:t>2.57</w:t>
            </w:r>
          </w:p>
        </w:tc>
        <w:tc>
          <w:tcPr>
            <w:tcW w:w="1168" w:type="dxa"/>
          </w:tcPr>
          <w:p w:rsidR="005E2BF6" w:rsidRDefault="00D87481" w:rsidP="00153BD9">
            <w:pPr>
              <w:jc w:val="center"/>
            </w:pPr>
            <w:r>
              <w:t>17.55</w:t>
            </w:r>
          </w:p>
        </w:tc>
        <w:tc>
          <w:tcPr>
            <w:tcW w:w="1168" w:type="dxa"/>
          </w:tcPr>
          <w:p w:rsidR="005E2BF6" w:rsidRDefault="00C74A0C" w:rsidP="00153BD9">
            <w:pPr>
              <w:jc w:val="center"/>
            </w:pPr>
            <w:r>
              <w:t>3.63</w:t>
            </w:r>
          </w:p>
        </w:tc>
        <w:tc>
          <w:tcPr>
            <w:tcW w:w="1168" w:type="dxa"/>
          </w:tcPr>
          <w:p w:rsidR="005E2BF6" w:rsidRDefault="00D21271" w:rsidP="00153BD9">
            <w:pPr>
              <w:jc w:val="center"/>
            </w:pPr>
            <w:r>
              <w:t>5.55</w:t>
            </w:r>
          </w:p>
        </w:tc>
        <w:tc>
          <w:tcPr>
            <w:tcW w:w="1168" w:type="dxa"/>
          </w:tcPr>
          <w:p w:rsidR="005E2BF6" w:rsidRDefault="00117DCE" w:rsidP="00153BD9">
            <w:pPr>
              <w:jc w:val="center"/>
            </w:pPr>
            <w:r>
              <w:t>-4.99</w:t>
            </w:r>
          </w:p>
        </w:tc>
      </w:tr>
      <w:tr w:rsidR="005E2BF6" w:rsidTr="00806AED">
        <w:trPr>
          <w:trHeight w:val="269"/>
        </w:trPr>
        <w:tc>
          <w:tcPr>
            <w:tcW w:w="0" w:type="auto"/>
          </w:tcPr>
          <w:p w:rsidR="005E2BF6" w:rsidRDefault="005E2BF6" w:rsidP="00F772A3">
            <w:r>
              <w:t>PEG</w:t>
            </w:r>
          </w:p>
        </w:tc>
        <w:tc>
          <w:tcPr>
            <w:tcW w:w="1168" w:type="dxa"/>
            <w:shd w:val="clear" w:color="auto" w:fill="FFE599" w:themeFill="accent4" w:themeFillTint="66"/>
          </w:tcPr>
          <w:p w:rsidR="005E2BF6" w:rsidRDefault="00EF13CB" w:rsidP="00153BD9">
            <w:pPr>
              <w:jc w:val="center"/>
            </w:pPr>
            <w:r>
              <w:t>-2.15</w:t>
            </w:r>
          </w:p>
        </w:tc>
        <w:tc>
          <w:tcPr>
            <w:tcW w:w="1168" w:type="dxa"/>
          </w:tcPr>
          <w:p w:rsidR="005E2BF6" w:rsidRDefault="00890746" w:rsidP="00153BD9">
            <w:pPr>
              <w:jc w:val="center"/>
            </w:pPr>
            <w:r>
              <w:t>0.07</w:t>
            </w:r>
          </w:p>
        </w:tc>
        <w:tc>
          <w:tcPr>
            <w:tcW w:w="1168" w:type="dxa"/>
          </w:tcPr>
          <w:p w:rsidR="005E2BF6" w:rsidRDefault="00D87481" w:rsidP="00153BD9">
            <w:pPr>
              <w:jc w:val="center"/>
            </w:pPr>
            <w:r>
              <w:t>1.27</w:t>
            </w:r>
          </w:p>
        </w:tc>
        <w:tc>
          <w:tcPr>
            <w:tcW w:w="1168" w:type="dxa"/>
          </w:tcPr>
          <w:p w:rsidR="005E2BF6" w:rsidRDefault="00C74A0C" w:rsidP="00153BD9">
            <w:pPr>
              <w:jc w:val="center"/>
            </w:pPr>
            <w:r>
              <w:t>0.24</w:t>
            </w:r>
          </w:p>
        </w:tc>
        <w:tc>
          <w:tcPr>
            <w:tcW w:w="1168" w:type="dxa"/>
          </w:tcPr>
          <w:p w:rsidR="005E2BF6" w:rsidRDefault="00D21271" w:rsidP="00153BD9">
            <w:pPr>
              <w:jc w:val="center"/>
            </w:pPr>
            <w:r>
              <w:t>-0.14</w:t>
            </w:r>
          </w:p>
        </w:tc>
        <w:tc>
          <w:tcPr>
            <w:tcW w:w="1168" w:type="dxa"/>
          </w:tcPr>
          <w:p w:rsidR="005E2BF6" w:rsidRDefault="00117DCE" w:rsidP="00153BD9">
            <w:pPr>
              <w:jc w:val="center"/>
            </w:pPr>
            <w:r>
              <w:t>-1.27</w:t>
            </w:r>
          </w:p>
        </w:tc>
      </w:tr>
      <w:tr w:rsidR="005E2BF6" w:rsidTr="00806AED">
        <w:trPr>
          <w:trHeight w:val="269"/>
        </w:trPr>
        <w:tc>
          <w:tcPr>
            <w:tcW w:w="0" w:type="auto"/>
          </w:tcPr>
          <w:p w:rsidR="005E2BF6" w:rsidRDefault="005E2BF6" w:rsidP="00F772A3">
            <w:r>
              <w:t>EV/EBITDA</w:t>
            </w:r>
          </w:p>
        </w:tc>
        <w:tc>
          <w:tcPr>
            <w:tcW w:w="1168" w:type="dxa"/>
            <w:shd w:val="clear" w:color="auto" w:fill="FFE599" w:themeFill="accent4" w:themeFillTint="66"/>
          </w:tcPr>
          <w:p w:rsidR="005E2BF6" w:rsidRDefault="00EF13CB" w:rsidP="00153BD9">
            <w:pPr>
              <w:jc w:val="center"/>
            </w:pPr>
            <w:r>
              <w:t>51</w:t>
            </w:r>
          </w:p>
        </w:tc>
        <w:tc>
          <w:tcPr>
            <w:tcW w:w="1168" w:type="dxa"/>
          </w:tcPr>
          <w:p w:rsidR="005E2BF6" w:rsidRDefault="008941F2" w:rsidP="00153BD9">
            <w:pPr>
              <w:jc w:val="center"/>
            </w:pPr>
            <w:r>
              <w:t>2.49</w:t>
            </w:r>
          </w:p>
        </w:tc>
        <w:tc>
          <w:tcPr>
            <w:tcW w:w="1168" w:type="dxa"/>
          </w:tcPr>
          <w:p w:rsidR="005E2BF6" w:rsidRDefault="00B41F30" w:rsidP="00153BD9">
            <w:pPr>
              <w:jc w:val="center"/>
            </w:pPr>
            <w:r>
              <w:t>12</w:t>
            </w:r>
          </w:p>
        </w:tc>
        <w:tc>
          <w:tcPr>
            <w:tcW w:w="1168" w:type="dxa"/>
          </w:tcPr>
          <w:p w:rsidR="005E2BF6" w:rsidRDefault="00586FBC" w:rsidP="00153BD9">
            <w:pPr>
              <w:jc w:val="center"/>
            </w:pPr>
            <w:r>
              <w:t>9.98</w:t>
            </w:r>
          </w:p>
        </w:tc>
        <w:tc>
          <w:tcPr>
            <w:tcW w:w="1168" w:type="dxa"/>
          </w:tcPr>
          <w:p w:rsidR="005E2BF6" w:rsidRDefault="00F50A99" w:rsidP="00153BD9">
            <w:pPr>
              <w:jc w:val="center"/>
            </w:pPr>
            <w:r>
              <w:t>5.68</w:t>
            </w:r>
          </w:p>
        </w:tc>
        <w:tc>
          <w:tcPr>
            <w:tcW w:w="1168" w:type="dxa"/>
          </w:tcPr>
          <w:p w:rsidR="005E2BF6" w:rsidRDefault="004D7FD8" w:rsidP="00153BD9">
            <w:pPr>
              <w:jc w:val="center"/>
            </w:pPr>
            <w:r>
              <w:t>-0.84</w:t>
            </w:r>
          </w:p>
        </w:tc>
      </w:tr>
      <w:tr w:rsidR="005E2BF6" w:rsidTr="00806AED">
        <w:trPr>
          <w:trHeight w:val="269"/>
        </w:trPr>
        <w:tc>
          <w:tcPr>
            <w:tcW w:w="0" w:type="auto"/>
          </w:tcPr>
          <w:p w:rsidR="005E2BF6" w:rsidRPr="00347F9B" w:rsidRDefault="00347F9B" w:rsidP="00F772A3">
            <w:pPr>
              <w:rPr>
                <w:b/>
              </w:rPr>
            </w:pPr>
            <w:r w:rsidRPr="00347F9B">
              <w:rPr>
                <w:b/>
              </w:rPr>
              <w:t>Solvency</w:t>
            </w:r>
          </w:p>
        </w:tc>
        <w:tc>
          <w:tcPr>
            <w:tcW w:w="1168" w:type="dxa"/>
            <w:shd w:val="clear" w:color="auto" w:fill="FFE599" w:themeFill="accent4" w:themeFillTint="66"/>
          </w:tcPr>
          <w:p w:rsidR="005E2BF6" w:rsidRDefault="005E2BF6" w:rsidP="00153BD9">
            <w:pPr>
              <w:jc w:val="center"/>
            </w:pPr>
          </w:p>
        </w:tc>
        <w:tc>
          <w:tcPr>
            <w:tcW w:w="1168" w:type="dxa"/>
          </w:tcPr>
          <w:p w:rsidR="005E2BF6" w:rsidRDefault="005E2BF6" w:rsidP="00153BD9">
            <w:pPr>
              <w:jc w:val="center"/>
            </w:pPr>
          </w:p>
        </w:tc>
        <w:tc>
          <w:tcPr>
            <w:tcW w:w="1168" w:type="dxa"/>
          </w:tcPr>
          <w:p w:rsidR="005E2BF6" w:rsidRDefault="005E2BF6" w:rsidP="00153BD9">
            <w:pPr>
              <w:jc w:val="center"/>
            </w:pPr>
          </w:p>
        </w:tc>
        <w:tc>
          <w:tcPr>
            <w:tcW w:w="1168" w:type="dxa"/>
          </w:tcPr>
          <w:p w:rsidR="005E2BF6" w:rsidRDefault="005E2BF6" w:rsidP="00153BD9">
            <w:pPr>
              <w:jc w:val="center"/>
            </w:pPr>
          </w:p>
        </w:tc>
        <w:tc>
          <w:tcPr>
            <w:tcW w:w="1168" w:type="dxa"/>
          </w:tcPr>
          <w:p w:rsidR="005E2BF6" w:rsidRDefault="005E2BF6" w:rsidP="00153BD9">
            <w:pPr>
              <w:jc w:val="center"/>
            </w:pPr>
          </w:p>
        </w:tc>
        <w:tc>
          <w:tcPr>
            <w:tcW w:w="1168" w:type="dxa"/>
          </w:tcPr>
          <w:p w:rsidR="005E2BF6" w:rsidRDefault="005E2BF6" w:rsidP="00153BD9">
            <w:pPr>
              <w:jc w:val="center"/>
            </w:pPr>
          </w:p>
        </w:tc>
      </w:tr>
      <w:tr w:rsidR="005E2BF6" w:rsidTr="00806AED">
        <w:trPr>
          <w:trHeight w:val="269"/>
        </w:trPr>
        <w:tc>
          <w:tcPr>
            <w:tcW w:w="0" w:type="auto"/>
          </w:tcPr>
          <w:p w:rsidR="005E2BF6" w:rsidRDefault="00347F9B" w:rsidP="00F772A3">
            <w:r>
              <w:t>D/E</w:t>
            </w:r>
          </w:p>
        </w:tc>
        <w:tc>
          <w:tcPr>
            <w:tcW w:w="1168" w:type="dxa"/>
            <w:shd w:val="clear" w:color="auto" w:fill="FFE599" w:themeFill="accent4" w:themeFillTint="66"/>
          </w:tcPr>
          <w:p w:rsidR="005E2BF6" w:rsidRDefault="004244B8" w:rsidP="00153BD9">
            <w:pPr>
              <w:jc w:val="center"/>
            </w:pPr>
            <w:r>
              <w:t>0.69</w:t>
            </w:r>
          </w:p>
        </w:tc>
        <w:tc>
          <w:tcPr>
            <w:tcW w:w="1168" w:type="dxa"/>
          </w:tcPr>
          <w:p w:rsidR="005E2BF6" w:rsidRDefault="008941F2" w:rsidP="00153BD9">
            <w:pPr>
              <w:jc w:val="center"/>
            </w:pPr>
            <w:r>
              <w:t>0.8</w:t>
            </w:r>
          </w:p>
        </w:tc>
        <w:tc>
          <w:tcPr>
            <w:tcW w:w="1168" w:type="dxa"/>
          </w:tcPr>
          <w:p w:rsidR="005E2BF6" w:rsidRDefault="00B41F30" w:rsidP="00153BD9">
            <w:pPr>
              <w:jc w:val="center"/>
            </w:pPr>
            <w:r>
              <w:t>3.52</w:t>
            </w:r>
          </w:p>
        </w:tc>
        <w:tc>
          <w:tcPr>
            <w:tcW w:w="1168" w:type="dxa"/>
          </w:tcPr>
          <w:p w:rsidR="005E2BF6" w:rsidRDefault="00586FBC" w:rsidP="00153BD9">
            <w:pPr>
              <w:jc w:val="center"/>
            </w:pPr>
            <w:r>
              <w:t>3</w:t>
            </w:r>
          </w:p>
        </w:tc>
        <w:tc>
          <w:tcPr>
            <w:tcW w:w="1168" w:type="dxa"/>
          </w:tcPr>
          <w:p w:rsidR="005E2BF6" w:rsidRDefault="00D21271" w:rsidP="00153BD9">
            <w:pPr>
              <w:jc w:val="center"/>
            </w:pPr>
            <w:r>
              <w:t>1.46</w:t>
            </w:r>
          </w:p>
        </w:tc>
        <w:tc>
          <w:tcPr>
            <w:tcW w:w="1168" w:type="dxa"/>
          </w:tcPr>
          <w:p w:rsidR="005E2BF6" w:rsidRDefault="007C4C45" w:rsidP="00153BD9">
            <w:pPr>
              <w:jc w:val="center"/>
            </w:pPr>
            <w:r>
              <w:t>0.84</w:t>
            </w:r>
          </w:p>
        </w:tc>
      </w:tr>
      <w:tr w:rsidR="00347F9B" w:rsidTr="00806AED">
        <w:trPr>
          <w:trHeight w:val="269"/>
        </w:trPr>
        <w:tc>
          <w:tcPr>
            <w:tcW w:w="0" w:type="auto"/>
          </w:tcPr>
          <w:p w:rsidR="00347F9B" w:rsidRDefault="00347F9B" w:rsidP="00F772A3">
            <w:r w:rsidRPr="00347F9B">
              <w:rPr>
                <w:b/>
              </w:rPr>
              <w:t>Profitability multiples</w:t>
            </w:r>
          </w:p>
        </w:tc>
        <w:tc>
          <w:tcPr>
            <w:tcW w:w="1168" w:type="dxa"/>
            <w:shd w:val="clear" w:color="auto" w:fill="FFE599" w:themeFill="accent4" w:themeFillTint="66"/>
          </w:tcPr>
          <w:p w:rsidR="00347F9B" w:rsidRDefault="00347F9B" w:rsidP="00153BD9">
            <w:pPr>
              <w:jc w:val="center"/>
            </w:pPr>
          </w:p>
        </w:tc>
        <w:tc>
          <w:tcPr>
            <w:tcW w:w="1168" w:type="dxa"/>
          </w:tcPr>
          <w:p w:rsidR="00347F9B" w:rsidRDefault="00347F9B" w:rsidP="00153BD9">
            <w:pPr>
              <w:jc w:val="center"/>
            </w:pPr>
          </w:p>
        </w:tc>
        <w:tc>
          <w:tcPr>
            <w:tcW w:w="1168" w:type="dxa"/>
          </w:tcPr>
          <w:p w:rsidR="00347F9B" w:rsidRDefault="00347F9B" w:rsidP="00153BD9">
            <w:pPr>
              <w:jc w:val="center"/>
            </w:pPr>
          </w:p>
        </w:tc>
        <w:tc>
          <w:tcPr>
            <w:tcW w:w="1168" w:type="dxa"/>
          </w:tcPr>
          <w:p w:rsidR="00347F9B" w:rsidRDefault="00347F9B" w:rsidP="00153BD9">
            <w:pPr>
              <w:jc w:val="center"/>
            </w:pPr>
          </w:p>
        </w:tc>
        <w:tc>
          <w:tcPr>
            <w:tcW w:w="1168" w:type="dxa"/>
          </w:tcPr>
          <w:p w:rsidR="00347F9B" w:rsidRDefault="00347F9B" w:rsidP="00153BD9">
            <w:pPr>
              <w:jc w:val="center"/>
            </w:pPr>
          </w:p>
        </w:tc>
        <w:tc>
          <w:tcPr>
            <w:tcW w:w="1168" w:type="dxa"/>
          </w:tcPr>
          <w:p w:rsidR="00347F9B" w:rsidRDefault="00347F9B" w:rsidP="00153BD9">
            <w:pPr>
              <w:jc w:val="center"/>
            </w:pPr>
          </w:p>
        </w:tc>
      </w:tr>
      <w:tr w:rsidR="00347F9B" w:rsidTr="00806AED">
        <w:trPr>
          <w:trHeight w:val="269"/>
        </w:trPr>
        <w:tc>
          <w:tcPr>
            <w:tcW w:w="0" w:type="auto"/>
          </w:tcPr>
          <w:p w:rsidR="00347F9B" w:rsidRPr="00347F9B" w:rsidRDefault="00347F9B" w:rsidP="00F772A3">
            <w:pPr>
              <w:rPr>
                <w:b/>
              </w:rPr>
            </w:pPr>
            <w:r>
              <w:t>ROE</w:t>
            </w:r>
          </w:p>
        </w:tc>
        <w:tc>
          <w:tcPr>
            <w:tcW w:w="1168" w:type="dxa"/>
            <w:shd w:val="clear" w:color="auto" w:fill="FFE599" w:themeFill="accent4" w:themeFillTint="66"/>
          </w:tcPr>
          <w:p w:rsidR="00347F9B" w:rsidRDefault="004244B8" w:rsidP="00153BD9">
            <w:pPr>
              <w:jc w:val="center"/>
            </w:pPr>
            <w:r>
              <w:t>24%</w:t>
            </w:r>
          </w:p>
        </w:tc>
        <w:tc>
          <w:tcPr>
            <w:tcW w:w="1168" w:type="dxa"/>
          </w:tcPr>
          <w:p w:rsidR="00347F9B" w:rsidRDefault="008941F2" w:rsidP="00153BD9">
            <w:pPr>
              <w:jc w:val="center"/>
            </w:pPr>
            <w:r>
              <w:t>3.85%</w:t>
            </w:r>
          </w:p>
        </w:tc>
        <w:tc>
          <w:tcPr>
            <w:tcW w:w="1168" w:type="dxa"/>
          </w:tcPr>
          <w:p w:rsidR="00347F9B" w:rsidRDefault="00586FBC" w:rsidP="00153BD9">
            <w:pPr>
              <w:jc w:val="center"/>
            </w:pPr>
            <w:r>
              <w:t>19.97%</w:t>
            </w:r>
          </w:p>
        </w:tc>
        <w:tc>
          <w:tcPr>
            <w:tcW w:w="1168" w:type="dxa"/>
          </w:tcPr>
          <w:p w:rsidR="00347F9B" w:rsidRDefault="00586FBC" w:rsidP="00153BD9">
            <w:pPr>
              <w:jc w:val="center"/>
            </w:pPr>
            <w:r>
              <w:t>14.83%</w:t>
            </w:r>
          </w:p>
        </w:tc>
        <w:tc>
          <w:tcPr>
            <w:tcW w:w="1168" w:type="dxa"/>
          </w:tcPr>
          <w:p w:rsidR="00347F9B" w:rsidRDefault="00D21271" w:rsidP="00153BD9">
            <w:pPr>
              <w:jc w:val="center"/>
            </w:pPr>
            <w:r>
              <w:t>22.65%</w:t>
            </w:r>
          </w:p>
        </w:tc>
        <w:tc>
          <w:tcPr>
            <w:tcW w:w="1168" w:type="dxa"/>
          </w:tcPr>
          <w:p w:rsidR="00347F9B" w:rsidRDefault="007C4C45" w:rsidP="00153BD9">
            <w:pPr>
              <w:jc w:val="center"/>
            </w:pPr>
            <w:r>
              <w:t>-59.41%</w:t>
            </w:r>
          </w:p>
        </w:tc>
      </w:tr>
      <w:tr w:rsidR="00347F9B" w:rsidTr="00806AED">
        <w:trPr>
          <w:trHeight w:val="269"/>
        </w:trPr>
        <w:tc>
          <w:tcPr>
            <w:tcW w:w="0" w:type="auto"/>
          </w:tcPr>
          <w:p w:rsidR="00347F9B" w:rsidRDefault="00347F9B" w:rsidP="00F772A3">
            <w:r>
              <w:t>EBITDA/revenue</w:t>
            </w:r>
          </w:p>
        </w:tc>
        <w:tc>
          <w:tcPr>
            <w:tcW w:w="1168" w:type="dxa"/>
            <w:shd w:val="clear" w:color="auto" w:fill="FFE599" w:themeFill="accent4" w:themeFillTint="66"/>
          </w:tcPr>
          <w:p w:rsidR="00347F9B" w:rsidRDefault="004244B8" w:rsidP="00153BD9">
            <w:pPr>
              <w:jc w:val="center"/>
            </w:pPr>
            <w:r>
              <w:t>14%</w:t>
            </w:r>
          </w:p>
        </w:tc>
        <w:tc>
          <w:tcPr>
            <w:tcW w:w="1168" w:type="dxa"/>
          </w:tcPr>
          <w:p w:rsidR="00347F9B" w:rsidRDefault="00E73875" w:rsidP="00153BD9">
            <w:pPr>
              <w:jc w:val="center"/>
            </w:pPr>
            <w:r>
              <w:t>12.66%</w:t>
            </w:r>
          </w:p>
        </w:tc>
        <w:tc>
          <w:tcPr>
            <w:tcW w:w="1168" w:type="dxa"/>
          </w:tcPr>
          <w:p w:rsidR="00347F9B" w:rsidRDefault="00424C55" w:rsidP="00153BD9">
            <w:pPr>
              <w:jc w:val="center"/>
            </w:pPr>
            <w:r>
              <w:t>7.94%</w:t>
            </w:r>
          </w:p>
        </w:tc>
        <w:tc>
          <w:tcPr>
            <w:tcW w:w="1168" w:type="dxa"/>
          </w:tcPr>
          <w:p w:rsidR="00347F9B" w:rsidRDefault="00586FBC" w:rsidP="00153BD9">
            <w:pPr>
              <w:jc w:val="center"/>
            </w:pPr>
            <w:r>
              <w:t>9.18%</w:t>
            </w:r>
          </w:p>
        </w:tc>
        <w:tc>
          <w:tcPr>
            <w:tcW w:w="1168" w:type="dxa"/>
          </w:tcPr>
          <w:p w:rsidR="00347F9B" w:rsidRDefault="00D21271" w:rsidP="00153BD9">
            <w:pPr>
              <w:jc w:val="center"/>
            </w:pPr>
            <w:r>
              <w:t>14.62%</w:t>
            </w:r>
          </w:p>
        </w:tc>
        <w:tc>
          <w:tcPr>
            <w:tcW w:w="1168" w:type="dxa"/>
          </w:tcPr>
          <w:p w:rsidR="00347F9B" w:rsidRDefault="007C4C45" w:rsidP="00153BD9">
            <w:pPr>
              <w:jc w:val="center"/>
            </w:pPr>
            <w:r>
              <w:t>-108%</w:t>
            </w:r>
          </w:p>
        </w:tc>
      </w:tr>
      <w:tr w:rsidR="00347F9B" w:rsidTr="00806AED">
        <w:trPr>
          <w:trHeight w:val="269"/>
        </w:trPr>
        <w:tc>
          <w:tcPr>
            <w:tcW w:w="0" w:type="auto"/>
          </w:tcPr>
          <w:p w:rsidR="00347F9B" w:rsidRDefault="00347F9B" w:rsidP="00F772A3">
            <w:r>
              <w:t>Net margin</w:t>
            </w:r>
          </w:p>
        </w:tc>
        <w:tc>
          <w:tcPr>
            <w:tcW w:w="1168" w:type="dxa"/>
            <w:shd w:val="clear" w:color="auto" w:fill="FFE599" w:themeFill="accent4" w:themeFillTint="66"/>
          </w:tcPr>
          <w:p w:rsidR="00347F9B" w:rsidRDefault="004244B8" w:rsidP="00153BD9">
            <w:pPr>
              <w:jc w:val="center"/>
            </w:pPr>
            <w:r>
              <w:t>15.72%</w:t>
            </w:r>
          </w:p>
        </w:tc>
        <w:tc>
          <w:tcPr>
            <w:tcW w:w="1168" w:type="dxa"/>
          </w:tcPr>
          <w:p w:rsidR="00347F9B" w:rsidRDefault="00E73875" w:rsidP="00153BD9">
            <w:pPr>
              <w:jc w:val="center"/>
            </w:pPr>
            <w:r>
              <w:t>6.18%</w:t>
            </w:r>
          </w:p>
        </w:tc>
        <w:tc>
          <w:tcPr>
            <w:tcW w:w="1168" w:type="dxa"/>
          </w:tcPr>
          <w:p w:rsidR="00347F9B" w:rsidRDefault="00D34904" w:rsidP="00153BD9">
            <w:pPr>
              <w:jc w:val="center"/>
            </w:pPr>
            <w:r>
              <w:t>5%</w:t>
            </w:r>
          </w:p>
        </w:tc>
        <w:tc>
          <w:tcPr>
            <w:tcW w:w="1168" w:type="dxa"/>
          </w:tcPr>
          <w:p w:rsidR="00347F9B" w:rsidRDefault="00586FBC" w:rsidP="00153BD9">
            <w:pPr>
              <w:jc w:val="center"/>
            </w:pPr>
            <w:r>
              <w:t>5.9%</w:t>
            </w:r>
          </w:p>
        </w:tc>
        <w:tc>
          <w:tcPr>
            <w:tcW w:w="1168" w:type="dxa"/>
          </w:tcPr>
          <w:p w:rsidR="00347F9B" w:rsidRDefault="00D21271" w:rsidP="00153BD9">
            <w:pPr>
              <w:jc w:val="center"/>
            </w:pPr>
            <w:r>
              <w:t>9.81%</w:t>
            </w:r>
          </w:p>
        </w:tc>
        <w:tc>
          <w:tcPr>
            <w:tcW w:w="1168" w:type="dxa"/>
          </w:tcPr>
          <w:p w:rsidR="00347F9B" w:rsidRDefault="007C4C45" w:rsidP="00153BD9">
            <w:pPr>
              <w:jc w:val="center"/>
            </w:pPr>
            <w:r>
              <w:t>-122.57%</w:t>
            </w:r>
          </w:p>
        </w:tc>
      </w:tr>
    </w:tbl>
    <w:p w:rsidR="00FE517F" w:rsidRDefault="00806AED" w:rsidP="00F772A3">
      <w:pPr>
        <w:spacing w:after="0"/>
      </w:pPr>
      <w:r>
        <w:t>Data: 2023 annual report (Toyota 01.04.2023 – 31.03.2024 annual report)</w:t>
      </w:r>
    </w:p>
    <w:p w:rsidR="00806AED" w:rsidRDefault="00806AED" w:rsidP="00F772A3">
      <w:pPr>
        <w:spacing w:after="0"/>
      </w:pPr>
      <w:r>
        <w:t xml:space="preserve">Exchange rate (xe.com): Toyota 31.03.2024, BYD 31.12.2023, </w:t>
      </w:r>
      <w:proofErr w:type="spellStart"/>
      <w:r>
        <w:t>Stellantis</w:t>
      </w:r>
      <w:proofErr w:type="spellEnd"/>
      <w:r>
        <w:t xml:space="preserve"> 31.12.12023.</w:t>
      </w:r>
    </w:p>
    <w:p w:rsidR="00FD4EBD" w:rsidRDefault="00FD4EBD" w:rsidP="00496C40">
      <w:pPr>
        <w:spacing w:after="0"/>
        <w:jc w:val="both"/>
        <w:rPr>
          <w:b/>
          <w:u w:val="single"/>
        </w:rPr>
      </w:pPr>
    </w:p>
    <w:p w:rsidR="00FD4EBD" w:rsidRDefault="00FD4EBD" w:rsidP="00496C40">
      <w:pPr>
        <w:spacing w:after="0"/>
        <w:jc w:val="both"/>
      </w:pPr>
      <w:r>
        <w:rPr>
          <w:noProof/>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1419E" w:rsidRDefault="00E1419E" w:rsidP="00496C40">
      <w:pPr>
        <w:spacing w:after="0"/>
        <w:jc w:val="both"/>
      </w:pPr>
    </w:p>
    <w:p w:rsidR="00E1419E" w:rsidRDefault="00E1419E" w:rsidP="00496C40">
      <w:pPr>
        <w:spacing w:after="0"/>
        <w:jc w:val="both"/>
      </w:pPr>
      <w:r>
        <w:rPr>
          <w:noProof/>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419E" w:rsidRDefault="00E1419E" w:rsidP="00496C40">
      <w:pPr>
        <w:spacing w:after="0"/>
        <w:jc w:val="both"/>
      </w:pPr>
    </w:p>
    <w:p w:rsidR="00E1419E" w:rsidRDefault="00E1419E" w:rsidP="00496C40">
      <w:pPr>
        <w:spacing w:after="0"/>
        <w:jc w:val="both"/>
      </w:pPr>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F6A60" w:rsidRDefault="002F6A60" w:rsidP="00496C40">
      <w:pPr>
        <w:spacing w:after="0"/>
        <w:jc w:val="both"/>
      </w:pPr>
    </w:p>
    <w:p w:rsidR="002F6A60" w:rsidRDefault="002F6A60" w:rsidP="00496C40">
      <w:pPr>
        <w:spacing w:after="0"/>
        <w:jc w:val="both"/>
      </w:pPr>
      <w:r w:rsidRPr="009E47F0">
        <w:rPr>
          <w:b/>
        </w:rPr>
        <w:t>Comparable Financial Metrics:</w:t>
      </w:r>
      <w:r w:rsidR="009E47F0">
        <w:t xml:space="preserve"> Tesla’s </w:t>
      </w:r>
      <w:r w:rsidR="005F5115">
        <w:t>pioneer status,</w:t>
      </w:r>
      <w:r w:rsidR="009E47F0">
        <w:t xml:space="preserve"> revolutionary systems </w:t>
      </w:r>
      <w:r w:rsidR="005F5115">
        <w:t xml:space="preserve">and high expectations </w:t>
      </w:r>
      <w:r w:rsidR="009E47F0">
        <w:t>in the pure electric vehicle space granted the company a strong leading position in market cap</w:t>
      </w:r>
      <w:r w:rsidR="004A3FCE">
        <w:t>, enterprise values, profitability margins and P/E ratios</w:t>
      </w:r>
      <w:r w:rsidR="009E47F0">
        <w:t xml:space="preserve"> to peers. </w:t>
      </w:r>
      <w:r w:rsidR="004A3FCE">
        <w:t xml:space="preserve">On these metrics alone there are no comparable companies. On some profitability measures BYD and </w:t>
      </w:r>
      <w:proofErr w:type="spellStart"/>
      <w:r w:rsidR="004A3FCE">
        <w:t>Stellantis</w:t>
      </w:r>
      <w:proofErr w:type="spellEnd"/>
      <w:r w:rsidR="004A3FCE">
        <w:t xml:space="preserve"> exhibit similarities. </w:t>
      </w:r>
      <w:r w:rsidR="00821C4A">
        <w:t>Toyota’s comparable EBITDA/revenue is due to high DA. All market participants</w:t>
      </w:r>
      <w:r w:rsidR="009E47F0">
        <w:t xml:space="preserve"> are playing catch up</w:t>
      </w:r>
      <w:r w:rsidR="00821C4A">
        <w:t xml:space="preserve"> to Tesla</w:t>
      </w:r>
      <w:r w:rsidR="004A3FCE">
        <w:t>.</w:t>
      </w:r>
      <w:r w:rsidR="009E47F0">
        <w:t xml:space="preserve"> </w:t>
      </w:r>
    </w:p>
    <w:p w:rsidR="002F6A60" w:rsidRDefault="002F6A60" w:rsidP="00496C40">
      <w:pPr>
        <w:spacing w:after="0"/>
        <w:jc w:val="both"/>
      </w:pPr>
    </w:p>
    <w:p w:rsidR="002F6A60" w:rsidRDefault="002F6A60" w:rsidP="00496C40">
      <w:pPr>
        <w:spacing w:after="0"/>
        <w:jc w:val="both"/>
      </w:pPr>
      <w:r w:rsidRPr="00821C4A">
        <w:rPr>
          <w:b/>
        </w:rPr>
        <w:t>Similar Industry Positioning:</w:t>
      </w:r>
      <w:r w:rsidR="00977DB7">
        <w:t xml:space="preserve"> </w:t>
      </w:r>
      <w:r w:rsidR="00821C4A">
        <w:t>All companies operate in the automotive manufacturing space with global reach and a range of product</w:t>
      </w:r>
      <w:r w:rsidR="005F5115">
        <w:t xml:space="preserve"> offerings to various market segments. However, the legacy car makers – Toyota, GM, </w:t>
      </w:r>
      <w:proofErr w:type="spellStart"/>
      <w:proofErr w:type="gramStart"/>
      <w:r w:rsidR="005F5115">
        <w:t>Stellantis</w:t>
      </w:r>
      <w:proofErr w:type="spellEnd"/>
      <w:proofErr w:type="gramEnd"/>
      <w:r w:rsidR="005F5115">
        <w:t xml:space="preserve"> </w:t>
      </w:r>
      <w:r w:rsidR="003235B7">
        <w:t>–</w:t>
      </w:r>
      <w:r w:rsidR="005F5115">
        <w:t xml:space="preserve"> continue manufacturing internal combustion vehicles alongside electric and hybrid models whilst Tesla an</w:t>
      </w:r>
      <w:r w:rsidR="003235B7">
        <w:t xml:space="preserve">d </w:t>
      </w:r>
      <w:proofErr w:type="spellStart"/>
      <w:r w:rsidR="003235B7">
        <w:t>Rivian</w:t>
      </w:r>
      <w:proofErr w:type="spellEnd"/>
      <w:r w:rsidR="003235B7">
        <w:t xml:space="preserve"> are pure electric</w:t>
      </w:r>
      <w:r w:rsidR="005F5115">
        <w:t xml:space="preserve"> and BYD </w:t>
      </w:r>
      <w:r w:rsidR="003235B7">
        <w:t xml:space="preserve">is </w:t>
      </w:r>
      <w:r w:rsidR="005F5115">
        <w:t>electric and hybrid</w:t>
      </w:r>
      <w:r w:rsidR="003235B7">
        <w:t xml:space="preserve"> plays</w:t>
      </w:r>
      <w:r w:rsidR="005F5115">
        <w:t>.</w:t>
      </w:r>
    </w:p>
    <w:p w:rsidR="002F6A60" w:rsidRDefault="002F6A60" w:rsidP="00496C40">
      <w:pPr>
        <w:spacing w:after="0"/>
        <w:jc w:val="both"/>
      </w:pPr>
      <w:r w:rsidRPr="003235B7">
        <w:rPr>
          <w:b/>
        </w:rPr>
        <w:lastRenderedPageBreak/>
        <w:t>Equivalent Market Presence:</w:t>
      </w:r>
      <w:r w:rsidR="003235B7">
        <w:rPr>
          <w:b/>
        </w:rPr>
        <w:t xml:space="preserve"> </w:t>
      </w:r>
      <w:r w:rsidR="003235B7">
        <w:t>Tesla’s valuation is astronomical relative to earnings compared to peers. The other four companies are more in line with healthy ratios.</w:t>
      </w:r>
    </w:p>
    <w:p w:rsidR="005E1071" w:rsidRDefault="005E1071" w:rsidP="00496C40">
      <w:pPr>
        <w:spacing w:after="0"/>
        <w:jc w:val="both"/>
      </w:pPr>
    </w:p>
    <w:p w:rsidR="005E1071" w:rsidRPr="005E1071" w:rsidRDefault="005E1071" w:rsidP="00496C40">
      <w:pPr>
        <w:spacing w:after="0"/>
        <w:jc w:val="both"/>
      </w:pPr>
      <w:r w:rsidRPr="005E1071">
        <w:rPr>
          <w:b/>
        </w:rPr>
        <w:t xml:space="preserve">Comparable </w:t>
      </w:r>
      <w:r w:rsidR="007C6D52">
        <w:rPr>
          <w:b/>
        </w:rPr>
        <w:t xml:space="preserve">debt </w:t>
      </w:r>
      <w:r w:rsidRPr="005E1071">
        <w:rPr>
          <w:b/>
        </w:rPr>
        <w:t>sustainability performance:</w:t>
      </w:r>
      <w:r>
        <w:rPr>
          <w:b/>
        </w:rPr>
        <w:t xml:space="preserve"> </w:t>
      </w:r>
      <w:r>
        <w:t xml:space="preserve">Toyota, </w:t>
      </w:r>
      <w:proofErr w:type="spellStart"/>
      <w:r>
        <w:t>Stellantis</w:t>
      </w:r>
      <w:proofErr w:type="spellEnd"/>
      <w:r>
        <w:t xml:space="preserve"> and </w:t>
      </w:r>
      <w:proofErr w:type="spellStart"/>
      <w:r>
        <w:t>Rivian</w:t>
      </w:r>
      <w:proofErr w:type="spellEnd"/>
      <w:r>
        <w:t xml:space="preserve"> exhibit healthy debt-to-equity ratios similar to Tesla. Considering Tesla and </w:t>
      </w:r>
      <w:proofErr w:type="spellStart"/>
      <w:r>
        <w:t>Rivian</w:t>
      </w:r>
      <w:proofErr w:type="spellEnd"/>
      <w:r>
        <w:t xml:space="preserve"> are still growth stage businesses, debt levels to equity are under control. BYD and GM are in the danger zone although BYD is a fast growing company which may explain higher debt usage.</w:t>
      </w:r>
    </w:p>
    <w:p w:rsidR="002F6A60" w:rsidRDefault="002F6A60" w:rsidP="00496C40">
      <w:pPr>
        <w:spacing w:after="0"/>
        <w:jc w:val="both"/>
      </w:pPr>
    </w:p>
    <w:p w:rsidR="002F6A60" w:rsidRDefault="002F6A60" w:rsidP="00496C40">
      <w:pPr>
        <w:spacing w:after="0"/>
        <w:jc w:val="both"/>
      </w:pPr>
      <w:r w:rsidRPr="005E1071">
        <w:rPr>
          <w:b/>
        </w:rPr>
        <w:t>Comparable Customer Base:</w:t>
      </w:r>
      <w:r w:rsidR="005E1071">
        <w:rPr>
          <w:b/>
        </w:rPr>
        <w:t xml:space="preserve"> </w:t>
      </w:r>
      <w:r w:rsidR="005E1071">
        <w:t xml:space="preserve">Four companies cater for all market segments, </w:t>
      </w:r>
      <w:proofErr w:type="spellStart"/>
      <w:r w:rsidR="005E1071">
        <w:t>Rivian</w:t>
      </w:r>
      <w:proofErr w:type="spellEnd"/>
      <w:r w:rsidR="005E1071">
        <w:t xml:space="preserve"> mainly targeting the higher end of the electric market. </w:t>
      </w:r>
    </w:p>
    <w:p w:rsidR="00496C40" w:rsidRDefault="00496C40" w:rsidP="00496C40">
      <w:pPr>
        <w:spacing w:after="0"/>
        <w:jc w:val="both"/>
      </w:pPr>
    </w:p>
    <w:p w:rsidR="00496C40" w:rsidRDefault="00496C40" w:rsidP="00496C40">
      <w:pPr>
        <w:spacing w:after="0"/>
        <w:jc w:val="both"/>
      </w:pPr>
      <w:r w:rsidRPr="00496C40">
        <w:rPr>
          <w:b/>
        </w:rPr>
        <w:t>In conclusion</w:t>
      </w:r>
      <w:r>
        <w:t xml:space="preserve">, Tesla’s unique position and financial metrics make it a positive outlier. </w:t>
      </w:r>
      <w:proofErr w:type="spellStart"/>
      <w:r>
        <w:t>Rivian’s</w:t>
      </w:r>
      <w:proofErr w:type="spellEnd"/>
      <w:r>
        <w:t xml:space="preserve"> more specialised focus and small operation relative to the others also stands out. However, despite some differences in financial performances, all companies occupy the space within the global car manufacturing market with wide product and service offerings targeting and drawing revenue from similar audiences which qualifies them for the same peer group.</w:t>
      </w: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Default="00E1419E" w:rsidP="00496C40">
      <w:pPr>
        <w:spacing w:after="0"/>
        <w:jc w:val="both"/>
      </w:pPr>
    </w:p>
    <w:p w:rsidR="00E1419E" w:rsidRPr="0038365F" w:rsidRDefault="00E1419E" w:rsidP="00E1419E">
      <w:pPr>
        <w:spacing w:after="0"/>
        <w:jc w:val="both"/>
        <w:rPr>
          <w:b/>
          <w:u w:val="single"/>
        </w:rPr>
      </w:pPr>
      <w:r w:rsidRPr="0038365F">
        <w:rPr>
          <w:b/>
          <w:u w:val="single"/>
        </w:rPr>
        <w:lastRenderedPageBreak/>
        <w:t>Comparison analysis to Netflix Inc. (Apple Inc., Amazon Inc., Walt Disney Corp., Paramount Global Corp.)</w:t>
      </w:r>
    </w:p>
    <w:p w:rsidR="00E1419E" w:rsidRDefault="00E1419E" w:rsidP="00496C40">
      <w:pPr>
        <w:spacing w:after="0"/>
        <w:jc w:val="both"/>
      </w:pPr>
    </w:p>
    <w:tbl>
      <w:tblPr>
        <w:tblStyle w:val="TableGrid"/>
        <w:tblW w:w="9209" w:type="dxa"/>
        <w:tblLook w:val="04A0" w:firstRow="1" w:lastRow="0" w:firstColumn="1" w:lastColumn="0" w:noHBand="0" w:noVBand="1"/>
      </w:tblPr>
      <w:tblGrid>
        <w:gridCol w:w="2141"/>
        <w:gridCol w:w="1413"/>
        <w:gridCol w:w="1414"/>
        <w:gridCol w:w="1413"/>
        <w:gridCol w:w="1414"/>
        <w:gridCol w:w="1414"/>
      </w:tblGrid>
      <w:tr w:rsidR="003C317C" w:rsidTr="00724311">
        <w:trPr>
          <w:trHeight w:val="269"/>
        </w:trPr>
        <w:tc>
          <w:tcPr>
            <w:tcW w:w="0" w:type="auto"/>
          </w:tcPr>
          <w:p w:rsidR="00E1419E" w:rsidRDefault="00E1419E" w:rsidP="00496C40">
            <w:pPr>
              <w:jc w:val="both"/>
            </w:pPr>
          </w:p>
        </w:tc>
        <w:tc>
          <w:tcPr>
            <w:tcW w:w="1413" w:type="dxa"/>
            <w:shd w:val="clear" w:color="auto" w:fill="FFE599" w:themeFill="accent4" w:themeFillTint="66"/>
          </w:tcPr>
          <w:p w:rsidR="003C317C" w:rsidRPr="00CF273D" w:rsidRDefault="003C317C" w:rsidP="005C5CCE">
            <w:pPr>
              <w:jc w:val="center"/>
              <w:rPr>
                <w:b/>
              </w:rPr>
            </w:pPr>
            <w:r w:rsidRPr="00CF273D">
              <w:rPr>
                <w:b/>
              </w:rPr>
              <w:t>Netflix</w:t>
            </w:r>
          </w:p>
        </w:tc>
        <w:tc>
          <w:tcPr>
            <w:tcW w:w="1414" w:type="dxa"/>
          </w:tcPr>
          <w:p w:rsidR="003C317C" w:rsidRPr="00CF273D" w:rsidRDefault="003C317C" w:rsidP="005C5CCE">
            <w:pPr>
              <w:jc w:val="center"/>
              <w:rPr>
                <w:b/>
              </w:rPr>
            </w:pPr>
            <w:r w:rsidRPr="00CF273D">
              <w:rPr>
                <w:b/>
              </w:rPr>
              <w:t>Apple</w:t>
            </w:r>
          </w:p>
        </w:tc>
        <w:tc>
          <w:tcPr>
            <w:tcW w:w="1413" w:type="dxa"/>
          </w:tcPr>
          <w:p w:rsidR="003C317C" w:rsidRPr="00CF273D" w:rsidRDefault="003C317C" w:rsidP="005C5CCE">
            <w:pPr>
              <w:jc w:val="center"/>
              <w:rPr>
                <w:b/>
              </w:rPr>
            </w:pPr>
            <w:r w:rsidRPr="00CF273D">
              <w:rPr>
                <w:b/>
              </w:rPr>
              <w:t>Amazon</w:t>
            </w:r>
          </w:p>
        </w:tc>
        <w:tc>
          <w:tcPr>
            <w:tcW w:w="1414" w:type="dxa"/>
          </w:tcPr>
          <w:p w:rsidR="003C317C" w:rsidRPr="00CF273D" w:rsidRDefault="003C317C" w:rsidP="005C5CCE">
            <w:pPr>
              <w:jc w:val="center"/>
              <w:rPr>
                <w:b/>
              </w:rPr>
            </w:pPr>
            <w:r w:rsidRPr="00CF273D">
              <w:rPr>
                <w:b/>
              </w:rPr>
              <w:t>Disney</w:t>
            </w:r>
          </w:p>
        </w:tc>
        <w:tc>
          <w:tcPr>
            <w:tcW w:w="1414" w:type="dxa"/>
          </w:tcPr>
          <w:p w:rsidR="003C317C" w:rsidRPr="00CF273D" w:rsidRDefault="003C317C" w:rsidP="005C5CCE">
            <w:pPr>
              <w:jc w:val="center"/>
              <w:rPr>
                <w:b/>
              </w:rPr>
            </w:pPr>
            <w:r w:rsidRPr="00CF273D">
              <w:rPr>
                <w:b/>
              </w:rPr>
              <w:t>Paramount</w:t>
            </w:r>
          </w:p>
        </w:tc>
      </w:tr>
      <w:tr w:rsidR="003C317C" w:rsidTr="00724311">
        <w:trPr>
          <w:trHeight w:val="269"/>
        </w:trPr>
        <w:tc>
          <w:tcPr>
            <w:tcW w:w="0" w:type="auto"/>
          </w:tcPr>
          <w:p w:rsidR="003C317C" w:rsidRPr="00CF273D" w:rsidRDefault="003C317C" w:rsidP="00496C40">
            <w:pPr>
              <w:jc w:val="both"/>
              <w:rPr>
                <w:b/>
              </w:rPr>
            </w:pPr>
            <w:r w:rsidRPr="00CF273D">
              <w:rPr>
                <w:b/>
              </w:rPr>
              <w:t>Valuation multiples</w:t>
            </w:r>
          </w:p>
        </w:tc>
        <w:tc>
          <w:tcPr>
            <w:tcW w:w="1413" w:type="dxa"/>
            <w:shd w:val="clear" w:color="auto" w:fill="FFE599" w:themeFill="accent4" w:themeFillTint="66"/>
          </w:tcPr>
          <w:p w:rsidR="003C317C" w:rsidRDefault="003C317C" w:rsidP="005C5CCE">
            <w:pPr>
              <w:jc w:val="center"/>
            </w:pPr>
          </w:p>
        </w:tc>
        <w:tc>
          <w:tcPr>
            <w:tcW w:w="1414" w:type="dxa"/>
          </w:tcPr>
          <w:p w:rsidR="003C317C" w:rsidRDefault="003C317C" w:rsidP="005C5CCE">
            <w:pPr>
              <w:jc w:val="center"/>
            </w:pPr>
          </w:p>
        </w:tc>
        <w:tc>
          <w:tcPr>
            <w:tcW w:w="1413" w:type="dxa"/>
          </w:tcPr>
          <w:p w:rsidR="003C317C" w:rsidRDefault="003C317C" w:rsidP="005C5CCE">
            <w:pPr>
              <w:jc w:val="center"/>
            </w:pPr>
          </w:p>
        </w:tc>
        <w:tc>
          <w:tcPr>
            <w:tcW w:w="1414" w:type="dxa"/>
          </w:tcPr>
          <w:p w:rsidR="003C317C" w:rsidRDefault="003C317C" w:rsidP="005C5CCE">
            <w:pPr>
              <w:jc w:val="center"/>
            </w:pPr>
          </w:p>
        </w:tc>
        <w:tc>
          <w:tcPr>
            <w:tcW w:w="1414" w:type="dxa"/>
          </w:tcPr>
          <w:p w:rsidR="003C317C" w:rsidRDefault="003C317C" w:rsidP="005C5CCE">
            <w:pPr>
              <w:jc w:val="center"/>
            </w:pPr>
          </w:p>
        </w:tc>
      </w:tr>
      <w:tr w:rsidR="003C317C" w:rsidTr="00724311">
        <w:trPr>
          <w:trHeight w:val="269"/>
        </w:trPr>
        <w:tc>
          <w:tcPr>
            <w:tcW w:w="0" w:type="auto"/>
          </w:tcPr>
          <w:p w:rsidR="003C317C" w:rsidRDefault="003C317C" w:rsidP="00496C40">
            <w:pPr>
              <w:jc w:val="both"/>
            </w:pPr>
            <w:r>
              <w:t>Price</w:t>
            </w:r>
            <w:r w:rsidR="00CF273D">
              <w:t xml:space="preserve"> (29.12.2023) ($)</w:t>
            </w:r>
          </w:p>
        </w:tc>
        <w:tc>
          <w:tcPr>
            <w:tcW w:w="1413" w:type="dxa"/>
            <w:shd w:val="clear" w:color="auto" w:fill="FFE599" w:themeFill="accent4" w:themeFillTint="66"/>
          </w:tcPr>
          <w:p w:rsidR="003C317C" w:rsidRDefault="005C5CCE" w:rsidP="005C5CCE">
            <w:pPr>
              <w:jc w:val="center"/>
            </w:pPr>
            <w:r>
              <w:t>486.88</w:t>
            </w:r>
          </w:p>
        </w:tc>
        <w:tc>
          <w:tcPr>
            <w:tcW w:w="1414" w:type="dxa"/>
          </w:tcPr>
          <w:p w:rsidR="003C317C" w:rsidRDefault="00167771" w:rsidP="005C5CCE">
            <w:pPr>
              <w:jc w:val="center"/>
            </w:pPr>
            <w:r>
              <w:t>192.53</w:t>
            </w:r>
          </w:p>
        </w:tc>
        <w:tc>
          <w:tcPr>
            <w:tcW w:w="1413" w:type="dxa"/>
          </w:tcPr>
          <w:p w:rsidR="003C317C" w:rsidRDefault="00EB5EA0" w:rsidP="005C5CCE">
            <w:pPr>
              <w:jc w:val="center"/>
            </w:pPr>
            <w:r>
              <w:t>151.94</w:t>
            </w:r>
          </w:p>
        </w:tc>
        <w:tc>
          <w:tcPr>
            <w:tcW w:w="1414" w:type="dxa"/>
          </w:tcPr>
          <w:p w:rsidR="003C317C" w:rsidRDefault="009F1E7C" w:rsidP="005C5CCE">
            <w:pPr>
              <w:jc w:val="center"/>
            </w:pPr>
            <w:r>
              <w:t>90.29</w:t>
            </w:r>
          </w:p>
        </w:tc>
        <w:tc>
          <w:tcPr>
            <w:tcW w:w="1414" w:type="dxa"/>
          </w:tcPr>
          <w:p w:rsidR="003C317C" w:rsidRDefault="0000042D" w:rsidP="005C5CCE">
            <w:pPr>
              <w:jc w:val="center"/>
            </w:pPr>
            <w:r>
              <w:t>14.79</w:t>
            </w:r>
          </w:p>
        </w:tc>
      </w:tr>
      <w:tr w:rsidR="003C317C" w:rsidTr="00724311">
        <w:trPr>
          <w:trHeight w:val="269"/>
        </w:trPr>
        <w:tc>
          <w:tcPr>
            <w:tcW w:w="0" w:type="auto"/>
          </w:tcPr>
          <w:p w:rsidR="003C317C" w:rsidRDefault="003C317C" w:rsidP="00496C40">
            <w:pPr>
              <w:jc w:val="both"/>
            </w:pPr>
            <w:r>
              <w:t>Market cap</w:t>
            </w:r>
            <w:r w:rsidR="00CF273D">
              <w:t xml:space="preserve"> ($B)</w:t>
            </w:r>
          </w:p>
        </w:tc>
        <w:tc>
          <w:tcPr>
            <w:tcW w:w="1413" w:type="dxa"/>
            <w:shd w:val="clear" w:color="auto" w:fill="FFE599" w:themeFill="accent4" w:themeFillTint="66"/>
          </w:tcPr>
          <w:p w:rsidR="003C317C" w:rsidRDefault="005C5CCE" w:rsidP="005C5CCE">
            <w:pPr>
              <w:jc w:val="center"/>
            </w:pPr>
            <w:r>
              <w:t>210.70</w:t>
            </w:r>
          </w:p>
        </w:tc>
        <w:tc>
          <w:tcPr>
            <w:tcW w:w="1414" w:type="dxa"/>
          </w:tcPr>
          <w:p w:rsidR="003C317C" w:rsidRDefault="00167771" w:rsidP="005C5CCE">
            <w:pPr>
              <w:jc w:val="center"/>
            </w:pPr>
            <w:r>
              <w:t>2994</w:t>
            </w:r>
          </w:p>
        </w:tc>
        <w:tc>
          <w:tcPr>
            <w:tcW w:w="1413" w:type="dxa"/>
          </w:tcPr>
          <w:p w:rsidR="003C317C" w:rsidRDefault="00EB5EA0" w:rsidP="005C5CCE">
            <w:pPr>
              <w:jc w:val="center"/>
            </w:pPr>
            <w:r>
              <w:t>1579</w:t>
            </w:r>
          </w:p>
        </w:tc>
        <w:tc>
          <w:tcPr>
            <w:tcW w:w="1414" w:type="dxa"/>
          </w:tcPr>
          <w:p w:rsidR="003C317C" w:rsidRDefault="009F1E7C" w:rsidP="005C5CCE">
            <w:pPr>
              <w:jc w:val="center"/>
            </w:pPr>
            <w:r>
              <w:t>165</w:t>
            </w:r>
          </w:p>
        </w:tc>
        <w:tc>
          <w:tcPr>
            <w:tcW w:w="1414" w:type="dxa"/>
          </w:tcPr>
          <w:p w:rsidR="003C317C" w:rsidRDefault="0000042D" w:rsidP="005C5CCE">
            <w:pPr>
              <w:jc w:val="center"/>
            </w:pPr>
            <w:r>
              <w:t>9.65</w:t>
            </w:r>
          </w:p>
        </w:tc>
      </w:tr>
      <w:tr w:rsidR="003C317C" w:rsidTr="00724311">
        <w:trPr>
          <w:trHeight w:val="269"/>
        </w:trPr>
        <w:tc>
          <w:tcPr>
            <w:tcW w:w="0" w:type="auto"/>
          </w:tcPr>
          <w:p w:rsidR="003C317C" w:rsidRDefault="003C317C" w:rsidP="00496C40">
            <w:pPr>
              <w:jc w:val="both"/>
            </w:pPr>
            <w:r>
              <w:t>P/E</w:t>
            </w:r>
          </w:p>
        </w:tc>
        <w:tc>
          <w:tcPr>
            <w:tcW w:w="1413" w:type="dxa"/>
            <w:shd w:val="clear" w:color="auto" w:fill="FFE599" w:themeFill="accent4" w:themeFillTint="66"/>
          </w:tcPr>
          <w:p w:rsidR="003C317C" w:rsidRDefault="005C5CCE" w:rsidP="005C5CCE">
            <w:pPr>
              <w:jc w:val="center"/>
            </w:pPr>
            <w:r>
              <w:t>40.47</w:t>
            </w:r>
          </w:p>
        </w:tc>
        <w:tc>
          <w:tcPr>
            <w:tcW w:w="1414" w:type="dxa"/>
          </w:tcPr>
          <w:p w:rsidR="003C317C" w:rsidRDefault="00167771" w:rsidP="005C5CCE">
            <w:pPr>
              <w:jc w:val="center"/>
            </w:pPr>
            <w:r>
              <w:t>31.41</w:t>
            </w:r>
          </w:p>
        </w:tc>
        <w:tc>
          <w:tcPr>
            <w:tcW w:w="1413" w:type="dxa"/>
          </w:tcPr>
          <w:p w:rsidR="003C317C" w:rsidRDefault="00EB5EA0" w:rsidP="005C5CCE">
            <w:pPr>
              <w:jc w:val="center"/>
            </w:pPr>
            <w:r>
              <w:t>52.39</w:t>
            </w:r>
          </w:p>
        </w:tc>
        <w:tc>
          <w:tcPr>
            <w:tcW w:w="1414" w:type="dxa"/>
          </w:tcPr>
          <w:p w:rsidR="003C317C" w:rsidRDefault="009F1E7C" w:rsidP="005C5CCE">
            <w:pPr>
              <w:jc w:val="center"/>
            </w:pPr>
            <w:r>
              <w:t>24</w:t>
            </w:r>
          </w:p>
        </w:tc>
        <w:tc>
          <w:tcPr>
            <w:tcW w:w="1414" w:type="dxa"/>
          </w:tcPr>
          <w:p w:rsidR="003C317C" w:rsidRDefault="0000042D" w:rsidP="005C5CCE">
            <w:pPr>
              <w:jc w:val="center"/>
            </w:pPr>
            <w:r>
              <w:t>28.44</w:t>
            </w:r>
          </w:p>
        </w:tc>
      </w:tr>
      <w:tr w:rsidR="003C317C" w:rsidTr="00724311">
        <w:trPr>
          <w:trHeight w:val="269"/>
        </w:trPr>
        <w:tc>
          <w:tcPr>
            <w:tcW w:w="0" w:type="auto"/>
          </w:tcPr>
          <w:p w:rsidR="003C317C" w:rsidRDefault="003C317C" w:rsidP="00496C40">
            <w:pPr>
              <w:jc w:val="both"/>
            </w:pPr>
            <w:r>
              <w:t>P/E forward</w:t>
            </w:r>
          </w:p>
        </w:tc>
        <w:tc>
          <w:tcPr>
            <w:tcW w:w="1413" w:type="dxa"/>
            <w:shd w:val="clear" w:color="auto" w:fill="FFE599" w:themeFill="accent4" w:themeFillTint="66"/>
          </w:tcPr>
          <w:p w:rsidR="003C317C" w:rsidRDefault="000543C6" w:rsidP="005C5CCE">
            <w:pPr>
              <w:jc w:val="center"/>
            </w:pPr>
            <w:r>
              <w:t>33.67</w:t>
            </w:r>
          </w:p>
        </w:tc>
        <w:tc>
          <w:tcPr>
            <w:tcW w:w="1414" w:type="dxa"/>
          </w:tcPr>
          <w:p w:rsidR="003C317C" w:rsidRDefault="00167771" w:rsidP="005C5CCE">
            <w:pPr>
              <w:jc w:val="center"/>
            </w:pPr>
            <w:r>
              <w:t>28.23</w:t>
            </w:r>
          </w:p>
        </w:tc>
        <w:tc>
          <w:tcPr>
            <w:tcW w:w="1413" w:type="dxa"/>
          </w:tcPr>
          <w:p w:rsidR="003C317C" w:rsidRDefault="00EB5EA0" w:rsidP="005C5CCE">
            <w:pPr>
              <w:jc w:val="center"/>
            </w:pPr>
            <w:r>
              <w:t>42.21</w:t>
            </w:r>
          </w:p>
        </w:tc>
        <w:tc>
          <w:tcPr>
            <w:tcW w:w="1414" w:type="dxa"/>
          </w:tcPr>
          <w:p w:rsidR="003C317C" w:rsidRDefault="009F1E7C" w:rsidP="005C5CCE">
            <w:pPr>
              <w:jc w:val="center"/>
            </w:pPr>
            <w:r>
              <w:t>22.69</w:t>
            </w:r>
          </w:p>
        </w:tc>
        <w:tc>
          <w:tcPr>
            <w:tcW w:w="1414" w:type="dxa"/>
          </w:tcPr>
          <w:p w:rsidR="003C317C" w:rsidRDefault="0000042D" w:rsidP="005C5CCE">
            <w:pPr>
              <w:jc w:val="center"/>
            </w:pPr>
            <w:r>
              <w:t>27.91</w:t>
            </w:r>
          </w:p>
        </w:tc>
      </w:tr>
      <w:tr w:rsidR="003C317C" w:rsidTr="00724311">
        <w:trPr>
          <w:trHeight w:val="269"/>
        </w:trPr>
        <w:tc>
          <w:tcPr>
            <w:tcW w:w="0" w:type="auto"/>
          </w:tcPr>
          <w:p w:rsidR="003C317C" w:rsidRDefault="003C317C" w:rsidP="00496C40">
            <w:pPr>
              <w:jc w:val="both"/>
            </w:pPr>
            <w:r>
              <w:t>PEG</w:t>
            </w:r>
          </w:p>
        </w:tc>
        <w:tc>
          <w:tcPr>
            <w:tcW w:w="1413" w:type="dxa"/>
            <w:shd w:val="clear" w:color="auto" w:fill="FFE599" w:themeFill="accent4" w:themeFillTint="66"/>
          </w:tcPr>
          <w:p w:rsidR="003C317C" w:rsidRDefault="000543C6" w:rsidP="005C5CCE">
            <w:pPr>
              <w:jc w:val="center"/>
            </w:pPr>
            <w:r>
              <w:t>1.99</w:t>
            </w:r>
          </w:p>
        </w:tc>
        <w:tc>
          <w:tcPr>
            <w:tcW w:w="1414" w:type="dxa"/>
          </w:tcPr>
          <w:p w:rsidR="003C317C" w:rsidRDefault="00167771" w:rsidP="005C5CCE">
            <w:pPr>
              <w:jc w:val="center"/>
            </w:pPr>
            <w:r>
              <w:t>2.79</w:t>
            </w:r>
          </w:p>
        </w:tc>
        <w:tc>
          <w:tcPr>
            <w:tcW w:w="1413" w:type="dxa"/>
          </w:tcPr>
          <w:p w:rsidR="003C317C" w:rsidRDefault="00EB5EA0" w:rsidP="005C5CCE">
            <w:pPr>
              <w:jc w:val="center"/>
            </w:pPr>
            <w:r>
              <w:t>2.18</w:t>
            </w:r>
          </w:p>
        </w:tc>
        <w:tc>
          <w:tcPr>
            <w:tcW w:w="1414" w:type="dxa"/>
          </w:tcPr>
          <w:p w:rsidR="003C317C" w:rsidRDefault="009F1E7C" w:rsidP="005C5CCE">
            <w:pPr>
              <w:jc w:val="center"/>
            </w:pPr>
            <w:r>
              <w:t>2.75</w:t>
            </w:r>
          </w:p>
        </w:tc>
        <w:tc>
          <w:tcPr>
            <w:tcW w:w="1414" w:type="dxa"/>
          </w:tcPr>
          <w:p w:rsidR="003C317C" w:rsidRDefault="00DB4A2A" w:rsidP="005C5CCE">
            <w:pPr>
              <w:jc w:val="center"/>
            </w:pPr>
            <w:r>
              <w:t>2.61</w:t>
            </w:r>
          </w:p>
        </w:tc>
      </w:tr>
      <w:tr w:rsidR="003C317C" w:rsidTr="00724311">
        <w:trPr>
          <w:trHeight w:val="269"/>
        </w:trPr>
        <w:tc>
          <w:tcPr>
            <w:tcW w:w="0" w:type="auto"/>
          </w:tcPr>
          <w:p w:rsidR="003C317C" w:rsidRDefault="00CF273D" w:rsidP="00496C40">
            <w:pPr>
              <w:jc w:val="both"/>
            </w:pPr>
            <w:r>
              <w:t>EV/EBIT</w:t>
            </w:r>
          </w:p>
        </w:tc>
        <w:tc>
          <w:tcPr>
            <w:tcW w:w="1413" w:type="dxa"/>
            <w:shd w:val="clear" w:color="auto" w:fill="FFE599" w:themeFill="accent4" w:themeFillTint="66"/>
          </w:tcPr>
          <w:p w:rsidR="003C317C" w:rsidRDefault="000543C6" w:rsidP="005C5CCE">
            <w:pPr>
              <w:jc w:val="center"/>
            </w:pPr>
            <w:r>
              <w:t>31.37</w:t>
            </w:r>
          </w:p>
        </w:tc>
        <w:tc>
          <w:tcPr>
            <w:tcW w:w="1414" w:type="dxa"/>
          </w:tcPr>
          <w:p w:rsidR="003C317C" w:rsidRDefault="00613F1F" w:rsidP="005C5CCE">
            <w:pPr>
              <w:jc w:val="center"/>
            </w:pPr>
            <w:r>
              <w:t>26.90</w:t>
            </w:r>
          </w:p>
        </w:tc>
        <w:tc>
          <w:tcPr>
            <w:tcW w:w="1413" w:type="dxa"/>
          </w:tcPr>
          <w:p w:rsidR="003C317C" w:rsidRDefault="001D0DEA" w:rsidP="005C5CCE">
            <w:pPr>
              <w:jc w:val="center"/>
            </w:pPr>
            <w:r>
              <w:t>64</w:t>
            </w:r>
          </w:p>
        </w:tc>
        <w:tc>
          <w:tcPr>
            <w:tcW w:w="1414" w:type="dxa"/>
          </w:tcPr>
          <w:p w:rsidR="003C317C" w:rsidRDefault="00825826" w:rsidP="005C5CCE">
            <w:pPr>
              <w:jc w:val="center"/>
            </w:pPr>
            <w:r>
              <w:t>33</w:t>
            </w:r>
          </w:p>
        </w:tc>
        <w:tc>
          <w:tcPr>
            <w:tcW w:w="1414" w:type="dxa"/>
          </w:tcPr>
          <w:p w:rsidR="003C317C" w:rsidRDefault="00DB4A2A" w:rsidP="005C5CCE">
            <w:pPr>
              <w:jc w:val="center"/>
            </w:pPr>
            <w:r>
              <w:t>-65</w:t>
            </w:r>
          </w:p>
        </w:tc>
      </w:tr>
      <w:tr w:rsidR="003C317C" w:rsidTr="00724311">
        <w:trPr>
          <w:trHeight w:val="269"/>
        </w:trPr>
        <w:tc>
          <w:tcPr>
            <w:tcW w:w="0" w:type="auto"/>
          </w:tcPr>
          <w:p w:rsidR="003C317C" w:rsidRPr="00CF273D" w:rsidRDefault="00CF273D" w:rsidP="00496C40">
            <w:pPr>
              <w:jc w:val="both"/>
              <w:rPr>
                <w:b/>
              </w:rPr>
            </w:pPr>
            <w:r w:rsidRPr="00CF273D">
              <w:rPr>
                <w:b/>
              </w:rPr>
              <w:t>Solvency</w:t>
            </w:r>
          </w:p>
        </w:tc>
        <w:tc>
          <w:tcPr>
            <w:tcW w:w="1413" w:type="dxa"/>
            <w:shd w:val="clear" w:color="auto" w:fill="FFE599" w:themeFill="accent4" w:themeFillTint="66"/>
          </w:tcPr>
          <w:p w:rsidR="003C317C" w:rsidRDefault="003C317C" w:rsidP="005C5CCE">
            <w:pPr>
              <w:jc w:val="center"/>
            </w:pPr>
          </w:p>
        </w:tc>
        <w:tc>
          <w:tcPr>
            <w:tcW w:w="1414" w:type="dxa"/>
          </w:tcPr>
          <w:p w:rsidR="003C317C" w:rsidRDefault="003C317C" w:rsidP="005C5CCE">
            <w:pPr>
              <w:jc w:val="center"/>
            </w:pPr>
          </w:p>
        </w:tc>
        <w:tc>
          <w:tcPr>
            <w:tcW w:w="1413" w:type="dxa"/>
          </w:tcPr>
          <w:p w:rsidR="003C317C" w:rsidRDefault="003C317C" w:rsidP="005C5CCE">
            <w:pPr>
              <w:jc w:val="center"/>
            </w:pPr>
          </w:p>
        </w:tc>
        <w:tc>
          <w:tcPr>
            <w:tcW w:w="1414" w:type="dxa"/>
          </w:tcPr>
          <w:p w:rsidR="003C317C" w:rsidRDefault="003C317C" w:rsidP="005C5CCE">
            <w:pPr>
              <w:jc w:val="center"/>
            </w:pPr>
          </w:p>
        </w:tc>
        <w:tc>
          <w:tcPr>
            <w:tcW w:w="1414" w:type="dxa"/>
          </w:tcPr>
          <w:p w:rsidR="003C317C" w:rsidRDefault="003C317C" w:rsidP="005C5CCE">
            <w:pPr>
              <w:jc w:val="center"/>
            </w:pPr>
          </w:p>
        </w:tc>
      </w:tr>
      <w:tr w:rsidR="003C317C" w:rsidTr="00724311">
        <w:trPr>
          <w:trHeight w:val="269"/>
        </w:trPr>
        <w:tc>
          <w:tcPr>
            <w:tcW w:w="0" w:type="auto"/>
          </w:tcPr>
          <w:p w:rsidR="003C317C" w:rsidRDefault="00CF273D" w:rsidP="00496C40">
            <w:pPr>
              <w:jc w:val="both"/>
            </w:pPr>
            <w:r>
              <w:t>D/E</w:t>
            </w:r>
          </w:p>
        </w:tc>
        <w:tc>
          <w:tcPr>
            <w:tcW w:w="1413" w:type="dxa"/>
            <w:shd w:val="clear" w:color="auto" w:fill="FFE599" w:themeFill="accent4" w:themeFillTint="66"/>
          </w:tcPr>
          <w:p w:rsidR="003C317C" w:rsidRDefault="000543C6" w:rsidP="005C5CCE">
            <w:pPr>
              <w:jc w:val="center"/>
            </w:pPr>
            <w:r>
              <w:t>1.37</w:t>
            </w:r>
          </w:p>
        </w:tc>
        <w:tc>
          <w:tcPr>
            <w:tcW w:w="1414" w:type="dxa"/>
          </w:tcPr>
          <w:p w:rsidR="003C317C" w:rsidRDefault="00167771" w:rsidP="005C5CCE">
            <w:pPr>
              <w:jc w:val="center"/>
            </w:pPr>
            <w:r>
              <w:t>4.67</w:t>
            </w:r>
          </w:p>
        </w:tc>
        <w:tc>
          <w:tcPr>
            <w:tcW w:w="1413" w:type="dxa"/>
          </w:tcPr>
          <w:p w:rsidR="003C317C" w:rsidRDefault="00EB5EA0" w:rsidP="005C5CCE">
            <w:pPr>
              <w:jc w:val="center"/>
            </w:pPr>
            <w:r>
              <w:t>1.61</w:t>
            </w:r>
          </w:p>
        </w:tc>
        <w:tc>
          <w:tcPr>
            <w:tcW w:w="1414" w:type="dxa"/>
          </w:tcPr>
          <w:p w:rsidR="003C317C" w:rsidRDefault="009F1E7C" w:rsidP="005C5CCE">
            <w:pPr>
              <w:jc w:val="center"/>
            </w:pPr>
            <w:r>
              <w:t>0.82</w:t>
            </w:r>
          </w:p>
        </w:tc>
        <w:tc>
          <w:tcPr>
            <w:tcW w:w="1414" w:type="dxa"/>
          </w:tcPr>
          <w:p w:rsidR="003C317C" w:rsidRDefault="00DB4A2A" w:rsidP="005C5CCE">
            <w:pPr>
              <w:jc w:val="center"/>
            </w:pPr>
            <w:r>
              <w:t>1.32</w:t>
            </w:r>
          </w:p>
        </w:tc>
      </w:tr>
      <w:tr w:rsidR="003C317C" w:rsidTr="00724311">
        <w:trPr>
          <w:trHeight w:val="269"/>
        </w:trPr>
        <w:tc>
          <w:tcPr>
            <w:tcW w:w="0" w:type="auto"/>
          </w:tcPr>
          <w:p w:rsidR="003C317C" w:rsidRPr="00CF273D" w:rsidRDefault="00CF273D" w:rsidP="00496C40">
            <w:pPr>
              <w:jc w:val="both"/>
              <w:rPr>
                <w:b/>
              </w:rPr>
            </w:pPr>
            <w:r w:rsidRPr="00CF273D">
              <w:rPr>
                <w:b/>
              </w:rPr>
              <w:t>Profitability</w:t>
            </w:r>
          </w:p>
        </w:tc>
        <w:tc>
          <w:tcPr>
            <w:tcW w:w="1413" w:type="dxa"/>
            <w:shd w:val="clear" w:color="auto" w:fill="FFE599" w:themeFill="accent4" w:themeFillTint="66"/>
          </w:tcPr>
          <w:p w:rsidR="003C317C" w:rsidRDefault="003C317C" w:rsidP="005C5CCE">
            <w:pPr>
              <w:jc w:val="center"/>
            </w:pPr>
          </w:p>
        </w:tc>
        <w:tc>
          <w:tcPr>
            <w:tcW w:w="1414" w:type="dxa"/>
          </w:tcPr>
          <w:p w:rsidR="003C317C" w:rsidRDefault="003C317C" w:rsidP="005C5CCE">
            <w:pPr>
              <w:jc w:val="center"/>
            </w:pPr>
          </w:p>
        </w:tc>
        <w:tc>
          <w:tcPr>
            <w:tcW w:w="1413" w:type="dxa"/>
          </w:tcPr>
          <w:p w:rsidR="003C317C" w:rsidRDefault="003C317C" w:rsidP="005C5CCE">
            <w:pPr>
              <w:jc w:val="center"/>
            </w:pPr>
          </w:p>
        </w:tc>
        <w:tc>
          <w:tcPr>
            <w:tcW w:w="1414" w:type="dxa"/>
          </w:tcPr>
          <w:p w:rsidR="003C317C" w:rsidRDefault="003C317C" w:rsidP="005C5CCE">
            <w:pPr>
              <w:jc w:val="center"/>
            </w:pPr>
          </w:p>
        </w:tc>
        <w:tc>
          <w:tcPr>
            <w:tcW w:w="1414" w:type="dxa"/>
          </w:tcPr>
          <w:p w:rsidR="003C317C" w:rsidRDefault="003C317C" w:rsidP="005C5CCE">
            <w:pPr>
              <w:jc w:val="center"/>
            </w:pPr>
          </w:p>
        </w:tc>
      </w:tr>
      <w:tr w:rsidR="00CF273D" w:rsidTr="00724311">
        <w:trPr>
          <w:trHeight w:val="269"/>
        </w:trPr>
        <w:tc>
          <w:tcPr>
            <w:tcW w:w="0" w:type="auto"/>
          </w:tcPr>
          <w:p w:rsidR="00CF273D" w:rsidRDefault="00CF273D" w:rsidP="00496C40">
            <w:pPr>
              <w:jc w:val="both"/>
            </w:pPr>
            <w:r>
              <w:t>ROE</w:t>
            </w:r>
          </w:p>
        </w:tc>
        <w:tc>
          <w:tcPr>
            <w:tcW w:w="1413" w:type="dxa"/>
            <w:shd w:val="clear" w:color="auto" w:fill="FFE599" w:themeFill="accent4" w:themeFillTint="66"/>
          </w:tcPr>
          <w:p w:rsidR="00CF273D" w:rsidRDefault="000543C6" w:rsidP="005C5CCE">
            <w:pPr>
              <w:jc w:val="center"/>
            </w:pPr>
            <w:r>
              <w:t>26.27%</w:t>
            </w:r>
          </w:p>
        </w:tc>
        <w:tc>
          <w:tcPr>
            <w:tcW w:w="1414" w:type="dxa"/>
          </w:tcPr>
          <w:p w:rsidR="00CF273D" w:rsidRDefault="00167771" w:rsidP="005C5CCE">
            <w:pPr>
              <w:jc w:val="center"/>
            </w:pPr>
            <w:r>
              <w:t>156%</w:t>
            </w:r>
          </w:p>
        </w:tc>
        <w:tc>
          <w:tcPr>
            <w:tcW w:w="1413" w:type="dxa"/>
          </w:tcPr>
          <w:p w:rsidR="00CF273D" w:rsidRDefault="00EB5EA0" w:rsidP="005C5CCE">
            <w:pPr>
              <w:jc w:val="center"/>
            </w:pPr>
            <w:r>
              <w:t>15.07%</w:t>
            </w:r>
          </w:p>
        </w:tc>
        <w:tc>
          <w:tcPr>
            <w:tcW w:w="1414" w:type="dxa"/>
          </w:tcPr>
          <w:p w:rsidR="00CF273D" w:rsidRDefault="009F1E7C" w:rsidP="005C5CCE">
            <w:pPr>
              <w:jc w:val="center"/>
            </w:pPr>
            <w:r>
              <w:t>2.08</w:t>
            </w:r>
            <w:r w:rsidR="00825826">
              <w:t>%</w:t>
            </w:r>
          </w:p>
        </w:tc>
        <w:tc>
          <w:tcPr>
            <w:tcW w:w="1414" w:type="dxa"/>
          </w:tcPr>
          <w:p w:rsidR="00CF273D" w:rsidRDefault="00DB4A2A" w:rsidP="005C5CCE">
            <w:pPr>
              <w:jc w:val="center"/>
            </w:pPr>
            <w:r>
              <w:t>-2.64%</w:t>
            </w:r>
          </w:p>
        </w:tc>
      </w:tr>
      <w:tr w:rsidR="003C317C" w:rsidTr="00724311">
        <w:trPr>
          <w:trHeight w:val="269"/>
        </w:trPr>
        <w:tc>
          <w:tcPr>
            <w:tcW w:w="0" w:type="auto"/>
          </w:tcPr>
          <w:p w:rsidR="003C317C" w:rsidRDefault="00CF273D" w:rsidP="00496C40">
            <w:pPr>
              <w:jc w:val="both"/>
            </w:pPr>
            <w:r>
              <w:t>EBIT/revenue</w:t>
            </w:r>
          </w:p>
        </w:tc>
        <w:tc>
          <w:tcPr>
            <w:tcW w:w="1413" w:type="dxa"/>
            <w:shd w:val="clear" w:color="auto" w:fill="FFE599" w:themeFill="accent4" w:themeFillTint="66"/>
          </w:tcPr>
          <w:p w:rsidR="003C317C" w:rsidRDefault="001F015F" w:rsidP="005C5CCE">
            <w:pPr>
              <w:jc w:val="center"/>
            </w:pPr>
            <w:r>
              <w:t>20.62</w:t>
            </w:r>
            <w:r w:rsidR="000543C6">
              <w:t>%</w:t>
            </w:r>
          </w:p>
        </w:tc>
        <w:tc>
          <w:tcPr>
            <w:tcW w:w="1414" w:type="dxa"/>
          </w:tcPr>
          <w:p w:rsidR="003C317C" w:rsidRDefault="004719E4" w:rsidP="005C5CCE">
            <w:pPr>
              <w:jc w:val="center"/>
            </w:pPr>
            <w:r>
              <w:t>29.82%</w:t>
            </w:r>
          </w:p>
        </w:tc>
        <w:tc>
          <w:tcPr>
            <w:tcW w:w="1413" w:type="dxa"/>
          </w:tcPr>
          <w:p w:rsidR="003C317C" w:rsidRDefault="001D0DEA" w:rsidP="005C5CCE">
            <w:pPr>
              <w:jc w:val="center"/>
            </w:pPr>
            <w:r>
              <w:t>4.33</w:t>
            </w:r>
            <w:r w:rsidR="0038365F">
              <w:t>%</w:t>
            </w:r>
          </w:p>
        </w:tc>
        <w:tc>
          <w:tcPr>
            <w:tcW w:w="1414" w:type="dxa"/>
          </w:tcPr>
          <w:p w:rsidR="003C317C" w:rsidRDefault="00825826" w:rsidP="005C5CCE">
            <w:pPr>
              <w:jc w:val="center"/>
            </w:pPr>
            <w:r>
              <w:t>6.72%</w:t>
            </w:r>
          </w:p>
        </w:tc>
        <w:tc>
          <w:tcPr>
            <w:tcW w:w="1414" w:type="dxa"/>
          </w:tcPr>
          <w:p w:rsidR="003C317C" w:rsidRDefault="00DB4A2A" w:rsidP="005C5CCE">
            <w:pPr>
              <w:jc w:val="center"/>
            </w:pPr>
            <w:r>
              <w:t>-1.12%</w:t>
            </w:r>
          </w:p>
        </w:tc>
      </w:tr>
    </w:tbl>
    <w:p w:rsidR="003C317C" w:rsidRDefault="00724311" w:rsidP="00496C40">
      <w:pPr>
        <w:spacing w:after="0"/>
        <w:jc w:val="both"/>
      </w:pPr>
      <w:r>
        <w:t>Data: 2023 annual report</w:t>
      </w:r>
    </w:p>
    <w:p w:rsidR="00806AED" w:rsidRDefault="00806AED" w:rsidP="00F772A3">
      <w:pPr>
        <w:spacing w:after="0"/>
      </w:pPr>
    </w:p>
    <w:p w:rsidR="00C27428" w:rsidRDefault="00C27428" w:rsidP="00F772A3">
      <w:pPr>
        <w:spacing w:after="0"/>
      </w:pPr>
      <w:r>
        <w:rPr>
          <w:noProof/>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7428" w:rsidRDefault="00C27428" w:rsidP="00F772A3">
      <w:pPr>
        <w:spacing w:after="0"/>
      </w:pPr>
    </w:p>
    <w:p w:rsidR="00C27428" w:rsidRDefault="00C27428" w:rsidP="00F772A3">
      <w:pPr>
        <w:spacing w:after="0"/>
      </w:pPr>
      <w:r>
        <w:rPr>
          <w:noProof/>
        </w:rPr>
        <w:lastRenderedPageBreak/>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27428" w:rsidRDefault="00C27428" w:rsidP="00F772A3">
      <w:pPr>
        <w:spacing w:after="0"/>
      </w:pPr>
    </w:p>
    <w:p w:rsidR="00C27428" w:rsidRDefault="00C27428" w:rsidP="00F772A3">
      <w:pPr>
        <w:spacing w:after="0"/>
      </w:pPr>
      <w:r>
        <w:rPr>
          <w:noProof/>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5D9C" w:rsidRDefault="00C65D9C" w:rsidP="00F772A3">
      <w:pPr>
        <w:spacing w:after="0"/>
      </w:pPr>
    </w:p>
    <w:p w:rsidR="0038365F" w:rsidRDefault="0038365F" w:rsidP="0038365F">
      <w:pPr>
        <w:spacing w:after="0"/>
        <w:jc w:val="both"/>
      </w:pPr>
      <w:r w:rsidRPr="009E47F0">
        <w:rPr>
          <w:b/>
        </w:rPr>
        <w:t>Comparable Financial Metrics:</w:t>
      </w:r>
      <w:r w:rsidR="00714449">
        <w:rPr>
          <w:b/>
        </w:rPr>
        <w:t xml:space="preserve"> </w:t>
      </w:r>
      <w:r w:rsidR="00714449">
        <w:t>Similarities on PEG, enterprise multiple and P/E however Apple, Amazon and Paramount stand out in market cap. The former two o</w:t>
      </w:r>
      <w:r w:rsidR="00F37FAD">
        <w:t>perate</w:t>
      </w:r>
      <w:r w:rsidR="00714449">
        <w:t xml:space="preserve"> in other industries as well and the latter is small compared to Netflix. </w:t>
      </w:r>
      <w:r>
        <w:t xml:space="preserve"> </w:t>
      </w:r>
    </w:p>
    <w:p w:rsidR="0038365F" w:rsidRDefault="0038365F" w:rsidP="0038365F">
      <w:pPr>
        <w:spacing w:after="0"/>
        <w:jc w:val="both"/>
      </w:pPr>
    </w:p>
    <w:p w:rsidR="0038365F" w:rsidRDefault="0038365F" w:rsidP="0038365F">
      <w:pPr>
        <w:spacing w:after="0"/>
        <w:jc w:val="both"/>
      </w:pPr>
      <w:r w:rsidRPr="00821C4A">
        <w:rPr>
          <w:b/>
        </w:rPr>
        <w:t>Similar Industry Positioning:</w:t>
      </w:r>
      <w:r>
        <w:t xml:space="preserve"> </w:t>
      </w:r>
      <w:r w:rsidR="00714449">
        <w:t xml:space="preserve">All </w:t>
      </w:r>
      <w:r w:rsidR="00F37FAD">
        <w:t xml:space="preserve">five </w:t>
      </w:r>
      <w:r w:rsidR="00714449">
        <w:t>companies operate in the entertainment industry</w:t>
      </w:r>
      <w:r>
        <w:t xml:space="preserve"> with glo</w:t>
      </w:r>
      <w:r w:rsidR="00714449">
        <w:t>bal reach providing similar services</w:t>
      </w:r>
      <w:r>
        <w:t xml:space="preserve"> to va</w:t>
      </w:r>
      <w:r w:rsidR="00714449">
        <w:t xml:space="preserve">rious market segments. </w:t>
      </w:r>
      <w:r w:rsidR="00F37FAD">
        <w:t xml:space="preserve">Apple and Amazon also provide products and services which support the entertainment aspect or on certain selected products compete with it. </w:t>
      </w:r>
    </w:p>
    <w:p w:rsidR="0038365F" w:rsidRDefault="0038365F" w:rsidP="0038365F">
      <w:pPr>
        <w:spacing w:after="0"/>
        <w:jc w:val="both"/>
      </w:pPr>
    </w:p>
    <w:p w:rsidR="0038365F" w:rsidRPr="005E1071" w:rsidRDefault="0038365F" w:rsidP="0038365F">
      <w:pPr>
        <w:spacing w:after="0"/>
        <w:jc w:val="both"/>
      </w:pPr>
      <w:r w:rsidRPr="005E1071">
        <w:rPr>
          <w:b/>
        </w:rPr>
        <w:t xml:space="preserve">Comparable </w:t>
      </w:r>
      <w:r w:rsidR="007C6D52">
        <w:rPr>
          <w:b/>
        </w:rPr>
        <w:t xml:space="preserve">debt </w:t>
      </w:r>
      <w:r w:rsidRPr="005E1071">
        <w:rPr>
          <w:b/>
        </w:rPr>
        <w:t>sustainability performance:</w:t>
      </w:r>
      <w:r w:rsidR="00936FBD">
        <w:t xml:space="preserve"> With the exception of Apple, all companies display similar and healthy debt-to-equity ratios</w:t>
      </w:r>
      <w:r>
        <w:t>.</w:t>
      </w:r>
    </w:p>
    <w:p w:rsidR="0038365F" w:rsidRDefault="0038365F" w:rsidP="0038365F">
      <w:pPr>
        <w:spacing w:after="0"/>
        <w:jc w:val="both"/>
      </w:pPr>
    </w:p>
    <w:p w:rsidR="0038365F" w:rsidRDefault="0038365F" w:rsidP="0038365F">
      <w:pPr>
        <w:spacing w:after="0"/>
        <w:jc w:val="both"/>
      </w:pPr>
      <w:r w:rsidRPr="005E1071">
        <w:rPr>
          <w:b/>
        </w:rPr>
        <w:lastRenderedPageBreak/>
        <w:t>Comparable Customer Base:</w:t>
      </w:r>
      <w:r>
        <w:rPr>
          <w:b/>
        </w:rPr>
        <w:t xml:space="preserve"> </w:t>
      </w:r>
      <w:r w:rsidR="00326BB4">
        <w:t>Considering the core service offered by Netflix, all</w:t>
      </w:r>
      <w:r>
        <w:t xml:space="preserve"> companies </w:t>
      </w:r>
      <w:r w:rsidR="00326BB4">
        <w:t>attract a similar customer base undifferentiated by financial status</w:t>
      </w:r>
      <w:r>
        <w:t xml:space="preserve">. </w:t>
      </w:r>
    </w:p>
    <w:p w:rsidR="0038365F" w:rsidRDefault="0038365F" w:rsidP="0038365F">
      <w:pPr>
        <w:spacing w:after="0"/>
        <w:jc w:val="both"/>
      </w:pPr>
    </w:p>
    <w:p w:rsidR="00534A3E" w:rsidRDefault="0038365F" w:rsidP="0038365F">
      <w:pPr>
        <w:spacing w:after="0"/>
      </w:pPr>
      <w:r w:rsidRPr="00496C40">
        <w:rPr>
          <w:b/>
        </w:rPr>
        <w:t>In conclusion</w:t>
      </w:r>
      <w:r>
        <w:t xml:space="preserve">, </w:t>
      </w:r>
      <w:r w:rsidR="00326BB4">
        <w:t>Apple and Amazon are outliers in terms of size and products/services and Paramount is a small business in comparison to Netflix, however, all five companies have enough in common in the way of financial metrics, industry positioning and debt sustainability characteristics to reinforce their peer group status. Although, it must be noted that the almost same service, target audience, the ‘biggest and most widely known ones’ in the sector and global reach are the main reasons to include them in the same peer group.</w:t>
      </w: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534A3E" w:rsidRDefault="00534A3E"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p>
    <w:p w:rsidR="00C65D9C" w:rsidRDefault="00C65D9C" w:rsidP="0038365F">
      <w:pPr>
        <w:spacing w:after="0"/>
      </w:pPr>
      <w:r w:rsidRPr="00B624AA">
        <w:rPr>
          <w:b/>
          <w:u w:val="single"/>
        </w:rPr>
        <w:lastRenderedPageBreak/>
        <w:t xml:space="preserve">Comparison analysis to </w:t>
      </w:r>
      <w:proofErr w:type="spellStart"/>
      <w:r w:rsidRPr="00B624AA">
        <w:rPr>
          <w:b/>
          <w:u w:val="single"/>
        </w:rPr>
        <w:t>Nvidia</w:t>
      </w:r>
      <w:proofErr w:type="spellEnd"/>
      <w:r w:rsidRPr="00B624AA">
        <w:rPr>
          <w:b/>
          <w:u w:val="single"/>
        </w:rPr>
        <w:t xml:space="preserve"> Corp. (Broadcom Corp., Advanced Micro Devices Inc., Qualcomm Inc., Intel Corp.)</w:t>
      </w:r>
    </w:p>
    <w:p w:rsidR="00C65D9C" w:rsidRDefault="00C65D9C" w:rsidP="0038365F">
      <w:pPr>
        <w:spacing w:after="0"/>
      </w:pPr>
    </w:p>
    <w:tbl>
      <w:tblPr>
        <w:tblStyle w:val="TableGrid"/>
        <w:tblW w:w="9209" w:type="dxa"/>
        <w:tblLook w:val="04A0" w:firstRow="1" w:lastRow="0" w:firstColumn="1" w:lastColumn="0" w:noHBand="0" w:noVBand="1"/>
      </w:tblPr>
      <w:tblGrid>
        <w:gridCol w:w="2196"/>
        <w:gridCol w:w="1402"/>
        <w:gridCol w:w="1403"/>
        <w:gridCol w:w="1402"/>
        <w:gridCol w:w="1403"/>
        <w:gridCol w:w="1403"/>
      </w:tblGrid>
      <w:tr w:rsidR="00534A3E" w:rsidTr="00B624AA">
        <w:trPr>
          <w:trHeight w:val="269"/>
        </w:trPr>
        <w:tc>
          <w:tcPr>
            <w:tcW w:w="0" w:type="auto"/>
          </w:tcPr>
          <w:p w:rsidR="00534A3E" w:rsidRDefault="00534A3E" w:rsidP="0038365F"/>
        </w:tc>
        <w:tc>
          <w:tcPr>
            <w:tcW w:w="1402" w:type="dxa"/>
            <w:shd w:val="clear" w:color="auto" w:fill="FFE599" w:themeFill="accent4" w:themeFillTint="66"/>
          </w:tcPr>
          <w:p w:rsidR="00534A3E" w:rsidRPr="00B624AA" w:rsidRDefault="00534A3E" w:rsidP="005A3FF5">
            <w:pPr>
              <w:jc w:val="center"/>
              <w:rPr>
                <w:b/>
              </w:rPr>
            </w:pPr>
            <w:proofErr w:type="spellStart"/>
            <w:r w:rsidRPr="00B624AA">
              <w:rPr>
                <w:b/>
              </w:rPr>
              <w:t>Nvidia</w:t>
            </w:r>
            <w:proofErr w:type="spellEnd"/>
          </w:p>
        </w:tc>
        <w:tc>
          <w:tcPr>
            <w:tcW w:w="1403" w:type="dxa"/>
          </w:tcPr>
          <w:p w:rsidR="00534A3E" w:rsidRPr="00B624AA" w:rsidRDefault="00534A3E" w:rsidP="005A3FF5">
            <w:pPr>
              <w:jc w:val="center"/>
              <w:rPr>
                <w:b/>
              </w:rPr>
            </w:pPr>
            <w:r w:rsidRPr="00B624AA">
              <w:rPr>
                <w:b/>
              </w:rPr>
              <w:t>Broadcom</w:t>
            </w:r>
          </w:p>
        </w:tc>
        <w:tc>
          <w:tcPr>
            <w:tcW w:w="1402" w:type="dxa"/>
          </w:tcPr>
          <w:p w:rsidR="00534A3E" w:rsidRPr="00B624AA" w:rsidRDefault="00534A3E" w:rsidP="005A3FF5">
            <w:pPr>
              <w:jc w:val="center"/>
              <w:rPr>
                <w:b/>
              </w:rPr>
            </w:pPr>
            <w:r w:rsidRPr="00B624AA">
              <w:rPr>
                <w:b/>
              </w:rPr>
              <w:t>AMD</w:t>
            </w:r>
          </w:p>
        </w:tc>
        <w:tc>
          <w:tcPr>
            <w:tcW w:w="1403" w:type="dxa"/>
          </w:tcPr>
          <w:p w:rsidR="00534A3E" w:rsidRPr="00B624AA" w:rsidRDefault="00534A3E" w:rsidP="005A3FF5">
            <w:pPr>
              <w:jc w:val="center"/>
              <w:rPr>
                <w:b/>
              </w:rPr>
            </w:pPr>
            <w:r w:rsidRPr="00B624AA">
              <w:rPr>
                <w:b/>
              </w:rPr>
              <w:t>Qualcomm</w:t>
            </w:r>
          </w:p>
        </w:tc>
        <w:tc>
          <w:tcPr>
            <w:tcW w:w="1403" w:type="dxa"/>
          </w:tcPr>
          <w:p w:rsidR="00534A3E" w:rsidRPr="00B624AA" w:rsidRDefault="00534A3E" w:rsidP="005A3FF5">
            <w:pPr>
              <w:jc w:val="center"/>
              <w:rPr>
                <w:b/>
              </w:rPr>
            </w:pPr>
            <w:r w:rsidRPr="00B624AA">
              <w:rPr>
                <w:b/>
              </w:rPr>
              <w:t>Intel</w:t>
            </w:r>
          </w:p>
        </w:tc>
      </w:tr>
      <w:tr w:rsidR="00534A3E" w:rsidTr="00B624AA">
        <w:trPr>
          <w:trHeight w:val="269"/>
        </w:trPr>
        <w:tc>
          <w:tcPr>
            <w:tcW w:w="0" w:type="auto"/>
          </w:tcPr>
          <w:p w:rsidR="00534A3E" w:rsidRPr="00534A3E" w:rsidRDefault="00534A3E" w:rsidP="0038365F">
            <w:pPr>
              <w:rPr>
                <w:b/>
              </w:rPr>
            </w:pPr>
            <w:r w:rsidRPr="00534A3E">
              <w:rPr>
                <w:b/>
              </w:rPr>
              <w:t>Valuation multiples</w:t>
            </w:r>
          </w:p>
        </w:tc>
        <w:tc>
          <w:tcPr>
            <w:tcW w:w="1402" w:type="dxa"/>
            <w:shd w:val="clear" w:color="auto" w:fill="FFE599" w:themeFill="accent4" w:themeFillTint="66"/>
          </w:tcPr>
          <w:p w:rsidR="00534A3E" w:rsidRDefault="00534A3E" w:rsidP="005A3FF5">
            <w:pPr>
              <w:jc w:val="center"/>
            </w:pPr>
          </w:p>
        </w:tc>
        <w:tc>
          <w:tcPr>
            <w:tcW w:w="1403" w:type="dxa"/>
          </w:tcPr>
          <w:p w:rsidR="00534A3E" w:rsidRDefault="00534A3E" w:rsidP="005A3FF5">
            <w:pPr>
              <w:jc w:val="center"/>
            </w:pPr>
          </w:p>
        </w:tc>
        <w:tc>
          <w:tcPr>
            <w:tcW w:w="1402" w:type="dxa"/>
          </w:tcPr>
          <w:p w:rsidR="00534A3E" w:rsidRDefault="00534A3E" w:rsidP="005A3FF5">
            <w:pPr>
              <w:jc w:val="center"/>
            </w:pPr>
          </w:p>
        </w:tc>
        <w:tc>
          <w:tcPr>
            <w:tcW w:w="1403" w:type="dxa"/>
          </w:tcPr>
          <w:p w:rsidR="00534A3E" w:rsidRDefault="00534A3E" w:rsidP="005A3FF5">
            <w:pPr>
              <w:jc w:val="center"/>
            </w:pPr>
          </w:p>
        </w:tc>
        <w:tc>
          <w:tcPr>
            <w:tcW w:w="1403" w:type="dxa"/>
          </w:tcPr>
          <w:p w:rsidR="00534A3E" w:rsidRDefault="00534A3E" w:rsidP="005A3FF5">
            <w:pPr>
              <w:jc w:val="center"/>
            </w:pPr>
          </w:p>
        </w:tc>
      </w:tr>
      <w:tr w:rsidR="00534A3E" w:rsidTr="00B624AA">
        <w:trPr>
          <w:trHeight w:val="269"/>
        </w:trPr>
        <w:tc>
          <w:tcPr>
            <w:tcW w:w="0" w:type="auto"/>
          </w:tcPr>
          <w:p w:rsidR="00534A3E" w:rsidRDefault="00534A3E" w:rsidP="0038365F">
            <w:r>
              <w:t>Price (29.12.2023.) ($)</w:t>
            </w:r>
          </w:p>
        </w:tc>
        <w:tc>
          <w:tcPr>
            <w:tcW w:w="1402" w:type="dxa"/>
            <w:shd w:val="clear" w:color="auto" w:fill="FFE599" w:themeFill="accent4" w:themeFillTint="66"/>
          </w:tcPr>
          <w:p w:rsidR="00534A3E" w:rsidRDefault="009C4542" w:rsidP="005A3FF5">
            <w:pPr>
              <w:jc w:val="center"/>
            </w:pPr>
            <w:r>
              <w:t>49.52</w:t>
            </w:r>
          </w:p>
        </w:tc>
        <w:tc>
          <w:tcPr>
            <w:tcW w:w="1403" w:type="dxa"/>
          </w:tcPr>
          <w:p w:rsidR="00534A3E" w:rsidRDefault="00566461" w:rsidP="005A3FF5">
            <w:pPr>
              <w:jc w:val="center"/>
            </w:pPr>
            <w:r>
              <w:t>111.63</w:t>
            </w:r>
          </w:p>
        </w:tc>
        <w:tc>
          <w:tcPr>
            <w:tcW w:w="1402" w:type="dxa"/>
          </w:tcPr>
          <w:p w:rsidR="00534A3E" w:rsidRDefault="001961C6" w:rsidP="005A3FF5">
            <w:pPr>
              <w:jc w:val="center"/>
            </w:pPr>
            <w:r>
              <w:t>147.41</w:t>
            </w:r>
          </w:p>
        </w:tc>
        <w:tc>
          <w:tcPr>
            <w:tcW w:w="1403" w:type="dxa"/>
          </w:tcPr>
          <w:p w:rsidR="00534A3E" w:rsidRDefault="00A13826" w:rsidP="005A3FF5">
            <w:pPr>
              <w:jc w:val="center"/>
            </w:pPr>
            <w:r>
              <w:t>144.63</w:t>
            </w:r>
          </w:p>
        </w:tc>
        <w:tc>
          <w:tcPr>
            <w:tcW w:w="1403" w:type="dxa"/>
          </w:tcPr>
          <w:p w:rsidR="00534A3E" w:rsidRDefault="00B8044D" w:rsidP="005A3FF5">
            <w:pPr>
              <w:jc w:val="center"/>
            </w:pPr>
            <w:r>
              <w:t>50.25</w:t>
            </w:r>
          </w:p>
        </w:tc>
      </w:tr>
      <w:tr w:rsidR="00534A3E" w:rsidTr="00B624AA">
        <w:trPr>
          <w:trHeight w:val="269"/>
        </w:trPr>
        <w:tc>
          <w:tcPr>
            <w:tcW w:w="0" w:type="auto"/>
          </w:tcPr>
          <w:p w:rsidR="00534A3E" w:rsidRDefault="00534A3E" w:rsidP="0038365F">
            <w:r>
              <w:t>Market cap ($B)</w:t>
            </w:r>
          </w:p>
        </w:tc>
        <w:tc>
          <w:tcPr>
            <w:tcW w:w="1402" w:type="dxa"/>
            <w:shd w:val="clear" w:color="auto" w:fill="FFE599" w:themeFill="accent4" w:themeFillTint="66"/>
          </w:tcPr>
          <w:p w:rsidR="00534A3E" w:rsidRDefault="009C4542" w:rsidP="005A3FF5">
            <w:pPr>
              <w:jc w:val="center"/>
            </w:pPr>
            <w:r>
              <w:t>3182.50</w:t>
            </w:r>
          </w:p>
        </w:tc>
        <w:tc>
          <w:tcPr>
            <w:tcW w:w="1403" w:type="dxa"/>
          </w:tcPr>
          <w:p w:rsidR="00534A3E" w:rsidRDefault="009C4542" w:rsidP="005A3FF5">
            <w:pPr>
              <w:jc w:val="center"/>
            </w:pPr>
            <w:r>
              <w:t>774.39</w:t>
            </w:r>
          </w:p>
        </w:tc>
        <w:tc>
          <w:tcPr>
            <w:tcW w:w="1402" w:type="dxa"/>
          </w:tcPr>
          <w:p w:rsidR="00534A3E" w:rsidRDefault="009C4542" w:rsidP="005A3FF5">
            <w:pPr>
              <w:jc w:val="center"/>
            </w:pPr>
            <w:r>
              <w:t>250.83</w:t>
            </w:r>
          </w:p>
        </w:tc>
        <w:tc>
          <w:tcPr>
            <w:tcW w:w="1403" w:type="dxa"/>
          </w:tcPr>
          <w:p w:rsidR="00534A3E" w:rsidRDefault="009C4542" w:rsidP="005A3FF5">
            <w:pPr>
              <w:jc w:val="center"/>
            </w:pPr>
            <w:r>
              <w:t>193.28</w:t>
            </w:r>
          </w:p>
        </w:tc>
        <w:tc>
          <w:tcPr>
            <w:tcW w:w="1403" w:type="dxa"/>
          </w:tcPr>
          <w:p w:rsidR="00534A3E" w:rsidRDefault="009C4542" w:rsidP="005A3FF5">
            <w:pPr>
              <w:jc w:val="center"/>
            </w:pPr>
            <w:r>
              <w:t>87.83</w:t>
            </w:r>
          </w:p>
        </w:tc>
      </w:tr>
      <w:tr w:rsidR="00534A3E" w:rsidTr="00B624AA">
        <w:trPr>
          <w:trHeight w:val="269"/>
        </w:trPr>
        <w:tc>
          <w:tcPr>
            <w:tcW w:w="0" w:type="auto"/>
          </w:tcPr>
          <w:p w:rsidR="00534A3E" w:rsidRDefault="00534A3E" w:rsidP="0038365F">
            <w:r>
              <w:t>P/E</w:t>
            </w:r>
          </w:p>
        </w:tc>
        <w:tc>
          <w:tcPr>
            <w:tcW w:w="1402" w:type="dxa"/>
            <w:shd w:val="clear" w:color="auto" w:fill="FFE599" w:themeFill="accent4" w:themeFillTint="66"/>
          </w:tcPr>
          <w:p w:rsidR="00534A3E" w:rsidRDefault="009C4542" w:rsidP="005A3FF5">
            <w:pPr>
              <w:jc w:val="center"/>
            </w:pPr>
            <w:r>
              <w:t>38</w:t>
            </w:r>
          </w:p>
        </w:tc>
        <w:tc>
          <w:tcPr>
            <w:tcW w:w="1403" w:type="dxa"/>
          </w:tcPr>
          <w:p w:rsidR="00534A3E" w:rsidRDefault="00566461" w:rsidP="005A3FF5">
            <w:pPr>
              <w:jc w:val="center"/>
            </w:pPr>
            <w:r>
              <w:t>26.39</w:t>
            </w:r>
          </w:p>
        </w:tc>
        <w:tc>
          <w:tcPr>
            <w:tcW w:w="1402" w:type="dxa"/>
          </w:tcPr>
          <w:p w:rsidR="00534A3E" w:rsidRDefault="001961C6" w:rsidP="005A3FF5">
            <w:pPr>
              <w:jc w:val="center"/>
            </w:pPr>
            <w:r>
              <w:t>55.63</w:t>
            </w:r>
          </w:p>
        </w:tc>
        <w:tc>
          <w:tcPr>
            <w:tcW w:w="1403" w:type="dxa"/>
          </w:tcPr>
          <w:p w:rsidR="00534A3E" w:rsidRDefault="00A13826" w:rsidP="005A3FF5">
            <w:pPr>
              <w:jc w:val="center"/>
            </w:pPr>
            <w:r>
              <w:t>17.16</w:t>
            </w:r>
          </w:p>
        </w:tc>
        <w:tc>
          <w:tcPr>
            <w:tcW w:w="1403" w:type="dxa"/>
          </w:tcPr>
          <w:p w:rsidR="00534A3E" w:rsidRDefault="00B8044D" w:rsidP="005A3FF5">
            <w:pPr>
              <w:jc w:val="center"/>
            </w:pPr>
            <w:r>
              <w:t>47.86</w:t>
            </w:r>
          </w:p>
        </w:tc>
      </w:tr>
      <w:tr w:rsidR="00534A3E" w:rsidTr="00B624AA">
        <w:trPr>
          <w:trHeight w:val="269"/>
        </w:trPr>
        <w:tc>
          <w:tcPr>
            <w:tcW w:w="0" w:type="auto"/>
          </w:tcPr>
          <w:p w:rsidR="00534A3E" w:rsidRDefault="00534A3E" w:rsidP="0038365F">
            <w:r>
              <w:t>P/E forward</w:t>
            </w:r>
          </w:p>
        </w:tc>
        <w:tc>
          <w:tcPr>
            <w:tcW w:w="1402" w:type="dxa"/>
            <w:shd w:val="clear" w:color="auto" w:fill="FFE599" w:themeFill="accent4" w:themeFillTint="66"/>
          </w:tcPr>
          <w:p w:rsidR="00534A3E" w:rsidRDefault="009C4542" w:rsidP="005A3FF5">
            <w:pPr>
              <w:jc w:val="center"/>
            </w:pPr>
            <w:r>
              <w:t>26.91</w:t>
            </w:r>
          </w:p>
        </w:tc>
        <w:tc>
          <w:tcPr>
            <w:tcW w:w="1403" w:type="dxa"/>
          </w:tcPr>
          <w:p w:rsidR="00534A3E" w:rsidRDefault="00566461" w:rsidP="005A3FF5">
            <w:pPr>
              <w:jc w:val="center"/>
            </w:pPr>
            <w:r>
              <w:t>20.67</w:t>
            </w:r>
          </w:p>
        </w:tc>
        <w:tc>
          <w:tcPr>
            <w:tcW w:w="1402" w:type="dxa"/>
          </w:tcPr>
          <w:p w:rsidR="00534A3E" w:rsidRDefault="001961C6" w:rsidP="005A3FF5">
            <w:pPr>
              <w:jc w:val="center"/>
            </w:pPr>
            <w:r>
              <w:t>34.93</w:t>
            </w:r>
          </w:p>
        </w:tc>
        <w:tc>
          <w:tcPr>
            <w:tcW w:w="1403" w:type="dxa"/>
          </w:tcPr>
          <w:p w:rsidR="00534A3E" w:rsidRDefault="00A13826" w:rsidP="005A3FF5">
            <w:pPr>
              <w:jc w:val="center"/>
            </w:pPr>
            <w:r>
              <w:t>15.44</w:t>
            </w:r>
          </w:p>
        </w:tc>
        <w:tc>
          <w:tcPr>
            <w:tcW w:w="1403" w:type="dxa"/>
          </w:tcPr>
          <w:p w:rsidR="00534A3E" w:rsidRDefault="00B8044D" w:rsidP="005A3FF5">
            <w:pPr>
              <w:jc w:val="center"/>
            </w:pPr>
            <w:r>
              <w:t>36.95</w:t>
            </w:r>
          </w:p>
        </w:tc>
      </w:tr>
      <w:tr w:rsidR="00534A3E" w:rsidTr="00B624AA">
        <w:trPr>
          <w:trHeight w:val="269"/>
        </w:trPr>
        <w:tc>
          <w:tcPr>
            <w:tcW w:w="0" w:type="auto"/>
          </w:tcPr>
          <w:p w:rsidR="00534A3E" w:rsidRDefault="00534A3E" w:rsidP="0038365F">
            <w:r>
              <w:t>PEG</w:t>
            </w:r>
          </w:p>
        </w:tc>
        <w:tc>
          <w:tcPr>
            <w:tcW w:w="1402" w:type="dxa"/>
            <w:shd w:val="clear" w:color="auto" w:fill="FFE599" w:themeFill="accent4" w:themeFillTint="66"/>
          </w:tcPr>
          <w:p w:rsidR="00534A3E" w:rsidRDefault="009C4542" w:rsidP="005A3FF5">
            <w:pPr>
              <w:jc w:val="center"/>
            </w:pPr>
            <w:r>
              <w:t>0.91</w:t>
            </w:r>
          </w:p>
        </w:tc>
        <w:tc>
          <w:tcPr>
            <w:tcW w:w="1403" w:type="dxa"/>
          </w:tcPr>
          <w:p w:rsidR="00534A3E" w:rsidRDefault="00566461" w:rsidP="005A3FF5">
            <w:pPr>
              <w:jc w:val="center"/>
            </w:pPr>
            <w:r>
              <w:t>1.8</w:t>
            </w:r>
          </w:p>
        </w:tc>
        <w:tc>
          <w:tcPr>
            <w:tcW w:w="1402" w:type="dxa"/>
          </w:tcPr>
          <w:p w:rsidR="00534A3E" w:rsidRDefault="001961C6" w:rsidP="005A3FF5">
            <w:pPr>
              <w:jc w:val="center"/>
            </w:pPr>
            <w:r>
              <w:t>1.77</w:t>
            </w:r>
          </w:p>
        </w:tc>
        <w:tc>
          <w:tcPr>
            <w:tcW w:w="1403" w:type="dxa"/>
          </w:tcPr>
          <w:p w:rsidR="00534A3E" w:rsidRDefault="00A13826" w:rsidP="005A3FF5">
            <w:pPr>
              <w:jc w:val="center"/>
            </w:pPr>
            <w:r>
              <w:t>1.26</w:t>
            </w:r>
          </w:p>
        </w:tc>
        <w:tc>
          <w:tcPr>
            <w:tcW w:w="1403" w:type="dxa"/>
          </w:tcPr>
          <w:p w:rsidR="00534A3E" w:rsidRDefault="00B8044D" w:rsidP="005A3FF5">
            <w:pPr>
              <w:jc w:val="center"/>
            </w:pPr>
            <w:r>
              <w:t>3.06</w:t>
            </w:r>
          </w:p>
        </w:tc>
      </w:tr>
      <w:tr w:rsidR="00534A3E" w:rsidTr="00B624AA">
        <w:trPr>
          <w:trHeight w:val="269"/>
        </w:trPr>
        <w:tc>
          <w:tcPr>
            <w:tcW w:w="0" w:type="auto"/>
          </w:tcPr>
          <w:p w:rsidR="00534A3E" w:rsidRDefault="00534A3E" w:rsidP="0038365F">
            <w:r>
              <w:t>EV/EBITDA</w:t>
            </w:r>
          </w:p>
        </w:tc>
        <w:tc>
          <w:tcPr>
            <w:tcW w:w="1402" w:type="dxa"/>
            <w:shd w:val="clear" w:color="auto" w:fill="FFE599" w:themeFill="accent4" w:themeFillTint="66"/>
          </w:tcPr>
          <w:p w:rsidR="00534A3E" w:rsidRDefault="00ED3B07" w:rsidP="005A3FF5">
            <w:pPr>
              <w:jc w:val="center"/>
            </w:pPr>
            <w:r>
              <w:t>92.52</w:t>
            </w:r>
          </w:p>
        </w:tc>
        <w:tc>
          <w:tcPr>
            <w:tcW w:w="1403" w:type="dxa"/>
          </w:tcPr>
          <w:p w:rsidR="00534A3E" w:rsidRDefault="00857E17" w:rsidP="005A3FF5">
            <w:pPr>
              <w:jc w:val="center"/>
            </w:pPr>
            <w:r>
              <w:t>39.58</w:t>
            </w:r>
          </w:p>
        </w:tc>
        <w:tc>
          <w:tcPr>
            <w:tcW w:w="1402" w:type="dxa"/>
          </w:tcPr>
          <w:p w:rsidR="00534A3E" w:rsidRDefault="00C616D4" w:rsidP="005A3FF5">
            <w:pPr>
              <w:jc w:val="center"/>
            </w:pPr>
            <w:r>
              <w:t>64.77</w:t>
            </w:r>
          </w:p>
        </w:tc>
        <w:tc>
          <w:tcPr>
            <w:tcW w:w="1403" w:type="dxa"/>
          </w:tcPr>
          <w:p w:rsidR="00534A3E" w:rsidRDefault="007D2AE9" w:rsidP="005A3FF5">
            <w:pPr>
              <w:jc w:val="center"/>
            </w:pPr>
            <w:r>
              <w:t>19.14</w:t>
            </w:r>
          </w:p>
        </w:tc>
        <w:tc>
          <w:tcPr>
            <w:tcW w:w="1403" w:type="dxa"/>
          </w:tcPr>
          <w:p w:rsidR="00534A3E" w:rsidRDefault="009E345B" w:rsidP="005A3FF5">
            <w:pPr>
              <w:jc w:val="center"/>
            </w:pPr>
            <w:r>
              <w:t>13.50</w:t>
            </w:r>
          </w:p>
        </w:tc>
      </w:tr>
      <w:tr w:rsidR="00534A3E" w:rsidTr="00B624AA">
        <w:trPr>
          <w:trHeight w:val="269"/>
        </w:trPr>
        <w:tc>
          <w:tcPr>
            <w:tcW w:w="0" w:type="auto"/>
          </w:tcPr>
          <w:p w:rsidR="00534A3E" w:rsidRPr="00534A3E" w:rsidRDefault="00534A3E" w:rsidP="0038365F">
            <w:pPr>
              <w:rPr>
                <w:b/>
              </w:rPr>
            </w:pPr>
            <w:r w:rsidRPr="00534A3E">
              <w:rPr>
                <w:b/>
              </w:rPr>
              <w:t>Solvency</w:t>
            </w:r>
          </w:p>
        </w:tc>
        <w:tc>
          <w:tcPr>
            <w:tcW w:w="1402" w:type="dxa"/>
            <w:shd w:val="clear" w:color="auto" w:fill="FFE599" w:themeFill="accent4" w:themeFillTint="66"/>
          </w:tcPr>
          <w:p w:rsidR="00534A3E" w:rsidRDefault="00534A3E" w:rsidP="005A3FF5">
            <w:pPr>
              <w:jc w:val="center"/>
            </w:pPr>
          </w:p>
        </w:tc>
        <w:tc>
          <w:tcPr>
            <w:tcW w:w="1403" w:type="dxa"/>
          </w:tcPr>
          <w:p w:rsidR="00534A3E" w:rsidRDefault="00534A3E" w:rsidP="005A3FF5">
            <w:pPr>
              <w:jc w:val="center"/>
            </w:pPr>
          </w:p>
        </w:tc>
        <w:tc>
          <w:tcPr>
            <w:tcW w:w="1402" w:type="dxa"/>
          </w:tcPr>
          <w:p w:rsidR="00534A3E" w:rsidRDefault="00534A3E" w:rsidP="005A3FF5">
            <w:pPr>
              <w:jc w:val="center"/>
            </w:pPr>
          </w:p>
        </w:tc>
        <w:tc>
          <w:tcPr>
            <w:tcW w:w="1403" w:type="dxa"/>
          </w:tcPr>
          <w:p w:rsidR="00534A3E" w:rsidRDefault="00534A3E" w:rsidP="005A3FF5">
            <w:pPr>
              <w:jc w:val="center"/>
            </w:pPr>
          </w:p>
        </w:tc>
        <w:tc>
          <w:tcPr>
            <w:tcW w:w="1403" w:type="dxa"/>
          </w:tcPr>
          <w:p w:rsidR="00534A3E" w:rsidRDefault="00534A3E" w:rsidP="005A3FF5">
            <w:pPr>
              <w:jc w:val="center"/>
            </w:pPr>
          </w:p>
        </w:tc>
      </w:tr>
      <w:tr w:rsidR="00534A3E" w:rsidTr="00B624AA">
        <w:trPr>
          <w:trHeight w:val="269"/>
        </w:trPr>
        <w:tc>
          <w:tcPr>
            <w:tcW w:w="0" w:type="auto"/>
          </w:tcPr>
          <w:p w:rsidR="00534A3E" w:rsidRDefault="00534A3E" w:rsidP="0038365F">
            <w:r>
              <w:t>D/E</w:t>
            </w:r>
          </w:p>
        </w:tc>
        <w:tc>
          <w:tcPr>
            <w:tcW w:w="1402" w:type="dxa"/>
            <w:shd w:val="clear" w:color="auto" w:fill="FFE599" w:themeFill="accent4" w:themeFillTint="66"/>
          </w:tcPr>
          <w:p w:rsidR="00534A3E" w:rsidRDefault="009C0C22" w:rsidP="005A3FF5">
            <w:pPr>
              <w:jc w:val="center"/>
            </w:pPr>
            <w:r>
              <w:t>0.53</w:t>
            </w:r>
          </w:p>
        </w:tc>
        <w:tc>
          <w:tcPr>
            <w:tcW w:w="1403" w:type="dxa"/>
          </w:tcPr>
          <w:p w:rsidR="00534A3E" w:rsidRDefault="00566461" w:rsidP="005A3FF5">
            <w:pPr>
              <w:jc w:val="center"/>
            </w:pPr>
            <w:r>
              <w:t>2.04</w:t>
            </w:r>
          </w:p>
        </w:tc>
        <w:tc>
          <w:tcPr>
            <w:tcW w:w="1402" w:type="dxa"/>
          </w:tcPr>
          <w:p w:rsidR="00534A3E" w:rsidRDefault="001961C6" w:rsidP="005A3FF5">
            <w:pPr>
              <w:jc w:val="center"/>
            </w:pPr>
            <w:r>
              <w:t>0.21</w:t>
            </w:r>
          </w:p>
        </w:tc>
        <w:tc>
          <w:tcPr>
            <w:tcW w:w="1403" w:type="dxa"/>
          </w:tcPr>
          <w:p w:rsidR="00534A3E" w:rsidRDefault="00A13826" w:rsidP="005A3FF5">
            <w:pPr>
              <w:jc w:val="center"/>
            </w:pPr>
            <w:r>
              <w:t>1.37</w:t>
            </w:r>
          </w:p>
        </w:tc>
        <w:tc>
          <w:tcPr>
            <w:tcW w:w="1403" w:type="dxa"/>
          </w:tcPr>
          <w:p w:rsidR="00534A3E" w:rsidRDefault="00B8044D" w:rsidP="005A3FF5">
            <w:pPr>
              <w:jc w:val="center"/>
            </w:pPr>
            <w:r>
              <w:t>0.74</w:t>
            </w:r>
          </w:p>
        </w:tc>
      </w:tr>
      <w:tr w:rsidR="00534A3E" w:rsidTr="00B624AA">
        <w:trPr>
          <w:trHeight w:val="269"/>
        </w:trPr>
        <w:tc>
          <w:tcPr>
            <w:tcW w:w="0" w:type="auto"/>
          </w:tcPr>
          <w:p w:rsidR="00534A3E" w:rsidRPr="00534A3E" w:rsidRDefault="00534A3E" w:rsidP="0038365F">
            <w:pPr>
              <w:rPr>
                <w:b/>
              </w:rPr>
            </w:pPr>
            <w:r w:rsidRPr="00534A3E">
              <w:rPr>
                <w:b/>
              </w:rPr>
              <w:t>Profitability</w:t>
            </w:r>
          </w:p>
        </w:tc>
        <w:tc>
          <w:tcPr>
            <w:tcW w:w="1402" w:type="dxa"/>
            <w:shd w:val="clear" w:color="auto" w:fill="FFE599" w:themeFill="accent4" w:themeFillTint="66"/>
          </w:tcPr>
          <w:p w:rsidR="00534A3E" w:rsidRDefault="00534A3E" w:rsidP="005A3FF5">
            <w:pPr>
              <w:jc w:val="center"/>
            </w:pPr>
          </w:p>
        </w:tc>
        <w:tc>
          <w:tcPr>
            <w:tcW w:w="1403" w:type="dxa"/>
          </w:tcPr>
          <w:p w:rsidR="00534A3E" w:rsidRDefault="00534A3E" w:rsidP="005A3FF5">
            <w:pPr>
              <w:jc w:val="center"/>
            </w:pPr>
          </w:p>
        </w:tc>
        <w:tc>
          <w:tcPr>
            <w:tcW w:w="1402" w:type="dxa"/>
          </w:tcPr>
          <w:p w:rsidR="00534A3E" w:rsidRDefault="00534A3E" w:rsidP="005A3FF5">
            <w:pPr>
              <w:jc w:val="center"/>
            </w:pPr>
          </w:p>
        </w:tc>
        <w:tc>
          <w:tcPr>
            <w:tcW w:w="1403" w:type="dxa"/>
          </w:tcPr>
          <w:p w:rsidR="00534A3E" w:rsidRDefault="00534A3E" w:rsidP="005A3FF5">
            <w:pPr>
              <w:jc w:val="center"/>
            </w:pPr>
          </w:p>
        </w:tc>
        <w:tc>
          <w:tcPr>
            <w:tcW w:w="1403" w:type="dxa"/>
          </w:tcPr>
          <w:p w:rsidR="00534A3E" w:rsidRDefault="00534A3E" w:rsidP="005A3FF5">
            <w:pPr>
              <w:jc w:val="center"/>
            </w:pPr>
          </w:p>
        </w:tc>
      </w:tr>
      <w:tr w:rsidR="00534A3E" w:rsidTr="00B624AA">
        <w:trPr>
          <w:trHeight w:val="269"/>
        </w:trPr>
        <w:tc>
          <w:tcPr>
            <w:tcW w:w="0" w:type="auto"/>
          </w:tcPr>
          <w:p w:rsidR="00534A3E" w:rsidRDefault="00534A3E" w:rsidP="0038365F">
            <w:r>
              <w:t>ROE</w:t>
            </w:r>
          </w:p>
        </w:tc>
        <w:tc>
          <w:tcPr>
            <w:tcW w:w="1402" w:type="dxa"/>
            <w:shd w:val="clear" w:color="auto" w:fill="FFE599" w:themeFill="accent4" w:themeFillTint="66"/>
          </w:tcPr>
          <w:p w:rsidR="00534A3E" w:rsidRDefault="009C0C22" w:rsidP="005A3FF5">
            <w:pPr>
              <w:jc w:val="center"/>
            </w:pPr>
            <w:r>
              <w:t>69.24%</w:t>
            </w:r>
          </w:p>
        </w:tc>
        <w:tc>
          <w:tcPr>
            <w:tcW w:w="1403" w:type="dxa"/>
          </w:tcPr>
          <w:p w:rsidR="00534A3E" w:rsidRDefault="00566461" w:rsidP="005A3FF5">
            <w:pPr>
              <w:jc w:val="center"/>
            </w:pPr>
            <w:r>
              <w:t>58.69%</w:t>
            </w:r>
          </w:p>
        </w:tc>
        <w:tc>
          <w:tcPr>
            <w:tcW w:w="1402" w:type="dxa"/>
          </w:tcPr>
          <w:p w:rsidR="00534A3E" w:rsidRDefault="001961C6" w:rsidP="005A3FF5">
            <w:pPr>
              <w:jc w:val="center"/>
            </w:pPr>
            <w:r>
              <w:t>1.53%</w:t>
            </w:r>
          </w:p>
        </w:tc>
        <w:tc>
          <w:tcPr>
            <w:tcW w:w="1403" w:type="dxa"/>
          </w:tcPr>
          <w:p w:rsidR="00534A3E" w:rsidRDefault="00A13826" w:rsidP="005A3FF5">
            <w:pPr>
              <w:jc w:val="center"/>
            </w:pPr>
            <w:r>
              <w:t>33.50%</w:t>
            </w:r>
          </w:p>
        </w:tc>
        <w:tc>
          <w:tcPr>
            <w:tcW w:w="1403" w:type="dxa"/>
          </w:tcPr>
          <w:p w:rsidR="00534A3E" w:rsidRDefault="00B8044D" w:rsidP="005A3FF5">
            <w:pPr>
              <w:jc w:val="center"/>
            </w:pPr>
            <w:r>
              <w:t>1.54%</w:t>
            </w:r>
          </w:p>
        </w:tc>
      </w:tr>
      <w:tr w:rsidR="00534A3E" w:rsidTr="00B624AA">
        <w:trPr>
          <w:trHeight w:val="269"/>
        </w:trPr>
        <w:tc>
          <w:tcPr>
            <w:tcW w:w="0" w:type="auto"/>
          </w:tcPr>
          <w:p w:rsidR="00534A3E" w:rsidRDefault="00534A3E" w:rsidP="0038365F">
            <w:r>
              <w:t>EBITDA/revenue</w:t>
            </w:r>
          </w:p>
        </w:tc>
        <w:tc>
          <w:tcPr>
            <w:tcW w:w="1402" w:type="dxa"/>
            <w:shd w:val="clear" w:color="auto" w:fill="FFE599" w:themeFill="accent4" w:themeFillTint="66"/>
          </w:tcPr>
          <w:p w:rsidR="00534A3E" w:rsidRDefault="009C0C22" w:rsidP="005A3FF5">
            <w:pPr>
              <w:jc w:val="center"/>
            </w:pPr>
            <w:r>
              <w:t>56.60%</w:t>
            </w:r>
          </w:p>
        </w:tc>
        <w:tc>
          <w:tcPr>
            <w:tcW w:w="1403" w:type="dxa"/>
          </w:tcPr>
          <w:p w:rsidR="00534A3E" w:rsidRDefault="00566461" w:rsidP="005A3FF5">
            <w:pPr>
              <w:jc w:val="center"/>
            </w:pPr>
            <w:r>
              <w:t>56.39%</w:t>
            </w:r>
          </w:p>
        </w:tc>
        <w:tc>
          <w:tcPr>
            <w:tcW w:w="1402" w:type="dxa"/>
          </w:tcPr>
          <w:p w:rsidR="00534A3E" w:rsidRDefault="001961C6" w:rsidP="005A3FF5">
            <w:pPr>
              <w:jc w:val="center"/>
            </w:pPr>
            <w:r>
              <w:t>16.98%</w:t>
            </w:r>
          </w:p>
        </w:tc>
        <w:tc>
          <w:tcPr>
            <w:tcW w:w="1403" w:type="dxa"/>
          </w:tcPr>
          <w:p w:rsidR="00534A3E" w:rsidRDefault="00A13826" w:rsidP="005A3FF5">
            <w:pPr>
              <w:jc w:val="center"/>
            </w:pPr>
            <w:r>
              <w:t>29.20%</w:t>
            </w:r>
          </w:p>
        </w:tc>
        <w:tc>
          <w:tcPr>
            <w:tcW w:w="1403" w:type="dxa"/>
          </w:tcPr>
          <w:p w:rsidR="00534A3E" w:rsidRDefault="00B8044D" w:rsidP="005A3FF5">
            <w:pPr>
              <w:jc w:val="center"/>
            </w:pPr>
            <w:r>
              <w:t>17.76%</w:t>
            </w:r>
          </w:p>
        </w:tc>
      </w:tr>
      <w:tr w:rsidR="00534A3E" w:rsidTr="00B624AA">
        <w:trPr>
          <w:trHeight w:val="269"/>
        </w:trPr>
        <w:tc>
          <w:tcPr>
            <w:tcW w:w="0" w:type="auto"/>
          </w:tcPr>
          <w:p w:rsidR="00534A3E" w:rsidRDefault="00534A3E" w:rsidP="0038365F">
            <w:r>
              <w:t>Dividend yield</w:t>
            </w:r>
          </w:p>
        </w:tc>
        <w:tc>
          <w:tcPr>
            <w:tcW w:w="1402" w:type="dxa"/>
            <w:shd w:val="clear" w:color="auto" w:fill="FFE599" w:themeFill="accent4" w:themeFillTint="66"/>
          </w:tcPr>
          <w:p w:rsidR="00534A3E" w:rsidRDefault="00E91934" w:rsidP="005A3FF5">
            <w:pPr>
              <w:jc w:val="center"/>
            </w:pPr>
            <w:r>
              <w:t>0.003%</w:t>
            </w:r>
          </w:p>
        </w:tc>
        <w:tc>
          <w:tcPr>
            <w:tcW w:w="1403" w:type="dxa"/>
          </w:tcPr>
          <w:p w:rsidR="00534A3E" w:rsidRDefault="00566461" w:rsidP="005A3FF5">
            <w:pPr>
              <w:jc w:val="center"/>
            </w:pPr>
            <w:r>
              <w:t>6%</w:t>
            </w:r>
          </w:p>
        </w:tc>
        <w:tc>
          <w:tcPr>
            <w:tcW w:w="1402" w:type="dxa"/>
          </w:tcPr>
          <w:p w:rsidR="00534A3E" w:rsidRDefault="001961C6" w:rsidP="005A3FF5">
            <w:pPr>
              <w:jc w:val="center"/>
            </w:pPr>
            <w:r>
              <w:t>-</w:t>
            </w:r>
          </w:p>
        </w:tc>
        <w:tc>
          <w:tcPr>
            <w:tcW w:w="1403" w:type="dxa"/>
          </w:tcPr>
          <w:p w:rsidR="00534A3E" w:rsidRDefault="00A13826" w:rsidP="005A3FF5">
            <w:pPr>
              <w:jc w:val="center"/>
            </w:pPr>
            <w:r>
              <w:t>2.14%</w:t>
            </w:r>
          </w:p>
        </w:tc>
        <w:tc>
          <w:tcPr>
            <w:tcW w:w="1403" w:type="dxa"/>
          </w:tcPr>
          <w:p w:rsidR="00534A3E" w:rsidRDefault="009E345B" w:rsidP="005A3FF5">
            <w:pPr>
              <w:jc w:val="center"/>
            </w:pPr>
            <w:r>
              <w:t>2.77%</w:t>
            </w:r>
          </w:p>
        </w:tc>
      </w:tr>
    </w:tbl>
    <w:p w:rsidR="00B624AA" w:rsidRDefault="00B624AA" w:rsidP="0038365F">
      <w:pPr>
        <w:spacing w:after="0"/>
      </w:pPr>
      <w:r>
        <w:t>Data: 2023 annual report</w:t>
      </w:r>
    </w:p>
    <w:p w:rsidR="00B624AA" w:rsidRDefault="00B624AA" w:rsidP="0038365F">
      <w:pPr>
        <w:spacing w:after="0"/>
      </w:pPr>
    </w:p>
    <w:p w:rsidR="0038365F" w:rsidRDefault="00C65D9C" w:rsidP="0038365F">
      <w:pPr>
        <w:spacing w:after="0"/>
        <w:rPr>
          <w:b/>
          <w:u w:val="single"/>
        </w:rPr>
      </w:pPr>
      <w:r>
        <w:rPr>
          <w:b/>
          <w:noProof/>
          <w:u w:val="single"/>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1CF7" w:rsidRDefault="00F31CF7" w:rsidP="0038365F">
      <w:pPr>
        <w:spacing w:after="0"/>
        <w:rPr>
          <w:b/>
          <w:u w:val="single"/>
        </w:rPr>
      </w:pPr>
    </w:p>
    <w:p w:rsidR="00F31CF7" w:rsidRDefault="00F31CF7" w:rsidP="0038365F">
      <w:pPr>
        <w:spacing w:after="0"/>
        <w:rPr>
          <w:b/>
          <w:u w:val="single"/>
        </w:rPr>
      </w:pPr>
      <w:r>
        <w:rPr>
          <w:b/>
          <w:noProof/>
          <w:u w:val="single"/>
        </w:rPr>
        <w:lastRenderedPageBreak/>
        <w:drawing>
          <wp:inline distT="0" distB="0" distL="0" distR="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1CF7" w:rsidRDefault="00F31CF7" w:rsidP="0038365F">
      <w:pPr>
        <w:spacing w:after="0"/>
        <w:rPr>
          <w:b/>
          <w:u w:val="single"/>
        </w:rPr>
      </w:pPr>
    </w:p>
    <w:p w:rsidR="00F31CF7" w:rsidRDefault="00F31CF7" w:rsidP="0038365F">
      <w:pPr>
        <w:spacing w:after="0"/>
        <w:rPr>
          <w:b/>
          <w:u w:val="single"/>
        </w:rPr>
      </w:pPr>
      <w:r>
        <w:rPr>
          <w:b/>
          <w:noProof/>
          <w:u w:val="single"/>
        </w:rPr>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24AA" w:rsidRDefault="00B624AA" w:rsidP="0038365F">
      <w:pPr>
        <w:spacing w:after="0"/>
        <w:rPr>
          <w:b/>
          <w:u w:val="single"/>
        </w:rPr>
      </w:pPr>
    </w:p>
    <w:p w:rsidR="00B624AA" w:rsidRDefault="00B624AA" w:rsidP="00B624AA">
      <w:pPr>
        <w:spacing w:after="0"/>
        <w:jc w:val="both"/>
      </w:pPr>
      <w:r w:rsidRPr="009E47F0">
        <w:rPr>
          <w:b/>
        </w:rPr>
        <w:t>Comparable Financial Metrics:</w:t>
      </w:r>
      <w:r w:rsidR="007C6D52">
        <w:t xml:space="preserve"> </w:t>
      </w:r>
      <w:proofErr w:type="spellStart"/>
      <w:r w:rsidR="007C6D52">
        <w:t>Nvidia</w:t>
      </w:r>
      <w:proofErr w:type="spellEnd"/>
      <w:r w:rsidR="007C6D52">
        <w:t xml:space="preserve"> being the absolute market leader in the semiconductor space is reflected in market cap, enterprise-to-earnings valuation and profitability margins</w:t>
      </w:r>
      <w:r>
        <w:t>.</w:t>
      </w:r>
      <w:r w:rsidR="007C6D52">
        <w:t xml:space="preserve"> Surprisingly </w:t>
      </w:r>
      <w:proofErr w:type="spellStart"/>
      <w:r w:rsidR="007C6D52">
        <w:t>Nvidia</w:t>
      </w:r>
      <w:proofErr w:type="spellEnd"/>
      <w:r w:rsidR="007C6D52">
        <w:t xml:space="preserve"> does not return the highest P/E valuation. In this regard AMD and Intel are the leaders and this is something to consider when valuing. The other four come as close to </w:t>
      </w:r>
      <w:proofErr w:type="spellStart"/>
      <w:r w:rsidR="007C6D52">
        <w:t>Nvidia</w:t>
      </w:r>
      <w:proofErr w:type="spellEnd"/>
      <w:r w:rsidR="007C6D52">
        <w:t xml:space="preserve"> as possible on these metrics within the industry.</w:t>
      </w:r>
      <w:r>
        <w:t xml:space="preserve"> </w:t>
      </w:r>
    </w:p>
    <w:p w:rsidR="00B624AA" w:rsidRDefault="00B624AA" w:rsidP="00B624AA">
      <w:pPr>
        <w:spacing w:after="0"/>
        <w:jc w:val="both"/>
      </w:pPr>
    </w:p>
    <w:p w:rsidR="00B624AA" w:rsidRDefault="00B624AA" w:rsidP="00B624AA">
      <w:pPr>
        <w:spacing w:after="0"/>
        <w:jc w:val="both"/>
      </w:pPr>
      <w:r w:rsidRPr="00821C4A">
        <w:rPr>
          <w:b/>
        </w:rPr>
        <w:t>Similar Industry Positioning:</w:t>
      </w:r>
      <w:r>
        <w:t xml:space="preserve"> All </w:t>
      </w:r>
      <w:r w:rsidR="007C6D52">
        <w:t>five companies’ main business profile is high tech semiconductor development, manufacturing and software solutions operating</w:t>
      </w:r>
      <w:r>
        <w:t xml:space="preserve"> global</w:t>
      </w:r>
      <w:r w:rsidR="007C6D52">
        <w:t>ly catering to</w:t>
      </w:r>
      <w:r>
        <w:t xml:space="preserve"> market segments</w:t>
      </w:r>
      <w:r w:rsidR="007C6D52">
        <w:t xml:space="preserve"> from individual users to government and private organisations</w:t>
      </w:r>
      <w:r>
        <w:t>.</w:t>
      </w:r>
    </w:p>
    <w:p w:rsidR="00B624AA" w:rsidRDefault="00B624AA" w:rsidP="00B624AA">
      <w:pPr>
        <w:spacing w:after="0"/>
        <w:jc w:val="both"/>
      </w:pPr>
    </w:p>
    <w:p w:rsidR="00B624AA" w:rsidRDefault="00B624AA" w:rsidP="00B624AA">
      <w:pPr>
        <w:spacing w:after="0"/>
        <w:jc w:val="both"/>
      </w:pPr>
      <w:r w:rsidRPr="003235B7">
        <w:rPr>
          <w:b/>
        </w:rPr>
        <w:lastRenderedPageBreak/>
        <w:t>Equivalent Market Presence:</w:t>
      </w:r>
      <w:r>
        <w:rPr>
          <w:b/>
        </w:rPr>
        <w:t xml:space="preserve"> </w:t>
      </w:r>
      <w:r w:rsidR="007C6D52">
        <w:t xml:space="preserve">As mentioned earlier </w:t>
      </w:r>
      <w:proofErr w:type="spellStart"/>
      <w:r w:rsidR="007C6D52">
        <w:t>Nvidia</w:t>
      </w:r>
      <w:proofErr w:type="spellEnd"/>
      <w:r w:rsidR="007C6D52">
        <w:t xml:space="preserve"> is the market leader by far and it is reflected in its valuation to earnings. Despite some variations, the other four companies are the next big things in the pecking order</w:t>
      </w:r>
      <w:r>
        <w:t>.</w:t>
      </w:r>
    </w:p>
    <w:p w:rsidR="00B624AA" w:rsidRDefault="00B624AA" w:rsidP="00B624AA">
      <w:pPr>
        <w:spacing w:after="0"/>
        <w:jc w:val="both"/>
      </w:pPr>
    </w:p>
    <w:p w:rsidR="00B624AA" w:rsidRPr="005E1071" w:rsidRDefault="00B624AA" w:rsidP="00B624AA">
      <w:pPr>
        <w:spacing w:after="0"/>
        <w:jc w:val="both"/>
      </w:pPr>
      <w:r w:rsidRPr="005E1071">
        <w:rPr>
          <w:b/>
        </w:rPr>
        <w:t>Comparable</w:t>
      </w:r>
      <w:r w:rsidR="007C6D52">
        <w:rPr>
          <w:b/>
        </w:rPr>
        <w:t xml:space="preserve"> debt</w:t>
      </w:r>
      <w:r w:rsidRPr="005E1071">
        <w:rPr>
          <w:b/>
        </w:rPr>
        <w:t xml:space="preserve"> sustainability performance:</w:t>
      </w:r>
      <w:r>
        <w:rPr>
          <w:b/>
        </w:rPr>
        <w:t xml:space="preserve"> </w:t>
      </w:r>
      <w:r w:rsidR="007C6D52">
        <w:t>All five companies exhibit similar and sustainable debt ratios</w:t>
      </w:r>
      <w:r>
        <w:t>.</w:t>
      </w:r>
    </w:p>
    <w:p w:rsidR="00B624AA" w:rsidRDefault="00B624AA" w:rsidP="00B624AA">
      <w:pPr>
        <w:spacing w:after="0"/>
        <w:jc w:val="both"/>
      </w:pPr>
    </w:p>
    <w:p w:rsidR="00B624AA" w:rsidRDefault="00B624AA" w:rsidP="00B624AA">
      <w:pPr>
        <w:spacing w:after="0"/>
        <w:jc w:val="both"/>
      </w:pPr>
      <w:r w:rsidRPr="005E1071">
        <w:rPr>
          <w:b/>
        </w:rPr>
        <w:t>Comparable Customer Base:</w:t>
      </w:r>
      <w:r w:rsidR="006F1C6B">
        <w:t xml:space="preserve"> </w:t>
      </w:r>
      <w:r w:rsidR="007D57CA">
        <w:t>Revenue is generated from similar customer base with some variations (i.e. PCs from Intel) across the five companies</w:t>
      </w:r>
      <w:r>
        <w:t>.</w:t>
      </w:r>
      <w:r w:rsidR="007D57CA">
        <w:t xml:space="preserve">  </w:t>
      </w:r>
      <w:r>
        <w:t xml:space="preserve"> </w:t>
      </w:r>
    </w:p>
    <w:p w:rsidR="00B624AA" w:rsidRDefault="00B624AA" w:rsidP="00B624AA">
      <w:pPr>
        <w:spacing w:after="0"/>
        <w:jc w:val="both"/>
      </w:pPr>
    </w:p>
    <w:p w:rsidR="006447EB" w:rsidRDefault="00B624AA" w:rsidP="00B624AA">
      <w:pPr>
        <w:spacing w:after="0"/>
      </w:pPr>
      <w:r w:rsidRPr="00496C40">
        <w:rPr>
          <w:b/>
        </w:rPr>
        <w:t>In conclusion</w:t>
      </w:r>
      <w:r>
        <w:t xml:space="preserve">, </w:t>
      </w:r>
      <w:r w:rsidR="006447EB">
        <w:t xml:space="preserve">despite </w:t>
      </w:r>
      <w:proofErr w:type="spellStart"/>
      <w:r w:rsidR="006447EB">
        <w:t>Nvidia</w:t>
      </w:r>
      <w:proofErr w:type="spellEnd"/>
      <w:r w:rsidR="006447EB">
        <w:t xml:space="preserve"> being way ahead of the group in terms of market share and valuation to earnings, the companies’ other metrics and product / service offerings and similar revenue sources cement their status as peers within the industry.</w:t>
      </w:r>
    </w:p>
    <w:p w:rsidR="006447EB" w:rsidRDefault="006447EB" w:rsidP="00B624AA">
      <w:pPr>
        <w:spacing w:after="0"/>
      </w:pPr>
    </w:p>
    <w:p w:rsidR="00B624AA" w:rsidRDefault="006447EB" w:rsidP="00B624AA">
      <w:pPr>
        <w:spacing w:after="0"/>
      </w:pPr>
      <w:r>
        <w:t xml:space="preserve"> </w:t>
      </w:r>
    </w:p>
    <w:p w:rsidR="007C6D52" w:rsidRDefault="007C6D52" w:rsidP="00B624AA">
      <w:pPr>
        <w:spacing w:after="0"/>
      </w:pPr>
    </w:p>
    <w:p w:rsidR="007C6D52" w:rsidRDefault="007C6D52" w:rsidP="00B624AA">
      <w:pPr>
        <w:spacing w:after="0"/>
      </w:pPr>
    </w:p>
    <w:p w:rsidR="00B624AA" w:rsidRDefault="00B624AA"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p>
    <w:p w:rsidR="00F31CF7" w:rsidRDefault="00F31CF7" w:rsidP="00B624AA">
      <w:pPr>
        <w:spacing w:after="0"/>
      </w:pPr>
      <w:r w:rsidRPr="005042B1">
        <w:rPr>
          <w:b/>
          <w:u w:val="single"/>
        </w:rPr>
        <w:lastRenderedPageBreak/>
        <w:t xml:space="preserve">Comparison analysis to Pfizer Inc. (Eli Lilly and Co., </w:t>
      </w:r>
      <w:proofErr w:type="spellStart"/>
      <w:r w:rsidRPr="005042B1">
        <w:rPr>
          <w:b/>
          <w:u w:val="single"/>
        </w:rPr>
        <w:t>Johnson&amp;Johnson</w:t>
      </w:r>
      <w:proofErr w:type="spellEnd"/>
      <w:r w:rsidRPr="005042B1">
        <w:rPr>
          <w:b/>
          <w:u w:val="single"/>
        </w:rPr>
        <w:t xml:space="preserve">, </w:t>
      </w:r>
      <w:proofErr w:type="spellStart"/>
      <w:r w:rsidRPr="005042B1">
        <w:rPr>
          <w:b/>
          <w:u w:val="single"/>
        </w:rPr>
        <w:t>AbbVie</w:t>
      </w:r>
      <w:proofErr w:type="spellEnd"/>
      <w:r w:rsidRPr="005042B1">
        <w:rPr>
          <w:b/>
          <w:u w:val="single"/>
        </w:rPr>
        <w:t xml:space="preserve"> Inc., Merck and Co., AstraZeneca Plc.)</w:t>
      </w:r>
    </w:p>
    <w:p w:rsidR="00F31CF7" w:rsidRDefault="00F31CF7" w:rsidP="00B624AA">
      <w:pPr>
        <w:spacing w:after="0"/>
      </w:pPr>
    </w:p>
    <w:tbl>
      <w:tblPr>
        <w:tblStyle w:val="TableGrid"/>
        <w:tblW w:w="9209" w:type="dxa"/>
        <w:tblLayout w:type="fixed"/>
        <w:tblLook w:val="04A0" w:firstRow="1" w:lastRow="0" w:firstColumn="1" w:lastColumn="0" w:noHBand="0" w:noVBand="1"/>
      </w:tblPr>
      <w:tblGrid>
        <w:gridCol w:w="2263"/>
        <w:gridCol w:w="1040"/>
        <w:gridCol w:w="1181"/>
        <w:gridCol w:w="1181"/>
        <w:gridCol w:w="1181"/>
        <w:gridCol w:w="1181"/>
        <w:gridCol w:w="1182"/>
      </w:tblGrid>
      <w:tr w:rsidR="00B624AA" w:rsidRPr="00B624AA" w:rsidTr="00BB2482">
        <w:trPr>
          <w:trHeight w:val="269"/>
        </w:trPr>
        <w:tc>
          <w:tcPr>
            <w:tcW w:w="2263" w:type="dxa"/>
          </w:tcPr>
          <w:p w:rsidR="00B624AA" w:rsidRDefault="00B624AA" w:rsidP="008B20DE"/>
        </w:tc>
        <w:tc>
          <w:tcPr>
            <w:tcW w:w="1040" w:type="dxa"/>
            <w:shd w:val="clear" w:color="auto" w:fill="FFE599" w:themeFill="accent4" w:themeFillTint="66"/>
          </w:tcPr>
          <w:p w:rsidR="00B624AA" w:rsidRPr="00B624AA" w:rsidRDefault="00B624AA" w:rsidP="005042B1">
            <w:pPr>
              <w:jc w:val="center"/>
              <w:rPr>
                <w:b/>
              </w:rPr>
            </w:pPr>
            <w:r>
              <w:rPr>
                <w:b/>
              </w:rPr>
              <w:t>Pfizer</w:t>
            </w:r>
          </w:p>
        </w:tc>
        <w:tc>
          <w:tcPr>
            <w:tcW w:w="1181" w:type="dxa"/>
          </w:tcPr>
          <w:p w:rsidR="00B624AA" w:rsidRPr="00B624AA" w:rsidRDefault="00B624AA" w:rsidP="005042B1">
            <w:pPr>
              <w:jc w:val="center"/>
              <w:rPr>
                <w:b/>
              </w:rPr>
            </w:pPr>
            <w:r>
              <w:rPr>
                <w:b/>
              </w:rPr>
              <w:t>Lilly (Eli)</w:t>
            </w:r>
          </w:p>
        </w:tc>
        <w:tc>
          <w:tcPr>
            <w:tcW w:w="1181" w:type="dxa"/>
          </w:tcPr>
          <w:p w:rsidR="00B624AA" w:rsidRPr="00B624AA" w:rsidRDefault="00B624AA" w:rsidP="005042B1">
            <w:pPr>
              <w:jc w:val="center"/>
              <w:rPr>
                <w:b/>
              </w:rPr>
            </w:pPr>
            <w:proofErr w:type="spellStart"/>
            <w:r>
              <w:rPr>
                <w:b/>
              </w:rPr>
              <w:t>Johnson&amp;Johnson</w:t>
            </w:r>
            <w:proofErr w:type="spellEnd"/>
          </w:p>
        </w:tc>
        <w:tc>
          <w:tcPr>
            <w:tcW w:w="1181" w:type="dxa"/>
          </w:tcPr>
          <w:p w:rsidR="00B624AA" w:rsidRPr="00B624AA" w:rsidRDefault="00B624AA" w:rsidP="005042B1">
            <w:pPr>
              <w:jc w:val="center"/>
              <w:rPr>
                <w:b/>
              </w:rPr>
            </w:pPr>
            <w:proofErr w:type="spellStart"/>
            <w:r>
              <w:rPr>
                <w:b/>
              </w:rPr>
              <w:t>Abbvie</w:t>
            </w:r>
            <w:proofErr w:type="spellEnd"/>
          </w:p>
        </w:tc>
        <w:tc>
          <w:tcPr>
            <w:tcW w:w="1181" w:type="dxa"/>
          </w:tcPr>
          <w:p w:rsidR="00B624AA" w:rsidRPr="00B624AA" w:rsidRDefault="00B624AA" w:rsidP="005042B1">
            <w:pPr>
              <w:jc w:val="center"/>
              <w:rPr>
                <w:b/>
              </w:rPr>
            </w:pPr>
            <w:r>
              <w:rPr>
                <w:b/>
              </w:rPr>
              <w:t>Merck</w:t>
            </w:r>
          </w:p>
        </w:tc>
        <w:tc>
          <w:tcPr>
            <w:tcW w:w="1182" w:type="dxa"/>
          </w:tcPr>
          <w:p w:rsidR="00B624AA" w:rsidRDefault="005A3FF5" w:rsidP="005042B1">
            <w:pPr>
              <w:jc w:val="center"/>
              <w:rPr>
                <w:b/>
              </w:rPr>
            </w:pPr>
            <w:proofErr w:type="spellStart"/>
            <w:r>
              <w:rPr>
                <w:b/>
              </w:rPr>
              <w:t>AstraZen</w:t>
            </w:r>
            <w:proofErr w:type="spellEnd"/>
            <w:r>
              <w:rPr>
                <w:b/>
              </w:rPr>
              <w:t>.</w:t>
            </w:r>
          </w:p>
        </w:tc>
      </w:tr>
      <w:tr w:rsidR="00B624AA" w:rsidTr="00BB2482">
        <w:trPr>
          <w:trHeight w:val="269"/>
        </w:trPr>
        <w:tc>
          <w:tcPr>
            <w:tcW w:w="2263" w:type="dxa"/>
          </w:tcPr>
          <w:p w:rsidR="00B624AA" w:rsidRPr="00534A3E" w:rsidRDefault="00B624AA" w:rsidP="008B20DE">
            <w:pPr>
              <w:rPr>
                <w:b/>
              </w:rPr>
            </w:pPr>
            <w:r>
              <w:rPr>
                <w:b/>
              </w:rPr>
              <w:t>Valuation multiples</w:t>
            </w:r>
          </w:p>
        </w:tc>
        <w:tc>
          <w:tcPr>
            <w:tcW w:w="1040" w:type="dxa"/>
            <w:shd w:val="clear" w:color="auto" w:fill="FFE599" w:themeFill="accent4" w:themeFillTint="66"/>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2" w:type="dxa"/>
          </w:tcPr>
          <w:p w:rsidR="00B624AA" w:rsidRDefault="00B624AA" w:rsidP="005042B1">
            <w:pPr>
              <w:jc w:val="center"/>
            </w:pPr>
          </w:p>
        </w:tc>
      </w:tr>
      <w:tr w:rsidR="00B624AA" w:rsidTr="00BB2482">
        <w:trPr>
          <w:trHeight w:val="269"/>
        </w:trPr>
        <w:tc>
          <w:tcPr>
            <w:tcW w:w="2263" w:type="dxa"/>
          </w:tcPr>
          <w:p w:rsidR="00B624AA" w:rsidRDefault="00B624AA" w:rsidP="008B20DE">
            <w:r>
              <w:t>Price (29.12.2023.) ($)</w:t>
            </w:r>
          </w:p>
        </w:tc>
        <w:tc>
          <w:tcPr>
            <w:tcW w:w="1040" w:type="dxa"/>
            <w:shd w:val="clear" w:color="auto" w:fill="FFE599" w:themeFill="accent4" w:themeFillTint="66"/>
          </w:tcPr>
          <w:p w:rsidR="00B624AA" w:rsidRDefault="005A3FF5" w:rsidP="005042B1">
            <w:pPr>
              <w:jc w:val="center"/>
            </w:pPr>
            <w:r>
              <w:t>28.79</w:t>
            </w:r>
          </w:p>
        </w:tc>
        <w:tc>
          <w:tcPr>
            <w:tcW w:w="1181" w:type="dxa"/>
          </w:tcPr>
          <w:p w:rsidR="00B624AA" w:rsidRDefault="00BB2482" w:rsidP="005042B1">
            <w:pPr>
              <w:jc w:val="center"/>
            </w:pPr>
            <w:r>
              <w:t>582.92</w:t>
            </w:r>
          </w:p>
        </w:tc>
        <w:tc>
          <w:tcPr>
            <w:tcW w:w="1181" w:type="dxa"/>
          </w:tcPr>
          <w:p w:rsidR="00B624AA" w:rsidRDefault="006B0B9B" w:rsidP="005042B1">
            <w:pPr>
              <w:jc w:val="center"/>
            </w:pPr>
            <w:r>
              <w:t>156.74</w:t>
            </w:r>
          </w:p>
        </w:tc>
        <w:tc>
          <w:tcPr>
            <w:tcW w:w="1181" w:type="dxa"/>
          </w:tcPr>
          <w:p w:rsidR="00B624AA" w:rsidRDefault="00245E01" w:rsidP="005042B1">
            <w:pPr>
              <w:jc w:val="center"/>
            </w:pPr>
            <w:r>
              <w:t>154.97</w:t>
            </w:r>
          </w:p>
        </w:tc>
        <w:tc>
          <w:tcPr>
            <w:tcW w:w="1181" w:type="dxa"/>
          </w:tcPr>
          <w:p w:rsidR="00B624AA" w:rsidRDefault="00BC3302" w:rsidP="005042B1">
            <w:pPr>
              <w:jc w:val="center"/>
            </w:pPr>
            <w:r>
              <w:t>109.02</w:t>
            </w:r>
          </w:p>
        </w:tc>
        <w:tc>
          <w:tcPr>
            <w:tcW w:w="1182" w:type="dxa"/>
          </w:tcPr>
          <w:p w:rsidR="00B624AA" w:rsidRDefault="000A164E" w:rsidP="005042B1">
            <w:pPr>
              <w:jc w:val="center"/>
            </w:pPr>
            <w:r>
              <w:t>135</w:t>
            </w:r>
          </w:p>
        </w:tc>
      </w:tr>
      <w:tr w:rsidR="00B624AA" w:rsidTr="00BB2482">
        <w:trPr>
          <w:trHeight w:val="269"/>
        </w:trPr>
        <w:tc>
          <w:tcPr>
            <w:tcW w:w="2263" w:type="dxa"/>
          </w:tcPr>
          <w:p w:rsidR="00B624AA" w:rsidRDefault="00B624AA" w:rsidP="008B20DE">
            <w:r>
              <w:t>Market cap ($B)</w:t>
            </w:r>
          </w:p>
        </w:tc>
        <w:tc>
          <w:tcPr>
            <w:tcW w:w="1040" w:type="dxa"/>
            <w:shd w:val="clear" w:color="auto" w:fill="FFE599" w:themeFill="accent4" w:themeFillTint="66"/>
          </w:tcPr>
          <w:p w:rsidR="00B624AA" w:rsidRDefault="005A3FF5" w:rsidP="005042B1">
            <w:pPr>
              <w:jc w:val="center"/>
            </w:pPr>
            <w:r>
              <w:t>164.14</w:t>
            </w:r>
          </w:p>
        </w:tc>
        <w:tc>
          <w:tcPr>
            <w:tcW w:w="1181" w:type="dxa"/>
          </w:tcPr>
          <w:p w:rsidR="00B624AA" w:rsidRDefault="005A3FF5" w:rsidP="005042B1">
            <w:pPr>
              <w:jc w:val="center"/>
            </w:pPr>
            <w:r>
              <w:t>906.48</w:t>
            </w:r>
          </w:p>
        </w:tc>
        <w:tc>
          <w:tcPr>
            <w:tcW w:w="1181" w:type="dxa"/>
          </w:tcPr>
          <w:p w:rsidR="00B624AA" w:rsidRDefault="005A3FF5" w:rsidP="005042B1">
            <w:pPr>
              <w:jc w:val="center"/>
            </w:pPr>
            <w:r>
              <w:t>397.22</w:t>
            </w:r>
          </w:p>
        </w:tc>
        <w:tc>
          <w:tcPr>
            <w:tcW w:w="1181" w:type="dxa"/>
          </w:tcPr>
          <w:p w:rsidR="00B624AA" w:rsidRDefault="005A3FF5" w:rsidP="005042B1">
            <w:pPr>
              <w:jc w:val="center"/>
            </w:pPr>
            <w:r>
              <w:t>348.94</w:t>
            </w:r>
          </w:p>
        </w:tc>
        <w:tc>
          <w:tcPr>
            <w:tcW w:w="1181" w:type="dxa"/>
          </w:tcPr>
          <w:p w:rsidR="00B624AA" w:rsidRDefault="005A3FF5" w:rsidP="005042B1">
            <w:pPr>
              <w:jc w:val="center"/>
            </w:pPr>
            <w:r>
              <w:t>295.31</w:t>
            </w:r>
          </w:p>
        </w:tc>
        <w:tc>
          <w:tcPr>
            <w:tcW w:w="1182" w:type="dxa"/>
          </w:tcPr>
          <w:p w:rsidR="00B624AA" w:rsidRDefault="005A3FF5" w:rsidP="005042B1">
            <w:pPr>
              <w:jc w:val="center"/>
            </w:pPr>
            <w:r>
              <w:t>268.74</w:t>
            </w:r>
          </w:p>
        </w:tc>
      </w:tr>
      <w:tr w:rsidR="00B624AA" w:rsidTr="00BB2482">
        <w:trPr>
          <w:trHeight w:val="166"/>
        </w:trPr>
        <w:tc>
          <w:tcPr>
            <w:tcW w:w="2263" w:type="dxa"/>
          </w:tcPr>
          <w:p w:rsidR="00B624AA" w:rsidRDefault="00B624AA" w:rsidP="008B20DE">
            <w:r>
              <w:t>P/E</w:t>
            </w:r>
          </w:p>
        </w:tc>
        <w:tc>
          <w:tcPr>
            <w:tcW w:w="1040" w:type="dxa"/>
            <w:shd w:val="clear" w:color="auto" w:fill="FFE599" w:themeFill="accent4" w:themeFillTint="66"/>
          </w:tcPr>
          <w:p w:rsidR="00B624AA" w:rsidRDefault="005A3FF5" w:rsidP="005042B1">
            <w:pPr>
              <w:jc w:val="center"/>
            </w:pPr>
            <w:r>
              <w:t>15.65</w:t>
            </w:r>
          </w:p>
        </w:tc>
        <w:tc>
          <w:tcPr>
            <w:tcW w:w="1181" w:type="dxa"/>
          </w:tcPr>
          <w:p w:rsidR="00B624AA" w:rsidRDefault="00BB2482" w:rsidP="005042B1">
            <w:pPr>
              <w:jc w:val="center"/>
            </w:pPr>
            <w:r>
              <w:t>92.23</w:t>
            </w:r>
          </w:p>
        </w:tc>
        <w:tc>
          <w:tcPr>
            <w:tcW w:w="1181" w:type="dxa"/>
          </w:tcPr>
          <w:p w:rsidR="00B624AA" w:rsidRDefault="006B0B9B" w:rsidP="005042B1">
            <w:pPr>
              <w:jc w:val="center"/>
            </w:pPr>
            <w:r>
              <w:t>15.80</w:t>
            </w:r>
          </w:p>
        </w:tc>
        <w:tc>
          <w:tcPr>
            <w:tcW w:w="1181" w:type="dxa"/>
          </w:tcPr>
          <w:p w:rsidR="00B624AA" w:rsidRDefault="00245E01" w:rsidP="005042B1">
            <w:pPr>
              <w:jc w:val="center"/>
            </w:pPr>
            <w:r>
              <w:t>13.95</w:t>
            </w:r>
          </w:p>
        </w:tc>
        <w:tc>
          <w:tcPr>
            <w:tcW w:w="1181" w:type="dxa"/>
          </w:tcPr>
          <w:p w:rsidR="00B624AA" w:rsidRDefault="00BC3302" w:rsidP="005042B1">
            <w:pPr>
              <w:jc w:val="center"/>
            </w:pPr>
            <w:r>
              <w:t>72.20</w:t>
            </w:r>
          </w:p>
        </w:tc>
        <w:tc>
          <w:tcPr>
            <w:tcW w:w="1182" w:type="dxa"/>
          </w:tcPr>
          <w:p w:rsidR="00B624AA" w:rsidRDefault="000A164E" w:rsidP="005042B1">
            <w:pPr>
              <w:jc w:val="center"/>
            </w:pPr>
            <w:r>
              <w:t>18.60</w:t>
            </w:r>
          </w:p>
        </w:tc>
      </w:tr>
      <w:tr w:rsidR="00B624AA" w:rsidTr="00BB2482">
        <w:trPr>
          <w:trHeight w:val="269"/>
        </w:trPr>
        <w:tc>
          <w:tcPr>
            <w:tcW w:w="2263" w:type="dxa"/>
          </w:tcPr>
          <w:p w:rsidR="00B624AA" w:rsidRDefault="00B624AA" w:rsidP="008B20DE">
            <w:r>
              <w:t>P/E forward</w:t>
            </w:r>
          </w:p>
        </w:tc>
        <w:tc>
          <w:tcPr>
            <w:tcW w:w="1040" w:type="dxa"/>
            <w:shd w:val="clear" w:color="auto" w:fill="FFE599" w:themeFill="accent4" w:themeFillTint="66"/>
          </w:tcPr>
          <w:p w:rsidR="00B624AA" w:rsidRDefault="005A3FF5" w:rsidP="005042B1">
            <w:pPr>
              <w:jc w:val="center"/>
            </w:pPr>
            <w:r>
              <w:t>14.47</w:t>
            </w:r>
          </w:p>
        </w:tc>
        <w:tc>
          <w:tcPr>
            <w:tcW w:w="1181" w:type="dxa"/>
          </w:tcPr>
          <w:p w:rsidR="00B624AA" w:rsidRDefault="00BB2482" w:rsidP="005042B1">
            <w:pPr>
              <w:jc w:val="center"/>
            </w:pPr>
            <w:r>
              <w:t>81.07</w:t>
            </w:r>
          </w:p>
        </w:tc>
        <w:tc>
          <w:tcPr>
            <w:tcW w:w="1181" w:type="dxa"/>
          </w:tcPr>
          <w:p w:rsidR="00B624AA" w:rsidRDefault="006B0B9B" w:rsidP="005042B1">
            <w:pPr>
              <w:jc w:val="center"/>
            </w:pPr>
            <w:r>
              <w:t>14.77</w:t>
            </w:r>
          </w:p>
        </w:tc>
        <w:tc>
          <w:tcPr>
            <w:tcW w:w="1181" w:type="dxa"/>
          </w:tcPr>
          <w:p w:rsidR="00B624AA" w:rsidRDefault="00245E01" w:rsidP="005042B1">
            <w:pPr>
              <w:jc w:val="center"/>
            </w:pPr>
            <w:r>
              <w:t>12.53</w:t>
            </w:r>
          </w:p>
        </w:tc>
        <w:tc>
          <w:tcPr>
            <w:tcW w:w="1181" w:type="dxa"/>
          </w:tcPr>
          <w:p w:rsidR="00B624AA" w:rsidRDefault="00BC3302" w:rsidP="005042B1">
            <w:pPr>
              <w:jc w:val="center"/>
            </w:pPr>
            <w:r>
              <w:t>59.57</w:t>
            </w:r>
          </w:p>
        </w:tc>
        <w:tc>
          <w:tcPr>
            <w:tcW w:w="1182" w:type="dxa"/>
          </w:tcPr>
          <w:p w:rsidR="00B624AA" w:rsidRDefault="000A164E" w:rsidP="005042B1">
            <w:pPr>
              <w:jc w:val="center"/>
            </w:pPr>
            <w:r>
              <w:t>16.07</w:t>
            </w:r>
          </w:p>
        </w:tc>
      </w:tr>
      <w:tr w:rsidR="00B624AA" w:rsidTr="00BB2482">
        <w:trPr>
          <w:trHeight w:val="269"/>
        </w:trPr>
        <w:tc>
          <w:tcPr>
            <w:tcW w:w="2263" w:type="dxa"/>
          </w:tcPr>
          <w:p w:rsidR="00B624AA" w:rsidRDefault="005A3FF5" w:rsidP="008B20DE">
            <w:r>
              <w:t>P/BV</w:t>
            </w:r>
          </w:p>
        </w:tc>
        <w:tc>
          <w:tcPr>
            <w:tcW w:w="1040" w:type="dxa"/>
            <w:shd w:val="clear" w:color="auto" w:fill="FFE599" w:themeFill="accent4" w:themeFillTint="66"/>
          </w:tcPr>
          <w:p w:rsidR="00B624AA" w:rsidRDefault="005A3FF5" w:rsidP="005042B1">
            <w:pPr>
              <w:jc w:val="center"/>
            </w:pPr>
            <w:r>
              <w:t>1.82</w:t>
            </w:r>
          </w:p>
        </w:tc>
        <w:tc>
          <w:tcPr>
            <w:tcW w:w="1181" w:type="dxa"/>
          </w:tcPr>
          <w:p w:rsidR="00B624AA" w:rsidRDefault="00BB2482" w:rsidP="005042B1">
            <w:pPr>
              <w:jc w:val="center"/>
            </w:pPr>
            <w:r>
              <w:t>48.58</w:t>
            </w:r>
          </w:p>
        </w:tc>
        <w:tc>
          <w:tcPr>
            <w:tcW w:w="1181" w:type="dxa"/>
          </w:tcPr>
          <w:p w:rsidR="00B624AA" w:rsidRDefault="006B0B9B" w:rsidP="005042B1">
            <w:pPr>
              <w:jc w:val="center"/>
            </w:pPr>
            <w:r>
              <w:t>5.49</w:t>
            </w:r>
          </w:p>
        </w:tc>
        <w:tc>
          <w:tcPr>
            <w:tcW w:w="1181" w:type="dxa"/>
          </w:tcPr>
          <w:p w:rsidR="00B624AA" w:rsidRDefault="00245E01" w:rsidP="005042B1">
            <w:pPr>
              <w:jc w:val="center"/>
            </w:pPr>
            <w:r>
              <w:t>26.36</w:t>
            </w:r>
          </w:p>
        </w:tc>
        <w:tc>
          <w:tcPr>
            <w:tcW w:w="1181" w:type="dxa"/>
          </w:tcPr>
          <w:p w:rsidR="00B624AA" w:rsidRDefault="00BC3302" w:rsidP="005042B1">
            <w:pPr>
              <w:jc w:val="center"/>
            </w:pPr>
            <w:r>
              <w:t>7.33</w:t>
            </w:r>
          </w:p>
        </w:tc>
        <w:tc>
          <w:tcPr>
            <w:tcW w:w="1182" w:type="dxa"/>
          </w:tcPr>
          <w:p w:rsidR="00B624AA" w:rsidRDefault="000A164E" w:rsidP="005042B1">
            <w:pPr>
              <w:jc w:val="center"/>
            </w:pPr>
            <w:r>
              <w:t>5.34</w:t>
            </w:r>
          </w:p>
        </w:tc>
      </w:tr>
      <w:tr w:rsidR="00B624AA" w:rsidTr="00BB2482">
        <w:trPr>
          <w:trHeight w:val="269"/>
        </w:trPr>
        <w:tc>
          <w:tcPr>
            <w:tcW w:w="2263" w:type="dxa"/>
          </w:tcPr>
          <w:p w:rsidR="00B624AA" w:rsidRDefault="00B624AA" w:rsidP="008B20DE">
            <w:r>
              <w:t>EV/EBITDA</w:t>
            </w:r>
          </w:p>
        </w:tc>
        <w:tc>
          <w:tcPr>
            <w:tcW w:w="1040" w:type="dxa"/>
            <w:shd w:val="clear" w:color="auto" w:fill="FFE599" w:themeFill="accent4" w:themeFillTint="66"/>
          </w:tcPr>
          <w:p w:rsidR="00B624AA" w:rsidRDefault="00BB2482" w:rsidP="005042B1">
            <w:pPr>
              <w:jc w:val="center"/>
            </w:pPr>
            <w:r>
              <w:t>20.24</w:t>
            </w:r>
          </w:p>
        </w:tc>
        <w:tc>
          <w:tcPr>
            <w:tcW w:w="1181" w:type="dxa"/>
          </w:tcPr>
          <w:p w:rsidR="00B624AA" w:rsidRDefault="00CB442D" w:rsidP="005042B1">
            <w:pPr>
              <w:jc w:val="center"/>
            </w:pPr>
            <w:r>
              <w:t>75.46</w:t>
            </w:r>
          </w:p>
        </w:tc>
        <w:tc>
          <w:tcPr>
            <w:tcW w:w="1181" w:type="dxa"/>
          </w:tcPr>
          <w:p w:rsidR="00B624AA" w:rsidRDefault="00DB097B" w:rsidP="005042B1">
            <w:pPr>
              <w:jc w:val="center"/>
            </w:pPr>
            <w:r>
              <w:t>13.15</w:t>
            </w:r>
          </w:p>
        </w:tc>
        <w:tc>
          <w:tcPr>
            <w:tcW w:w="1181" w:type="dxa"/>
          </w:tcPr>
          <w:p w:rsidR="00B624AA" w:rsidRDefault="00AB2B7C" w:rsidP="005042B1">
            <w:pPr>
              <w:jc w:val="center"/>
            </w:pPr>
            <w:r>
              <w:t>15</w:t>
            </w:r>
          </w:p>
        </w:tc>
        <w:tc>
          <w:tcPr>
            <w:tcW w:w="1181" w:type="dxa"/>
          </w:tcPr>
          <w:p w:rsidR="00B624AA" w:rsidRDefault="00187B69" w:rsidP="005042B1">
            <w:pPr>
              <w:jc w:val="center"/>
            </w:pPr>
            <w:r>
              <w:t>16.41</w:t>
            </w:r>
          </w:p>
        </w:tc>
        <w:tc>
          <w:tcPr>
            <w:tcW w:w="1182" w:type="dxa"/>
          </w:tcPr>
          <w:p w:rsidR="00B624AA" w:rsidRDefault="00E049CB" w:rsidP="005042B1">
            <w:pPr>
              <w:jc w:val="center"/>
            </w:pPr>
            <w:r>
              <w:t>19.42</w:t>
            </w:r>
          </w:p>
        </w:tc>
      </w:tr>
      <w:tr w:rsidR="00B624AA" w:rsidTr="00BB2482">
        <w:trPr>
          <w:trHeight w:val="269"/>
        </w:trPr>
        <w:tc>
          <w:tcPr>
            <w:tcW w:w="2263" w:type="dxa"/>
          </w:tcPr>
          <w:p w:rsidR="00B624AA" w:rsidRPr="00534A3E" w:rsidRDefault="00B624AA" w:rsidP="008B20DE">
            <w:pPr>
              <w:rPr>
                <w:b/>
              </w:rPr>
            </w:pPr>
            <w:r w:rsidRPr="00534A3E">
              <w:rPr>
                <w:b/>
              </w:rPr>
              <w:t>Solvency</w:t>
            </w:r>
          </w:p>
        </w:tc>
        <w:tc>
          <w:tcPr>
            <w:tcW w:w="1040" w:type="dxa"/>
            <w:shd w:val="clear" w:color="auto" w:fill="FFE599" w:themeFill="accent4" w:themeFillTint="66"/>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2" w:type="dxa"/>
          </w:tcPr>
          <w:p w:rsidR="00B624AA" w:rsidRDefault="00B624AA" w:rsidP="005042B1">
            <w:pPr>
              <w:jc w:val="center"/>
            </w:pPr>
          </w:p>
        </w:tc>
      </w:tr>
      <w:tr w:rsidR="00B624AA" w:rsidTr="00BB2482">
        <w:trPr>
          <w:trHeight w:val="269"/>
        </w:trPr>
        <w:tc>
          <w:tcPr>
            <w:tcW w:w="2263" w:type="dxa"/>
          </w:tcPr>
          <w:p w:rsidR="00B624AA" w:rsidRDefault="00B624AA" w:rsidP="008B20DE">
            <w:r>
              <w:t>D/E</w:t>
            </w:r>
          </w:p>
        </w:tc>
        <w:tc>
          <w:tcPr>
            <w:tcW w:w="1040" w:type="dxa"/>
            <w:shd w:val="clear" w:color="auto" w:fill="FFE599" w:themeFill="accent4" w:themeFillTint="66"/>
          </w:tcPr>
          <w:p w:rsidR="00B624AA" w:rsidRDefault="005A3FF5" w:rsidP="005042B1">
            <w:pPr>
              <w:jc w:val="center"/>
            </w:pPr>
            <w:r>
              <w:t>1.53</w:t>
            </w:r>
          </w:p>
        </w:tc>
        <w:tc>
          <w:tcPr>
            <w:tcW w:w="1181" w:type="dxa"/>
          </w:tcPr>
          <w:p w:rsidR="00B624AA" w:rsidRDefault="00CB442D" w:rsidP="005042B1">
            <w:pPr>
              <w:jc w:val="center"/>
            </w:pPr>
            <w:r>
              <w:t>4.89</w:t>
            </w:r>
          </w:p>
        </w:tc>
        <w:tc>
          <w:tcPr>
            <w:tcW w:w="1181" w:type="dxa"/>
          </w:tcPr>
          <w:p w:rsidR="00B624AA" w:rsidRDefault="006B0B9B" w:rsidP="005042B1">
            <w:pPr>
              <w:jc w:val="center"/>
            </w:pPr>
            <w:r>
              <w:t>1.44</w:t>
            </w:r>
          </w:p>
        </w:tc>
        <w:tc>
          <w:tcPr>
            <w:tcW w:w="1181" w:type="dxa"/>
          </w:tcPr>
          <w:p w:rsidR="00B624AA" w:rsidRDefault="00245E01" w:rsidP="005042B1">
            <w:pPr>
              <w:jc w:val="center"/>
            </w:pPr>
            <w:r>
              <w:t>11.95</w:t>
            </w:r>
          </w:p>
        </w:tc>
        <w:tc>
          <w:tcPr>
            <w:tcW w:w="1181" w:type="dxa"/>
          </w:tcPr>
          <w:p w:rsidR="00B624AA" w:rsidRDefault="00BC3302" w:rsidP="005042B1">
            <w:pPr>
              <w:jc w:val="center"/>
            </w:pPr>
            <w:r>
              <w:t>1.83</w:t>
            </w:r>
          </w:p>
        </w:tc>
        <w:tc>
          <w:tcPr>
            <w:tcW w:w="1182" w:type="dxa"/>
          </w:tcPr>
          <w:p w:rsidR="00B624AA" w:rsidRDefault="000A164E" w:rsidP="005042B1">
            <w:pPr>
              <w:jc w:val="center"/>
            </w:pPr>
            <w:r>
              <w:t>1.58</w:t>
            </w:r>
          </w:p>
        </w:tc>
      </w:tr>
      <w:tr w:rsidR="00B624AA" w:rsidTr="00BB2482">
        <w:trPr>
          <w:trHeight w:val="269"/>
        </w:trPr>
        <w:tc>
          <w:tcPr>
            <w:tcW w:w="2263" w:type="dxa"/>
          </w:tcPr>
          <w:p w:rsidR="00B624AA" w:rsidRPr="00534A3E" w:rsidRDefault="00B624AA" w:rsidP="008B20DE">
            <w:pPr>
              <w:rPr>
                <w:b/>
              </w:rPr>
            </w:pPr>
            <w:r w:rsidRPr="00534A3E">
              <w:rPr>
                <w:b/>
              </w:rPr>
              <w:t>Profitability</w:t>
            </w:r>
          </w:p>
        </w:tc>
        <w:tc>
          <w:tcPr>
            <w:tcW w:w="1040" w:type="dxa"/>
            <w:shd w:val="clear" w:color="auto" w:fill="FFE599" w:themeFill="accent4" w:themeFillTint="66"/>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1" w:type="dxa"/>
          </w:tcPr>
          <w:p w:rsidR="00B624AA" w:rsidRDefault="00B624AA" w:rsidP="005042B1">
            <w:pPr>
              <w:jc w:val="center"/>
            </w:pPr>
          </w:p>
        </w:tc>
        <w:tc>
          <w:tcPr>
            <w:tcW w:w="1182" w:type="dxa"/>
          </w:tcPr>
          <w:p w:rsidR="00B624AA" w:rsidRDefault="00B624AA" w:rsidP="005042B1">
            <w:pPr>
              <w:jc w:val="center"/>
            </w:pPr>
          </w:p>
        </w:tc>
      </w:tr>
      <w:tr w:rsidR="00B624AA" w:rsidTr="00BB2482">
        <w:trPr>
          <w:trHeight w:val="269"/>
        </w:trPr>
        <w:tc>
          <w:tcPr>
            <w:tcW w:w="2263" w:type="dxa"/>
          </w:tcPr>
          <w:p w:rsidR="00B624AA" w:rsidRDefault="00B624AA" w:rsidP="008B20DE">
            <w:r>
              <w:t>ROE</w:t>
            </w:r>
          </w:p>
        </w:tc>
        <w:tc>
          <w:tcPr>
            <w:tcW w:w="1040" w:type="dxa"/>
            <w:shd w:val="clear" w:color="auto" w:fill="FFE599" w:themeFill="accent4" w:themeFillTint="66"/>
          </w:tcPr>
          <w:p w:rsidR="00B624AA" w:rsidRDefault="005A3FF5" w:rsidP="005042B1">
            <w:pPr>
              <w:jc w:val="center"/>
            </w:pPr>
            <w:r>
              <w:t>2.37%</w:t>
            </w:r>
          </w:p>
        </w:tc>
        <w:tc>
          <w:tcPr>
            <w:tcW w:w="1181" w:type="dxa"/>
          </w:tcPr>
          <w:p w:rsidR="00B624AA" w:rsidRDefault="00CB442D" w:rsidP="005042B1">
            <w:pPr>
              <w:jc w:val="center"/>
            </w:pPr>
            <w:r>
              <w:t>48.25%</w:t>
            </w:r>
          </w:p>
        </w:tc>
        <w:tc>
          <w:tcPr>
            <w:tcW w:w="1181" w:type="dxa"/>
          </w:tcPr>
          <w:p w:rsidR="00B624AA" w:rsidRDefault="006B0B9B" w:rsidP="005042B1">
            <w:pPr>
              <w:jc w:val="center"/>
            </w:pPr>
            <w:r>
              <w:t>51.11%</w:t>
            </w:r>
          </w:p>
        </w:tc>
        <w:tc>
          <w:tcPr>
            <w:tcW w:w="1181" w:type="dxa"/>
          </w:tcPr>
          <w:p w:rsidR="00B624AA" w:rsidRDefault="00245E01" w:rsidP="005042B1">
            <w:pPr>
              <w:jc w:val="center"/>
            </w:pPr>
            <w:r>
              <w:t>46.73%</w:t>
            </w:r>
          </w:p>
        </w:tc>
        <w:tc>
          <w:tcPr>
            <w:tcW w:w="1181" w:type="dxa"/>
          </w:tcPr>
          <w:p w:rsidR="00B624AA" w:rsidRDefault="00BC3302" w:rsidP="005042B1">
            <w:pPr>
              <w:jc w:val="center"/>
            </w:pPr>
            <w:r>
              <w:t>0.97%</w:t>
            </w:r>
          </w:p>
        </w:tc>
        <w:tc>
          <w:tcPr>
            <w:tcW w:w="1182" w:type="dxa"/>
          </w:tcPr>
          <w:p w:rsidR="00B624AA" w:rsidRDefault="000A164E" w:rsidP="005042B1">
            <w:pPr>
              <w:jc w:val="center"/>
            </w:pPr>
            <w:r>
              <w:t>15.22%</w:t>
            </w:r>
          </w:p>
        </w:tc>
      </w:tr>
      <w:tr w:rsidR="00B624AA" w:rsidTr="00BB2482">
        <w:trPr>
          <w:trHeight w:val="269"/>
        </w:trPr>
        <w:tc>
          <w:tcPr>
            <w:tcW w:w="2263" w:type="dxa"/>
          </w:tcPr>
          <w:p w:rsidR="00B624AA" w:rsidRDefault="00B624AA" w:rsidP="008B20DE">
            <w:r>
              <w:t>EBITDA/revenue</w:t>
            </w:r>
          </w:p>
        </w:tc>
        <w:tc>
          <w:tcPr>
            <w:tcW w:w="1040" w:type="dxa"/>
            <w:shd w:val="clear" w:color="auto" w:fill="FFE599" w:themeFill="accent4" w:themeFillTint="66"/>
          </w:tcPr>
          <w:p w:rsidR="00B624AA" w:rsidRDefault="005A3FF5" w:rsidP="005042B1">
            <w:pPr>
              <w:jc w:val="center"/>
            </w:pPr>
            <w:r>
              <w:t>19.69%</w:t>
            </w:r>
          </w:p>
        </w:tc>
        <w:tc>
          <w:tcPr>
            <w:tcW w:w="1181" w:type="dxa"/>
          </w:tcPr>
          <w:p w:rsidR="00B624AA" w:rsidRDefault="00CB442D" w:rsidP="005042B1">
            <w:pPr>
              <w:jc w:val="center"/>
            </w:pPr>
            <w:r>
              <w:t>36%</w:t>
            </w:r>
          </w:p>
        </w:tc>
        <w:tc>
          <w:tcPr>
            <w:tcW w:w="1181" w:type="dxa"/>
          </w:tcPr>
          <w:p w:rsidR="00B624AA" w:rsidRDefault="006B0B9B" w:rsidP="005042B1">
            <w:pPr>
              <w:jc w:val="center"/>
            </w:pPr>
            <w:r>
              <w:t>36.13%</w:t>
            </w:r>
          </w:p>
        </w:tc>
        <w:tc>
          <w:tcPr>
            <w:tcW w:w="1181" w:type="dxa"/>
          </w:tcPr>
          <w:p w:rsidR="00B624AA" w:rsidRDefault="00245E01" w:rsidP="005042B1">
            <w:pPr>
              <w:jc w:val="center"/>
            </w:pPr>
            <w:r>
              <w:t>48.53%</w:t>
            </w:r>
          </w:p>
        </w:tc>
        <w:tc>
          <w:tcPr>
            <w:tcW w:w="1181" w:type="dxa"/>
          </w:tcPr>
          <w:p w:rsidR="00B624AA" w:rsidRDefault="00BC3302" w:rsidP="005042B1">
            <w:pPr>
              <w:jc w:val="center"/>
            </w:pPr>
            <w:r>
              <w:t>32.78%</w:t>
            </w:r>
          </w:p>
        </w:tc>
        <w:tc>
          <w:tcPr>
            <w:tcW w:w="1182" w:type="dxa"/>
          </w:tcPr>
          <w:p w:rsidR="00B624AA" w:rsidRDefault="000A164E" w:rsidP="005042B1">
            <w:pPr>
              <w:jc w:val="center"/>
            </w:pPr>
            <w:r>
              <w:t>32.77%</w:t>
            </w:r>
          </w:p>
        </w:tc>
      </w:tr>
      <w:tr w:rsidR="00B624AA" w:rsidTr="00BB2482">
        <w:trPr>
          <w:trHeight w:val="269"/>
        </w:trPr>
        <w:tc>
          <w:tcPr>
            <w:tcW w:w="2263" w:type="dxa"/>
          </w:tcPr>
          <w:p w:rsidR="00B624AA" w:rsidRDefault="00B624AA" w:rsidP="008B20DE">
            <w:r>
              <w:t>Dividend yield</w:t>
            </w:r>
          </w:p>
        </w:tc>
        <w:tc>
          <w:tcPr>
            <w:tcW w:w="1040" w:type="dxa"/>
            <w:shd w:val="clear" w:color="auto" w:fill="FFE599" w:themeFill="accent4" w:themeFillTint="66"/>
          </w:tcPr>
          <w:p w:rsidR="00B624AA" w:rsidRDefault="006C4ADC" w:rsidP="005042B1">
            <w:pPr>
              <w:jc w:val="center"/>
            </w:pPr>
            <w:r>
              <w:t>5.73%</w:t>
            </w:r>
          </w:p>
        </w:tc>
        <w:tc>
          <w:tcPr>
            <w:tcW w:w="1181" w:type="dxa"/>
          </w:tcPr>
          <w:p w:rsidR="00B624AA" w:rsidRDefault="00CB442D" w:rsidP="005042B1">
            <w:pPr>
              <w:jc w:val="center"/>
            </w:pPr>
            <w:r>
              <w:t>0.8%</w:t>
            </w:r>
          </w:p>
        </w:tc>
        <w:tc>
          <w:tcPr>
            <w:tcW w:w="1181" w:type="dxa"/>
          </w:tcPr>
          <w:p w:rsidR="00B624AA" w:rsidRDefault="00DB097B" w:rsidP="005042B1">
            <w:pPr>
              <w:jc w:val="center"/>
            </w:pPr>
            <w:r>
              <w:t>2.3%</w:t>
            </w:r>
          </w:p>
        </w:tc>
        <w:tc>
          <w:tcPr>
            <w:tcW w:w="1181" w:type="dxa"/>
          </w:tcPr>
          <w:p w:rsidR="00B624AA" w:rsidRDefault="00245E01" w:rsidP="005042B1">
            <w:pPr>
              <w:jc w:val="center"/>
            </w:pPr>
            <w:r>
              <w:t>11.62%</w:t>
            </w:r>
          </w:p>
        </w:tc>
        <w:tc>
          <w:tcPr>
            <w:tcW w:w="1181" w:type="dxa"/>
          </w:tcPr>
          <w:p w:rsidR="00B624AA" w:rsidRDefault="00187B69" w:rsidP="005042B1">
            <w:pPr>
              <w:jc w:val="center"/>
            </w:pPr>
            <w:r>
              <w:t>2.72%</w:t>
            </w:r>
          </w:p>
        </w:tc>
        <w:tc>
          <w:tcPr>
            <w:tcW w:w="1182" w:type="dxa"/>
          </w:tcPr>
          <w:p w:rsidR="00B624AA" w:rsidRDefault="00E049CB" w:rsidP="005042B1">
            <w:pPr>
              <w:jc w:val="center"/>
            </w:pPr>
            <w:r>
              <w:t>2.15%</w:t>
            </w:r>
          </w:p>
        </w:tc>
      </w:tr>
    </w:tbl>
    <w:p w:rsidR="00B624AA" w:rsidRDefault="000A164E" w:rsidP="00B624AA">
      <w:pPr>
        <w:spacing w:after="0"/>
      </w:pPr>
      <w:r>
        <w:t>Data: 2023 annual report</w:t>
      </w:r>
    </w:p>
    <w:p w:rsidR="000A164E" w:rsidRDefault="000A164E" w:rsidP="00B624AA">
      <w:pPr>
        <w:spacing w:after="0"/>
      </w:pPr>
      <w:r>
        <w:t>Exchange rate (xe.com): AstraZeneca 31.12.2023.</w:t>
      </w:r>
    </w:p>
    <w:p w:rsidR="00F31CF7" w:rsidRDefault="00F31CF7" w:rsidP="00B624AA">
      <w:pPr>
        <w:spacing w:after="0"/>
      </w:pPr>
    </w:p>
    <w:p w:rsidR="00F31CF7" w:rsidRDefault="008413CA" w:rsidP="00B624AA">
      <w:pPr>
        <w:spacing w:after="0"/>
      </w:pPr>
      <w:r>
        <w:rPr>
          <w:noProof/>
        </w:rPr>
        <w:drawing>
          <wp:inline distT="0" distB="0" distL="0" distR="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723F" w:rsidRDefault="0020723F" w:rsidP="00B624AA">
      <w:pPr>
        <w:spacing w:after="0"/>
      </w:pPr>
    </w:p>
    <w:p w:rsidR="0020723F" w:rsidRDefault="0020723F" w:rsidP="00B624AA">
      <w:pPr>
        <w:spacing w:after="0"/>
      </w:pPr>
      <w:r>
        <w:rPr>
          <w:noProof/>
        </w:rPr>
        <w:lastRenderedPageBreak/>
        <w:drawing>
          <wp:inline distT="0" distB="0" distL="0" distR="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723F" w:rsidRDefault="0020723F" w:rsidP="00B624AA">
      <w:pPr>
        <w:spacing w:after="0"/>
      </w:pPr>
    </w:p>
    <w:p w:rsidR="0020723F" w:rsidRDefault="0020723F" w:rsidP="00B624AA">
      <w:pPr>
        <w:spacing w:after="0"/>
      </w:pPr>
      <w:bookmarkStart w:id="0" w:name="_GoBack"/>
      <w:r>
        <w:rPr>
          <w:noProof/>
        </w:rPr>
        <w:drawing>
          <wp:inline distT="0" distB="0" distL="0" distR="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5042B1" w:rsidRDefault="005042B1" w:rsidP="00B624AA">
      <w:pPr>
        <w:spacing w:after="0"/>
        <w:rPr>
          <w:b/>
          <w:u w:val="single"/>
        </w:rPr>
      </w:pPr>
    </w:p>
    <w:p w:rsidR="005042B1" w:rsidRDefault="005042B1" w:rsidP="005042B1">
      <w:pPr>
        <w:spacing w:after="0"/>
        <w:jc w:val="both"/>
      </w:pPr>
      <w:r w:rsidRPr="009E47F0">
        <w:rPr>
          <w:b/>
        </w:rPr>
        <w:t>Comparable Financial Metrics:</w:t>
      </w:r>
      <w:r w:rsidR="00366EC7">
        <w:t xml:space="preserve"> J&amp;J, </w:t>
      </w:r>
      <w:proofErr w:type="spellStart"/>
      <w:r w:rsidR="00366EC7">
        <w:t>AbbVie</w:t>
      </w:r>
      <w:proofErr w:type="spellEnd"/>
      <w:r w:rsidR="00366EC7">
        <w:t>, Merck and AstraZeneca show similar market capitalization, P/BV, enterprise values an</w:t>
      </w:r>
      <w:r w:rsidR="003B01A6">
        <w:t>d earnings-to-revenue to Pfizer</w:t>
      </w:r>
      <w:r>
        <w:t>.</w:t>
      </w:r>
      <w:r w:rsidR="003B01A6">
        <w:t xml:space="preserve"> Lilly and Merck return above average P/E multiples compared to the others.</w:t>
      </w:r>
      <w:r>
        <w:t xml:space="preserve"> </w:t>
      </w:r>
    </w:p>
    <w:p w:rsidR="005042B1" w:rsidRDefault="005042B1" w:rsidP="005042B1">
      <w:pPr>
        <w:spacing w:after="0"/>
        <w:jc w:val="both"/>
      </w:pPr>
    </w:p>
    <w:p w:rsidR="005042B1" w:rsidRDefault="005042B1" w:rsidP="005042B1">
      <w:pPr>
        <w:spacing w:after="0"/>
        <w:jc w:val="both"/>
      </w:pPr>
      <w:r w:rsidRPr="00821C4A">
        <w:rPr>
          <w:b/>
        </w:rPr>
        <w:t>Similar Industry Positioning:</w:t>
      </w:r>
      <w:r>
        <w:t xml:space="preserve"> </w:t>
      </w:r>
      <w:r w:rsidR="00B04496">
        <w:t>Here are six companies all researching, developing and manufacturing pharmaceutical products as their main business operation targeting a global customer base independent of financial status.</w:t>
      </w:r>
    </w:p>
    <w:p w:rsidR="00B04496" w:rsidRDefault="00B04496" w:rsidP="005042B1">
      <w:pPr>
        <w:spacing w:after="0"/>
        <w:jc w:val="both"/>
      </w:pPr>
    </w:p>
    <w:p w:rsidR="005042B1" w:rsidRDefault="005042B1" w:rsidP="005042B1">
      <w:pPr>
        <w:spacing w:after="0"/>
        <w:jc w:val="both"/>
      </w:pPr>
      <w:r w:rsidRPr="003235B7">
        <w:rPr>
          <w:b/>
        </w:rPr>
        <w:t>Equivalent Market Presence:</w:t>
      </w:r>
      <w:r>
        <w:rPr>
          <w:b/>
        </w:rPr>
        <w:t xml:space="preserve"> </w:t>
      </w:r>
      <w:r w:rsidR="00B04496">
        <w:t>Despite a higher valuation of Lilly, all the other companies have a similar enterprise valuation to earnings.</w:t>
      </w:r>
    </w:p>
    <w:p w:rsidR="00B04496" w:rsidRDefault="00B04496" w:rsidP="005042B1">
      <w:pPr>
        <w:spacing w:after="0"/>
        <w:jc w:val="both"/>
      </w:pPr>
    </w:p>
    <w:p w:rsidR="005042B1" w:rsidRPr="005E1071" w:rsidRDefault="005042B1" w:rsidP="005042B1">
      <w:pPr>
        <w:spacing w:after="0"/>
        <w:jc w:val="both"/>
      </w:pPr>
      <w:r w:rsidRPr="005E1071">
        <w:rPr>
          <w:b/>
        </w:rPr>
        <w:lastRenderedPageBreak/>
        <w:t>Comparable sustainability performance:</w:t>
      </w:r>
      <w:r>
        <w:rPr>
          <w:b/>
        </w:rPr>
        <w:t xml:space="preserve"> </w:t>
      </w:r>
      <w:proofErr w:type="spellStart"/>
      <w:r w:rsidR="00B04496">
        <w:t>AbbVie</w:t>
      </w:r>
      <w:proofErr w:type="spellEnd"/>
      <w:r w:rsidR="00B04496">
        <w:t xml:space="preserve"> and Lilly aside, the other three companies have a very similar debt-to-equity ratio to Pfizer.</w:t>
      </w:r>
    </w:p>
    <w:p w:rsidR="005042B1" w:rsidRDefault="005042B1" w:rsidP="005042B1">
      <w:pPr>
        <w:spacing w:after="0"/>
        <w:jc w:val="both"/>
      </w:pPr>
    </w:p>
    <w:p w:rsidR="005042B1" w:rsidRDefault="005042B1" w:rsidP="005042B1">
      <w:pPr>
        <w:spacing w:after="0"/>
        <w:jc w:val="both"/>
      </w:pPr>
      <w:r w:rsidRPr="005E1071">
        <w:rPr>
          <w:b/>
        </w:rPr>
        <w:t>Comparable Customer Base:</w:t>
      </w:r>
      <w:r>
        <w:rPr>
          <w:b/>
        </w:rPr>
        <w:t xml:space="preserve"> </w:t>
      </w:r>
      <w:r w:rsidR="00B04496">
        <w:t xml:space="preserve">All six companies operate in the pharmaceutical space providing products for customers independent of any specific characteristics. </w:t>
      </w:r>
      <w:r>
        <w:t xml:space="preserve"> </w:t>
      </w:r>
    </w:p>
    <w:p w:rsidR="005042B1" w:rsidRDefault="005042B1" w:rsidP="005042B1">
      <w:pPr>
        <w:spacing w:after="0"/>
        <w:jc w:val="both"/>
      </w:pPr>
    </w:p>
    <w:p w:rsidR="005042B1" w:rsidRPr="005042B1" w:rsidRDefault="005042B1" w:rsidP="005042B1">
      <w:pPr>
        <w:spacing w:after="0"/>
      </w:pPr>
      <w:r w:rsidRPr="00496C40">
        <w:rPr>
          <w:b/>
        </w:rPr>
        <w:t>In conclusion</w:t>
      </w:r>
      <w:r w:rsidR="00B04496">
        <w:t xml:space="preserve">, aside some one off differences in the main valuation ratios, all companies </w:t>
      </w:r>
      <w:r w:rsidR="00284820">
        <w:t>have similar market and enterprise valuations to earnings, debt ratio, earnings to revenue and dividend yield. The fact that they are clearly operating mainly within the original pharmaceutical products market with similar revenue sources make these companies an easy qualification into the same peer group to Pfizer.</w:t>
      </w:r>
    </w:p>
    <w:sectPr w:rsidR="005042B1" w:rsidRPr="00504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A3"/>
    <w:rsid w:val="0000042D"/>
    <w:rsid w:val="000543C6"/>
    <w:rsid w:val="000A164E"/>
    <w:rsid w:val="00117DCE"/>
    <w:rsid w:val="00153BD9"/>
    <w:rsid w:val="00167771"/>
    <w:rsid w:val="00187B69"/>
    <w:rsid w:val="001961C6"/>
    <w:rsid w:val="001C4E86"/>
    <w:rsid w:val="001D0DEA"/>
    <w:rsid w:val="001F015F"/>
    <w:rsid w:val="0020723F"/>
    <w:rsid w:val="00245E01"/>
    <w:rsid w:val="00284820"/>
    <w:rsid w:val="002F6A60"/>
    <w:rsid w:val="003235B7"/>
    <w:rsid w:val="00326BB4"/>
    <w:rsid w:val="00347F9B"/>
    <w:rsid w:val="00366EC7"/>
    <w:rsid w:val="0038365F"/>
    <w:rsid w:val="003B01A6"/>
    <w:rsid w:val="003C317C"/>
    <w:rsid w:val="004244B8"/>
    <w:rsid w:val="00424C55"/>
    <w:rsid w:val="004719E4"/>
    <w:rsid w:val="00496C40"/>
    <w:rsid w:val="004A3FCE"/>
    <w:rsid w:val="004D5447"/>
    <w:rsid w:val="004D7FD8"/>
    <w:rsid w:val="005042B1"/>
    <w:rsid w:val="00534A3E"/>
    <w:rsid w:val="00566461"/>
    <w:rsid w:val="00583F87"/>
    <w:rsid w:val="00586FBC"/>
    <w:rsid w:val="005A3FF5"/>
    <w:rsid w:val="005C5CCE"/>
    <w:rsid w:val="005E1071"/>
    <w:rsid w:val="005E2BF6"/>
    <w:rsid w:val="005F5115"/>
    <w:rsid w:val="00613F1F"/>
    <w:rsid w:val="006447EB"/>
    <w:rsid w:val="006B0B9B"/>
    <w:rsid w:val="006C4ADC"/>
    <w:rsid w:val="006F1C6B"/>
    <w:rsid w:val="00714449"/>
    <w:rsid w:val="00724311"/>
    <w:rsid w:val="007C4C45"/>
    <w:rsid w:val="007C6D52"/>
    <w:rsid w:val="007D2AE9"/>
    <w:rsid w:val="007D57CA"/>
    <w:rsid w:val="00806AED"/>
    <w:rsid w:val="00821C4A"/>
    <w:rsid w:val="00825826"/>
    <w:rsid w:val="008413CA"/>
    <w:rsid w:val="00857E17"/>
    <w:rsid w:val="00890746"/>
    <w:rsid w:val="008941F2"/>
    <w:rsid w:val="009358A3"/>
    <w:rsid w:val="00936FBD"/>
    <w:rsid w:val="00977DB7"/>
    <w:rsid w:val="009B1E88"/>
    <w:rsid w:val="009C0C22"/>
    <w:rsid w:val="009C4542"/>
    <w:rsid w:val="009E345B"/>
    <w:rsid w:val="009E47F0"/>
    <w:rsid w:val="009F1E7C"/>
    <w:rsid w:val="00A13826"/>
    <w:rsid w:val="00A37D48"/>
    <w:rsid w:val="00A71CD5"/>
    <w:rsid w:val="00AB2B7C"/>
    <w:rsid w:val="00B04496"/>
    <w:rsid w:val="00B41F30"/>
    <w:rsid w:val="00B624AA"/>
    <w:rsid w:val="00B8044D"/>
    <w:rsid w:val="00BB2482"/>
    <w:rsid w:val="00BC3302"/>
    <w:rsid w:val="00C27428"/>
    <w:rsid w:val="00C616D4"/>
    <w:rsid w:val="00C65D9C"/>
    <w:rsid w:val="00C74A0C"/>
    <w:rsid w:val="00CB442D"/>
    <w:rsid w:val="00CF273D"/>
    <w:rsid w:val="00D21271"/>
    <w:rsid w:val="00D34904"/>
    <w:rsid w:val="00D815FB"/>
    <w:rsid w:val="00D87481"/>
    <w:rsid w:val="00DB097B"/>
    <w:rsid w:val="00DB4A2A"/>
    <w:rsid w:val="00E049CB"/>
    <w:rsid w:val="00E1419E"/>
    <w:rsid w:val="00E73875"/>
    <w:rsid w:val="00E91934"/>
    <w:rsid w:val="00EB5EA0"/>
    <w:rsid w:val="00ED3B07"/>
    <w:rsid w:val="00EF13CB"/>
    <w:rsid w:val="00F31CF7"/>
    <w:rsid w:val="00F37FAD"/>
    <w:rsid w:val="00F50A99"/>
    <w:rsid w:val="00F772A3"/>
    <w:rsid w:val="00FD4EBD"/>
    <w:rsid w:val="00FE51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40E46-A5DA-42A3-87D8-668ACA9E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F772A3"/>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772A3"/>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772A3"/>
    <w:rPr>
      <w:rFonts w:cs="Times New Roman"/>
      <w:sz w:val="20"/>
      <w:szCs w:val="20"/>
      <w:lang w:val="en-US" w:eastAsia="en-US"/>
    </w:rPr>
  </w:style>
  <w:style w:type="character" w:styleId="SubtleEmphasis">
    <w:name w:val="Subtle Emphasis"/>
    <w:basedOn w:val="DefaultParagraphFont"/>
    <w:uiPriority w:val="19"/>
    <w:qFormat/>
    <w:rsid w:val="00F772A3"/>
    <w:rPr>
      <w:i/>
      <w:iCs/>
    </w:rPr>
  </w:style>
  <w:style w:type="table" w:styleId="MediumShading2-Accent5">
    <w:name w:val="Medium Shading 2 Accent 5"/>
    <w:basedOn w:val="TableNormal"/>
    <w:uiPriority w:val="64"/>
    <w:rsid w:val="00F772A3"/>
    <w:pPr>
      <w:spacing w:after="0" w:line="240" w:lineRule="auto"/>
    </w:pPr>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F772A3"/>
    <w:pPr>
      <w:spacing w:after="0" w:line="240" w:lineRule="auto"/>
    </w:pPr>
    <w:rPr>
      <w:lang w:val="en-US" w:eastAsia="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5E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Valuation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Sheet1!$A$2:$A$7</c:f>
              <c:strCache>
                <c:ptCount val="6"/>
                <c:pt idx="0">
                  <c:v>Tesla</c:v>
                </c:pt>
                <c:pt idx="1">
                  <c:v>Toyota</c:v>
                </c:pt>
                <c:pt idx="2">
                  <c:v>BYD</c:v>
                </c:pt>
                <c:pt idx="3">
                  <c:v>GM</c:v>
                </c:pt>
                <c:pt idx="4">
                  <c:v>Stellantis</c:v>
                </c:pt>
                <c:pt idx="5">
                  <c:v>Rivian</c:v>
                </c:pt>
              </c:strCache>
            </c:strRef>
          </c:cat>
          <c:val>
            <c:numRef>
              <c:f>Sheet1!$B$2:$B$7</c:f>
              <c:numCache>
                <c:formatCode>General</c:formatCode>
                <c:ptCount val="6"/>
                <c:pt idx="0">
                  <c:v>58</c:v>
                </c:pt>
                <c:pt idx="1">
                  <c:v>3.88</c:v>
                </c:pt>
                <c:pt idx="2">
                  <c:v>20.36</c:v>
                </c:pt>
                <c:pt idx="3">
                  <c:v>4.68</c:v>
                </c:pt>
                <c:pt idx="4">
                  <c:v>3.94</c:v>
                </c:pt>
                <c:pt idx="5">
                  <c:v>-4.8099999999999996</c:v>
                </c:pt>
              </c:numCache>
            </c:numRef>
          </c:val>
        </c:ser>
        <c:ser>
          <c:idx val="1"/>
          <c:order val="1"/>
          <c:tx>
            <c:strRef>
              <c:f>Sheet1!$C$1</c:f>
              <c:strCache>
                <c:ptCount val="1"/>
                <c:pt idx="0">
                  <c:v>Forward P/E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Sheet1!$A$2:$A$7</c:f>
              <c:strCache>
                <c:ptCount val="6"/>
                <c:pt idx="0">
                  <c:v>Tesla</c:v>
                </c:pt>
                <c:pt idx="1">
                  <c:v>Toyota</c:v>
                </c:pt>
                <c:pt idx="2">
                  <c:v>BYD</c:v>
                </c:pt>
                <c:pt idx="3">
                  <c:v>GM</c:v>
                </c:pt>
                <c:pt idx="4">
                  <c:v>Stellantis</c:v>
                </c:pt>
                <c:pt idx="5">
                  <c:v>Rivian</c:v>
                </c:pt>
              </c:strCache>
            </c:strRef>
          </c:cat>
          <c:val>
            <c:numRef>
              <c:f>Sheet1!$C$2:$C$7</c:f>
              <c:numCache>
                <c:formatCode>General</c:formatCode>
                <c:ptCount val="6"/>
                <c:pt idx="0">
                  <c:v>79</c:v>
                </c:pt>
                <c:pt idx="1">
                  <c:v>2.57</c:v>
                </c:pt>
                <c:pt idx="2">
                  <c:v>17.55</c:v>
                </c:pt>
                <c:pt idx="3">
                  <c:v>3.63</c:v>
                </c:pt>
                <c:pt idx="4">
                  <c:v>5.55</c:v>
                </c:pt>
                <c:pt idx="5">
                  <c:v>-4.99</c:v>
                </c:pt>
              </c:numCache>
            </c:numRef>
          </c:val>
        </c:ser>
        <c:ser>
          <c:idx val="2"/>
          <c:order val="2"/>
          <c:tx>
            <c:strRef>
              <c:f>Sheet1!$D$1</c:f>
              <c:strCache>
                <c:ptCount val="1"/>
                <c:pt idx="0">
                  <c:v>PEG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Sheet1!$A$2:$A$7</c:f>
              <c:strCache>
                <c:ptCount val="6"/>
                <c:pt idx="0">
                  <c:v>Tesla</c:v>
                </c:pt>
                <c:pt idx="1">
                  <c:v>Toyota</c:v>
                </c:pt>
                <c:pt idx="2">
                  <c:v>BYD</c:v>
                </c:pt>
                <c:pt idx="3">
                  <c:v>GM</c:v>
                </c:pt>
                <c:pt idx="4">
                  <c:v>Stellantis</c:v>
                </c:pt>
                <c:pt idx="5">
                  <c:v>Rivian</c:v>
                </c:pt>
              </c:strCache>
            </c:strRef>
          </c:cat>
          <c:val>
            <c:numRef>
              <c:f>Sheet1!$D$2:$D$7</c:f>
              <c:numCache>
                <c:formatCode>General</c:formatCode>
                <c:ptCount val="6"/>
                <c:pt idx="0">
                  <c:v>-2.15</c:v>
                </c:pt>
                <c:pt idx="1">
                  <c:v>7.0000000000000007E-2</c:v>
                </c:pt>
                <c:pt idx="2">
                  <c:v>1.27</c:v>
                </c:pt>
                <c:pt idx="3">
                  <c:v>0.24</c:v>
                </c:pt>
                <c:pt idx="4">
                  <c:v>-0.14000000000000001</c:v>
                </c:pt>
                <c:pt idx="5">
                  <c:v>-1.27</c:v>
                </c:pt>
              </c:numCache>
            </c:numRef>
          </c:val>
        </c:ser>
        <c:dLbls>
          <c:showLegendKey val="0"/>
          <c:showVal val="0"/>
          <c:showCatName val="0"/>
          <c:showSerName val="0"/>
          <c:showPercent val="0"/>
          <c:showBubbleSize val="0"/>
        </c:dLbls>
        <c:gapWidth val="219"/>
        <c:axId val="1310846800"/>
        <c:axId val="1310844624"/>
      </c:barChart>
      <c:lineChart>
        <c:grouping val="stacked"/>
        <c:varyColors val="0"/>
        <c:ser>
          <c:idx val="3"/>
          <c:order val="3"/>
          <c:tx>
            <c:strRef>
              <c:f>Sheet1!$E$1</c:f>
              <c:strCache>
                <c:ptCount val="1"/>
                <c:pt idx="0">
                  <c:v>EV/EBITDA</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strRef>
              <c:f>Sheet1!$A$2:$A$7</c:f>
              <c:strCache>
                <c:ptCount val="6"/>
                <c:pt idx="0">
                  <c:v>Tesla</c:v>
                </c:pt>
                <c:pt idx="1">
                  <c:v>Toyota</c:v>
                </c:pt>
                <c:pt idx="2">
                  <c:v>BYD</c:v>
                </c:pt>
                <c:pt idx="3">
                  <c:v>GM</c:v>
                </c:pt>
                <c:pt idx="4">
                  <c:v>Stellantis</c:v>
                </c:pt>
                <c:pt idx="5">
                  <c:v>Rivian</c:v>
                </c:pt>
              </c:strCache>
            </c:strRef>
          </c:cat>
          <c:val>
            <c:numRef>
              <c:f>Sheet1!$E$2:$E$7</c:f>
              <c:numCache>
                <c:formatCode>General</c:formatCode>
                <c:ptCount val="6"/>
                <c:pt idx="0">
                  <c:v>51</c:v>
                </c:pt>
                <c:pt idx="1">
                  <c:v>2.4900000000000002</c:v>
                </c:pt>
                <c:pt idx="2">
                  <c:v>12</c:v>
                </c:pt>
                <c:pt idx="3">
                  <c:v>9.98</c:v>
                </c:pt>
                <c:pt idx="4">
                  <c:v>5.68</c:v>
                </c:pt>
                <c:pt idx="5">
                  <c:v>-0.84</c:v>
                </c:pt>
              </c:numCache>
            </c:numRef>
          </c:val>
          <c:smooth val="0"/>
        </c:ser>
        <c:dLbls>
          <c:showLegendKey val="0"/>
          <c:showVal val="0"/>
          <c:showCatName val="0"/>
          <c:showSerName val="0"/>
          <c:showPercent val="0"/>
          <c:showBubbleSize val="0"/>
        </c:dLbls>
        <c:marker val="1"/>
        <c:smooth val="0"/>
        <c:axId val="1310845712"/>
        <c:axId val="1310848976"/>
      </c:lineChart>
      <c:catAx>
        <c:axId val="1310846800"/>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10844624"/>
        <c:crosses val="autoZero"/>
        <c:auto val="1"/>
        <c:lblAlgn val="ctr"/>
        <c:lblOffset val="100"/>
        <c:noMultiLvlLbl val="0"/>
      </c:catAx>
      <c:valAx>
        <c:axId val="13108446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P/E, Forward P/E, PEG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10846800"/>
        <c:crosses val="autoZero"/>
        <c:crossBetween val="between"/>
      </c:valAx>
      <c:valAx>
        <c:axId val="1310848976"/>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EV/EBITDA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10845712"/>
        <c:crosses val="max"/>
        <c:crossBetween val="between"/>
      </c:valAx>
      <c:catAx>
        <c:axId val="1310845712"/>
        <c:scaling>
          <c:orientation val="minMax"/>
        </c:scaling>
        <c:delete val="1"/>
        <c:axPos val="b"/>
        <c:numFmt formatCode="General" sourceLinked="1"/>
        <c:majorTickMark val="none"/>
        <c:minorTickMark val="none"/>
        <c:tickLblPos val="nextTo"/>
        <c:crossAx val="1310848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Valuation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Sheet1!$A$2:$A$7</c:f>
              <c:strCache>
                <c:ptCount val="6"/>
                <c:pt idx="0">
                  <c:v>Pfizer</c:v>
                </c:pt>
                <c:pt idx="1">
                  <c:v>Lilly (Eli)</c:v>
                </c:pt>
                <c:pt idx="2">
                  <c:v>J&amp;J</c:v>
                </c:pt>
                <c:pt idx="3">
                  <c:v>AbbVie</c:v>
                </c:pt>
                <c:pt idx="4">
                  <c:v>Merck</c:v>
                </c:pt>
                <c:pt idx="5">
                  <c:v>AstraZeneca</c:v>
                </c:pt>
              </c:strCache>
            </c:strRef>
          </c:cat>
          <c:val>
            <c:numRef>
              <c:f>Sheet1!$B$2:$B$7</c:f>
              <c:numCache>
                <c:formatCode>General</c:formatCode>
                <c:ptCount val="6"/>
                <c:pt idx="0">
                  <c:v>15.65</c:v>
                </c:pt>
                <c:pt idx="1">
                  <c:v>92.23</c:v>
                </c:pt>
                <c:pt idx="2">
                  <c:v>15.8</c:v>
                </c:pt>
                <c:pt idx="3">
                  <c:v>13.95</c:v>
                </c:pt>
                <c:pt idx="4">
                  <c:v>72.2</c:v>
                </c:pt>
                <c:pt idx="5">
                  <c:v>18.600000000000001</c:v>
                </c:pt>
              </c:numCache>
            </c:numRef>
          </c:val>
        </c:ser>
        <c:ser>
          <c:idx val="1"/>
          <c:order val="1"/>
          <c:tx>
            <c:strRef>
              <c:f>Sheet1!$C$1</c:f>
              <c:strCache>
                <c:ptCount val="1"/>
                <c:pt idx="0">
                  <c:v>Forward P/E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Sheet1!$A$2:$A$7</c:f>
              <c:strCache>
                <c:ptCount val="6"/>
                <c:pt idx="0">
                  <c:v>Pfizer</c:v>
                </c:pt>
                <c:pt idx="1">
                  <c:v>Lilly (Eli)</c:v>
                </c:pt>
                <c:pt idx="2">
                  <c:v>J&amp;J</c:v>
                </c:pt>
                <c:pt idx="3">
                  <c:v>AbbVie</c:v>
                </c:pt>
                <c:pt idx="4">
                  <c:v>Merck</c:v>
                </c:pt>
                <c:pt idx="5">
                  <c:v>AstraZeneca</c:v>
                </c:pt>
              </c:strCache>
            </c:strRef>
          </c:cat>
          <c:val>
            <c:numRef>
              <c:f>Sheet1!$C$2:$C$7</c:f>
              <c:numCache>
                <c:formatCode>General</c:formatCode>
                <c:ptCount val="6"/>
                <c:pt idx="0">
                  <c:v>14.47</c:v>
                </c:pt>
                <c:pt idx="1">
                  <c:v>81.069999999999993</c:v>
                </c:pt>
                <c:pt idx="2">
                  <c:v>14.77</c:v>
                </c:pt>
                <c:pt idx="3">
                  <c:v>12.53</c:v>
                </c:pt>
                <c:pt idx="4">
                  <c:v>59.57</c:v>
                </c:pt>
                <c:pt idx="5">
                  <c:v>16.07</c:v>
                </c:pt>
              </c:numCache>
            </c:numRef>
          </c:val>
        </c:ser>
        <c:ser>
          <c:idx val="2"/>
          <c:order val="2"/>
          <c:tx>
            <c:strRef>
              <c:f>Sheet1!$D$1</c:f>
              <c:strCache>
                <c:ptCount val="1"/>
                <c:pt idx="0">
                  <c:v>P/BV</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Sheet1!$A$2:$A$7</c:f>
              <c:strCache>
                <c:ptCount val="6"/>
                <c:pt idx="0">
                  <c:v>Pfizer</c:v>
                </c:pt>
                <c:pt idx="1">
                  <c:v>Lilly (Eli)</c:v>
                </c:pt>
                <c:pt idx="2">
                  <c:v>J&amp;J</c:v>
                </c:pt>
                <c:pt idx="3">
                  <c:v>AbbVie</c:v>
                </c:pt>
                <c:pt idx="4">
                  <c:v>Merck</c:v>
                </c:pt>
                <c:pt idx="5">
                  <c:v>AstraZeneca</c:v>
                </c:pt>
              </c:strCache>
            </c:strRef>
          </c:cat>
          <c:val>
            <c:numRef>
              <c:f>Sheet1!$D$2:$D$7</c:f>
              <c:numCache>
                <c:formatCode>General</c:formatCode>
                <c:ptCount val="6"/>
                <c:pt idx="0">
                  <c:v>1.82</c:v>
                </c:pt>
                <c:pt idx="1">
                  <c:v>48.58</c:v>
                </c:pt>
                <c:pt idx="2">
                  <c:v>5.49</c:v>
                </c:pt>
                <c:pt idx="3">
                  <c:v>26.36</c:v>
                </c:pt>
                <c:pt idx="4">
                  <c:v>7.33</c:v>
                </c:pt>
                <c:pt idx="5">
                  <c:v>5.34</c:v>
                </c:pt>
              </c:numCache>
            </c:numRef>
          </c:val>
        </c:ser>
        <c:dLbls>
          <c:showLegendKey val="0"/>
          <c:showVal val="0"/>
          <c:showCatName val="0"/>
          <c:showSerName val="0"/>
          <c:showPercent val="0"/>
          <c:showBubbleSize val="0"/>
        </c:dLbls>
        <c:gapWidth val="219"/>
        <c:axId val="1070414448"/>
        <c:axId val="1070416080"/>
      </c:barChart>
      <c:lineChart>
        <c:grouping val="stacked"/>
        <c:varyColors val="0"/>
        <c:ser>
          <c:idx val="3"/>
          <c:order val="3"/>
          <c:tx>
            <c:strRef>
              <c:f>Sheet1!$E$1</c:f>
              <c:strCache>
                <c:ptCount val="1"/>
                <c:pt idx="0">
                  <c:v>EV/EBITDA</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strRef>
              <c:f>Sheet1!$A$2:$A$7</c:f>
              <c:strCache>
                <c:ptCount val="6"/>
                <c:pt idx="0">
                  <c:v>Pfizer</c:v>
                </c:pt>
                <c:pt idx="1">
                  <c:v>Lilly (Eli)</c:v>
                </c:pt>
                <c:pt idx="2">
                  <c:v>J&amp;J</c:v>
                </c:pt>
                <c:pt idx="3">
                  <c:v>AbbVie</c:v>
                </c:pt>
                <c:pt idx="4">
                  <c:v>Merck</c:v>
                </c:pt>
                <c:pt idx="5">
                  <c:v>AstraZeneca</c:v>
                </c:pt>
              </c:strCache>
            </c:strRef>
          </c:cat>
          <c:val>
            <c:numRef>
              <c:f>Sheet1!$E$2:$E$7</c:f>
              <c:numCache>
                <c:formatCode>General</c:formatCode>
                <c:ptCount val="6"/>
                <c:pt idx="0">
                  <c:v>20.239999999999998</c:v>
                </c:pt>
                <c:pt idx="1">
                  <c:v>75.459999999999994</c:v>
                </c:pt>
                <c:pt idx="2">
                  <c:v>13.15</c:v>
                </c:pt>
                <c:pt idx="3">
                  <c:v>15</c:v>
                </c:pt>
                <c:pt idx="4">
                  <c:v>16.41</c:v>
                </c:pt>
                <c:pt idx="5">
                  <c:v>19.420000000000002</c:v>
                </c:pt>
              </c:numCache>
            </c:numRef>
          </c:val>
          <c:smooth val="0"/>
        </c:ser>
        <c:dLbls>
          <c:showLegendKey val="0"/>
          <c:showVal val="0"/>
          <c:showCatName val="0"/>
          <c:showSerName val="0"/>
          <c:showPercent val="0"/>
          <c:showBubbleSize val="0"/>
        </c:dLbls>
        <c:marker val="1"/>
        <c:smooth val="0"/>
        <c:axId val="1060988224"/>
        <c:axId val="1070417712"/>
      </c:lineChart>
      <c:catAx>
        <c:axId val="10704144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416080"/>
        <c:crosses val="autoZero"/>
        <c:auto val="1"/>
        <c:lblAlgn val="ctr"/>
        <c:lblOffset val="100"/>
        <c:noMultiLvlLbl val="0"/>
      </c:catAx>
      <c:valAx>
        <c:axId val="107041608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P/E, Forward P/E, P/BV</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414448"/>
        <c:crosses val="autoZero"/>
        <c:crossBetween val="between"/>
      </c:valAx>
      <c:valAx>
        <c:axId val="1070417712"/>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EV/EBITDA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60988224"/>
        <c:crosses val="max"/>
        <c:crossBetween val="between"/>
      </c:valAx>
      <c:catAx>
        <c:axId val="1060988224"/>
        <c:scaling>
          <c:orientation val="minMax"/>
        </c:scaling>
        <c:delete val="1"/>
        <c:axPos val="b"/>
        <c:numFmt formatCode="General" sourceLinked="1"/>
        <c:majorTickMark val="none"/>
        <c:minorTickMark val="none"/>
        <c:tickLblPos val="nextTo"/>
        <c:crossAx val="10704177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Debt-to-Equity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Sheet1!$A$2:$A$7</c:f>
              <c:strCache>
                <c:ptCount val="6"/>
                <c:pt idx="0">
                  <c:v>Pfizer</c:v>
                </c:pt>
                <c:pt idx="1">
                  <c:v>Lilly (Eli)</c:v>
                </c:pt>
                <c:pt idx="2">
                  <c:v>J&amp;J</c:v>
                </c:pt>
                <c:pt idx="3">
                  <c:v>AbbVie</c:v>
                </c:pt>
                <c:pt idx="4">
                  <c:v>Merck</c:v>
                </c:pt>
                <c:pt idx="5">
                  <c:v>AstraZeneca</c:v>
                </c:pt>
              </c:strCache>
            </c:strRef>
          </c:cat>
          <c:val>
            <c:numRef>
              <c:f>Sheet1!$B$2:$B$7</c:f>
              <c:numCache>
                <c:formatCode>General</c:formatCode>
                <c:ptCount val="6"/>
                <c:pt idx="0">
                  <c:v>1.53</c:v>
                </c:pt>
                <c:pt idx="1">
                  <c:v>4.8899999999999997</c:v>
                </c:pt>
                <c:pt idx="2">
                  <c:v>1.44</c:v>
                </c:pt>
                <c:pt idx="3">
                  <c:v>11.95</c:v>
                </c:pt>
                <c:pt idx="4">
                  <c:v>1.83</c:v>
                </c:pt>
                <c:pt idx="5">
                  <c:v>1.58</c:v>
                </c:pt>
              </c:numCache>
            </c:numRef>
          </c:val>
        </c:ser>
        <c:dLbls>
          <c:showLegendKey val="0"/>
          <c:showVal val="0"/>
          <c:showCatName val="0"/>
          <c:showSerName val="0"/>
          <c:showPercent val="0"/>
          <c:showBubbleSize val="0"/>
        </c:dLbls>
        <c:gapWidth val="100"/>
        <c:overlap val="-24"/>
        <c:axId val="1060987680"/>
        <c:axId val="1060990400"/>
      </c:barChart>
      <c:catAx>
        <c:axId val="10609876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60990400"/>
        <c:crosses val="autoZero"/>
        <c:auto val="1"/>
        <c:lblAlgn val="ctr"/>
        <c:lblOffset val="100"/>
        <c:noMultiLvlLbl val="0"/>
      </c:catAx>
      <c:valAx>
        <c:axId val="10609904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609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Profitability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Sheet1!$A$2:$A$7</c:f>
              <c:strCache>
                <c:ptCount val="6"/>
                <c:pt idx="0">
                  <c:v>Pfizer</c:v>
                </c:pt>
                <c:pt idx="1">
                  <c:v>Lilly (Eli)</c:v>
                </c:pt>
                <c:pt idx="2">
                  <c:v>J&amp;J</c:v>
                </c:pt>
                <c:pt idx="3">
                  <c:v>AbbVie</c:v>
                </c:pt>
                <c:pt idx="4">
                  <c:v>Merck</c:v>
                </c:pt>
                <c:pt idx="5">
                  <c:v>AstraZeneca</c:v>
                </c:pt>
              </c:strCache>
            </c:strRef>
          </c:cat>
          <c:val>
            <c:numRef>
              <c:f>Sheet1!$B$2:$B$7</c:f>
              <c:numCache>
                <c:formatCode>0.00%</c:formatCode>
                <c:ptCount val="6"/>
                <c:pt idx="0">
                  <c:v>2.3699999999999999E-2</c:v>
                </c:pt>
                <c:pt idx="1">
                  <c:v>0.48249999999999998</c:v>
                </c:pt>
                <c:pt idx="2">
                  <c:v>0.5111</c:v>
                </c:pt>
                <c:pt idx="3">
                  <c:v>0.46729999999999999</c:v>
                </c:pt>
                <c:pt idx="4">
                  <c:v>9.7000000000000003E-3</c:v>
                </c:pt>
                <c:pt idx="5">
                  <c:v>0.1522</c:v>
                </c:pt>
              </c:numCache>
            </c:numRef>
          </c:val>
        </c:ser>
        <c:ser>
          <c:idx val="1"/>
          <c:order val="1"/>
          <c:tx>
            <c:strRef>
              <c:f>Sheet1!$C$1</c:f>
              <c:strCache>
                <c:ptCount val="1"/>
                <c:pt idx="0">
                  <c:v>EBITDA/revenue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Sheet1!$A$2:$A$7</c:f>
              <c:strCache>
                <c:ptCount val="6"/>
                <c:pt idx="0">
                  <c:v>Pfizer</c:v>
                </c:pt>
                <c:pt idx="1">
                  <c:v>Lilly (Eli)</c:v>
                </c:pt>
                <c:pt idx="2">
                  <c:v>J&amp;J</c:v>
                </c:pt>
                <c:pt idx="3">
                  <c:v>AbbVie</c:v>
                </c:pt>
                <c:pt idx="4">
                  <c:v>Merck</c:v>
                </c:pt>
                <c:pt idx="5">
                  <c:v>AstraZeneca</c:v>
                </c:pt>
              </c:strCache>
            </c:strRef>
          </c:cat>
          <c:val>
            <c:numRef>
              <c:f>Sheet1!$C$2:$C$7</c:f>
              <c:numCache>
                <c:formatCode>0%</c:formatCode>
                <c:ptCount val="6"/>
                <c:pt idx="0" formatCode="0.00%">
                  <c:v>0.19689999999999999</c:v>
                </c:pt>
                <c:pt idx="1">
                  <c:v>0.36</c:v>
                </c:pt>
                <c:pt idx="2" formatCode="0.00%">
                  <c:v>0.36130000000000001</c:v>
                </c:pt>
                <c:pt idx="3" formatCode="0.00%">
                  <c:v>0.48530000000000001</c:v>
                </c:pt>
                <c:pt idx="4" formatCode="0.00%">
                  <c:v>0.32779999999999998</c:v>
                </c:pt>
                <c:pt idx="5" formatCode="0.00%">
                  <c:v>0.32769999999999999</c:v>
                </c:pt>
              </c:numCache>
            </c:numRef>
          </c:val>
        </c:ser>
        <c:dLbls>
          <c:showLegendKey val="0"/>
          <c:showVal val="0"/>
          <c:showCatName val="0"/>
          <c:showSerName val="0"/>
          <c:showPercent val="0"/>
          <c:showBubbleSize val="0"/>
        </c:dLbls>
        <c:gapWidth val="219"/>
        <c:overlap val="-27"/>
        <c:axId val="1308689360"/>
        <c:axId val="1308687184"/>
      </c:barChart>
      <c:lineChart>
        <c:grouping val="stacked"/>
        <c:varyColors val="0"/>
        <c:ser>
          <c:idx val="2"/>
          <c:order val="2"/>
          <c:tx>
            <c:strRef>
              <c:f>Sheet1!$D$1</c:f>
              <c:strCache>
                <c:ptCount val="1"/>
                <c:pt idx="0">
                  <c:v>Dividend yield</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strRef>
              <c:f>Sheet1!$A$2:$A$7</c:f>
              <c:strCache>
                <c:ptCount val="6"/>
                <c:pt idx="0">
                  <c:v>Pfizer</c:v>
                </c:pt>
                <c:pt idx="1">
                  <c:v>Lilly (Eli)</c:v>
                </c:pt>
                <c:pt idx="2">
                  <c:v>J&amp;J</c:v>
                </c:pt>
                <c:pt idx="3">
                  <c:v>AbbVie</c:v>
                </c:pt>
                <c:pt idx="4">
                  <c:v>Merck</c:v>
                </c:pt>
                <c:pt idx="5">
                  <c:v>AstraZeneca</c:v>
                </c:pt>
              </c:strCache>
            </c:strRef>
          </c:cat>
          <c:val>
            <c:numRef>
              <c:f>Sheet1!$D$2:$D$7</c:f>
              <c:numCache>
                <c:formatCode>0.00%</c:formatCode>
                <c:ptCount val="6"/>
                <c:pt idx="0">
                  <c:v>5.7299999999999997E-2</c:v>
                </c:pt>
                <c:pt idx="1">
                  <c:v>8.0000000000000002E-3</c:v>
                </c:pt>
                <c:pt idx="2">
                  <c:v>2.3E-2</c:v>
                </c:pt>
                <c:pt idx="3">
                  <c:v>0.1162</c:v>
                </c:pt>
                <c:pt idx="4">
                  <c:v>2.7199999999999998E-2</c:v>
                </c:pt>
                <c:pt idx="5">
                  <c:v>2.1499999999999998E-2</c:v>
                </c:pt>
              </c:numCache>
            </c:numRef>
          </c:val>
          <c:smooth val="0"/>
        </c:ser>
        <c:dLbls>
          <c:showLegendKey val="0"/>
          <c:showVal val="0"/>
          <c:showCatName val="0"/>
          <c:showSerName val="0"/>
          <c:showPercent val="0"/>
          <c:showBubbleSize val="0"/>
        </c:dLbls>
        <c:marker val="1"/>
        <c:smooth val="0"/>
        <c:axId val="1308689904"/>
        <c:axId val="1308687728"/>
      </c:lineChart>
      <c:catAx>
        <c:axId val="13086893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08687184"/>
        <c:crosses val="autoZero"/>
        <c:auto val="1"/>
        <c:lblAlgn val="ctr"/>
        <c:lblOffset val="100"/>
        <c:noMultiLvlLbl val="0"/>
      </c:catAx>
      <c:valAx>
        <c:axId val="130868718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ROE, EBITDA/revenue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08689360"/>
        <c:crosses val="autoZero"/>
        <c:crossBetween val="between"/>
      </c:valAx>
      <c:valAx>
        <c:axId val="1308687728"/>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Dividend yield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08689904"/>
        <c:crosses val="max"/>
        <c:crossBetween val="between"/>
      </c:valAx>
      <c:catAx>
        <c:axId val="1308689904"/>
        <c:scaling>
          <c:orientation val="minMax"/>
        </c:scaling>
        <c:delete val="1"/>
        <c:axPos val="b"/>
        <c:numFmt formatCode="General" sourceLinked="1"/>
        <c:majorTickMark val="none"/>
        <c:minorTickMark val="none"/>
        <c:tickLblPos val="nextTo"/>
        <c:crossAx val="1308687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Debt-to-Equity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Sheet1!$A$2:$A$8</c:f>
              <c:strCache>
                <c:ptCount val="6"/>
                <c:pt idx="0">
                  <c:v>Tesla</c:v>
                </c:pt>
                <c:pt idx="1">
                  <c:v>Toyota</c:v>
                </c:pt>
                <c:pt idx="2">
                  <c:v>BYD</c:v>
                </c:pt>
                <c:pt idx="3">
                  <c:v>GM</c:v>
                </c:pt>
                <c:pt idx="4">
                  <c:v>Stellantis</c:v>
                </c:pt>
                <c:pt idx="5">
                  <c:v>Rivian</c:v>
                </c:pt>
              </c:strCache>
            </c:strRef>
          </c:cat>
          <c:val>
            <c:numRef>
              <c:f>Sheet1!$B$2:$B$8</c:f>
              <c:numCache>
                <c:formatCode>General</c:formatCode>
                <c:ptCount val="7"/>
                <c:pt idx="0">
                  <c:v>0.69</c:v>
                </c:pt>
                <c:pt idx="1">
                  <c:v>0.8</c:v>
                </c:pt>
                <c:pt idx="2">
                  <c:v>3.52</c:v>
                </c:pt>
                <c:pt idx="3">
                  <c:v>3</c:v>
                </c:pt>
                <c:pt idx="4">
                  <c:v>1.46</c:v>
                </c:pt>
                <c:pt idx="5">
                  <c:v>0.84</c:v>
                </c:pt>
              </c:numCache>
            </c:numRef>
          </c:val>
        </c:ser>
        <c:dLbls>
          <c:showLegendKey val="0"/>
          <c:showVal val="0"/>
          <c:showCatName val="0"/>
          <c:showSerName val="0"/>
          <c:showPercent val="0"/>
          <c:showBubbleSize val="0"/>
        </c:dLbls>
        <c:gapWidth val="100"/>
        <c:overlap val="-24"/>
        <c:axId val="1310844080"/>
        <c:axId val="1310850064"/>
      </c:barChart>
      <c:catAx>
        <c:axId val="1310844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10850064"/>
        <c:crosses val="autoZero"/>
        <c:auto val="1"/>
        <c:lblAlgn val="ctr"/>
        <c:lblOffset val="100"/>
        <c:noMultiLvlLbl val="0"/>
      </c:catAx>
      <c:valAx>
        <c:axId val="13108500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1084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Profitability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Sheet1!$A$2:$A$7</c:f>
              <c:strCache>
                <c:ptCount val="6"/>
                <c:pt idx="0">
                  <c:v>Tesla</c:v>
                </c:pt>
                <c:pt idx="1">
                  <c:v>Toyota</c:v>
                </c:pt>
                <c:pt idx="2">
                  <c:v>BYD</c:v>
                </c:pt>
                <c:pt idx="3">
                  <c:v>GM</c:v>
                </c:pt>
                <c:pt idx="4">
                  <c:v>Stellantis</c:v>
                </c:pt>
                <c:pt idx="5">
                  <c:v>Rivian</c:v>
                </c:pt>
              </c:strCache>
            </c:strRef>
          </c:cat>
          <c:val>
            <c:numRef>
              <c:f>Sheet1!$B$2:$B$7</c:f>
              <c:numCache>
                <c:formatCode>0.00%</c:formatCode>
                <c:ptCount val="6"/>
                <c:pt idx="0" formatCode="0%">
                  <c:v>0.24</c:v>
                </c:pt>
                <c:pt idx="1">
                  <c:v>3.85E-2</c:v>
                </c:pt>
                <c:pt idx="2">
                  <c:v>0.19969999999999999</c:v>
                </c:pt>
                <c:pt idx="3">
                  <c:v>0.14829999999999999</c:v>
                </c:pt>
                <c:pt idx="4">
                  <c:v>0.22650000000000001</c:v>
                </c:pt>
                <c:pt idx="5">
                  <c:v>-0.59409999999999996</c:v>
                </c:pt>
              </c:numCache>
            </c:numRef>
          </c:val>
        </c:ser>
        <c:ser>
          <c:idx val="1"/>
          <c:order val="1"/>
          <c:tx>
            <c:strRef>
              <c:f>Sheet1!$C$1</c:f>
              <c:strCache>
                <c:ptCount val="1"/>
                <c:pt idx="0">
                  <c:v>EBITDA/revenue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Sheet1!$A$2:$A$7</c:f>
              <c:strCache>
                <c:ptCount val="6"/>
                <c:pt idx="0">
                  <c:v>Tesla</c:v>
                </c:pt>
                <c:pt idx="1">
                  <c:v>Toyota</c:v>
                </c:pt>
                <c:pt idx="2">
                  <c:v>BYD</c:v>
                </c:pt>
                <c:pt idx="3">
                  <c:v>GM</c:v>
                </c:pt>
                <c:pt idx="4">
                  <c:v>Stellantis</c:v>
                </c:pt>
                <c:pt idx="5">
                  <c:v>Rivian</c:v>
                </c:pt>
              </c:strCache>
            </c:strRef>
          </c:cat>
          <c:val>
            <c:numRef>
              <c:f>Sheet1!$C$2:$C$7</c:f>
              <c:numCache>
                <c:formatCode>0.00%</c:formatCode>
                <c:ptCount val="6"/>
                <c:pt idx="0" formatCode="0%">
                  <c:v>0.14000000000000001</c:v>
                </c:pt>
                <c:pt idx="1">
                  <c:v>0.12659999999999999</c:v>
                </c:pt>
                <c:pt idx="2">
                  <c:v>7.9399999999999998E-2</c:v>
                </c:pt>
                <c:pt idx="3">
                  <c:v>9.1800000000000007E-2</c:v>
                </c:pt>
                <c:pt idx="4">
                  <c:v>0.1462</c:v>
                </c:pt>
                <c:pt idx="5" formatCode="0%">
                  <c:v>-1.08</c:v>
                </c:pt>
              </c:numCache>
            </c:numRef>
          </c:val>
        </c:ser>
        <c:ser>
          <c:idx val="2"/>
          <c:order val="2"/>
          <c:tx>
            <c:strRef>
              <c:f>Sheet1!$D$1</c:f>
              <c:strCache>
                <c:ptCount val="1"/>
                <c:pt idx="0">
                  <c:v>Net margin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Sheet1!$A$2:$A$7</c:f>
              <c:strCache>
                <c:ptCount val="6"/>
                <c:pt idx="0">
                  <c:v>Tesla</c:v>
                </c:pt>
                <c:pt idx="1">
                  <c:v>Toyota</c:v>
                </c:pt>
                <c:pt idx="2">
                  <c:v>BYD</c:v>
                </c:pt>
                <c:pt idx="3">
                  <c:v>GM</c:v>
                </c:pt>
                <c:pt idx="4">
                  <c:v>Stellantis</c:v>
                </c:pt>
                <c:pt idx="5">
                  <c:v>Rivian</c:v>
                </c:pt>
              </c:strCache>
            </c:strRef>
          </c:cat>
          <c:val>
            <c:numRef>
              <c:f>Sheet1!$D$2:$D$7</c:f>
              <c:numCache>
                <c:formatCode>0.00%</c:formatCode>
                <c:ptCount val="6"/>
                <c:pt idx="0">
                  <c:v>0.15720000000000001</c:v>
                </c:pt>
                <c:pt idx="1">
                  <c:v>6.1800000000000001E-2</c:v>
                </c:pt>
                <c:pt idx="2" formatCode="0%">
                  <c:v>0.05</c:v>
                </c:pt>
                <c:pt idx="3">
                  <c:v>5.8999999999999997E-2</c:v>
                </c:pt>
                <c:pt idx="4">
                  <c:v>9.8100000000000007E-2</c:v>
                </c:pt>
                <c:pt idx="5">
                  <c:v>-1.2257</c:v>
                </c:pt>
              </c:numCache>
            </c:numRef>
          </c:val>
        </c:ser>
        <c:dLbls>
          <c:showLegendKey val="0"/>
          <c:showVal val="0"/>
          <c:showCatName val="0"/>
          <c:showSerName val="0"/>
          <c:showPercent val="0"/>
          <c:showBubbleSize val="0"/>
        </c:dLbls>
        <c:gapWidth val="100"/>
        <c:overlap val="-24"/>
        <c:axId val="1134971840"/>
        <c:axId val="1134970752"/>
      </c:barChart>
      <c:catAx>
        <c:axId val="1134971840"/>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34970752"/>
        <c:crosses val="autoZero"/>
        <c:auto val="1"/>
        <c:lblAlgn val="ctr"/>
        <c:lblOffset val="100"/>
        <c:noMultiLvlLbl val="0"/>
      </c:catAx>
      <c:valAx>
        <c:axId val="113497075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3497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Valuation Ratios</a:t>
            </a:r>
          </a:p>
        </c:rich>
      </c:tx>
      <c:layout>
        <c:manualLayout>
          <c:xMode val="edge"/>
          <c:yMode val="edge"/>
          <c:x val="0.3643923155438904"/>
          <c:y val="3.96825396825396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Netflix</c:v>
                </c:pt>
                <c:pt idx="1">
                  <c:v>Apple</c:v>
                </c:pt>
                <c:pt idx="2">
                  <c:v>Amazon</c:v>
                </c:pt>
                <c:pt idx="3">
                  <c:v>Disney</c:v>
                </c:pt>
                <c:pt idx="4">
                  <c:v>Paramount</c:v>
                </c:pt>
              </c:strCache>
            </c:strRef>
          </c:cat>
          <c:val>
            <c:numRef>
              <c:f>Sheet1!$B$2:$B$6</c:f>
              <c:numCache>
                <c:formatCode>General</c:formatCode>
                <c:ptCount val="5"/>
                <c:pt idx="0">
                  <c:v>40.47</c:v>
                </c:pt>
                <c:pt idx="1">
                  <c:v>31.41</c:v>
                </c:pt>
                <c:pt idx="2">
                  <c:v>52.39</c:v>
                </c:pt>
                <c:pt idx="3">
                  <c:v>24</c:v>
                </c:pt>
                <c:pt idx="4">
                  <c:v>28.44</c:v>
                </c:pt>
              </c:numCache>
            </c:numRef>
          </c:val>
        </c:ser>
        <c:ser>
          <c:idx val="1"/>
          <c:order val="1"/>
          <c:tx>
            <c:strRef>
              <c:f>Sheet1!$C$1</c:f>
              <c:strCache>
                <c:ptCount val="1"/>
                <c:pt idx="0">
                  <c:v>Forward P/E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Sheet1!$A$2:$A$6</c:f>
              <c:strCache>
                <c:ptCount val="5"/>
                <c:pt idx="0">
                  <c:v>Netflix</c:v>
                </c:pt>
                <c:pt idx="1">
                  <c:v>Apple</c:v>
                </c:pt>
                <c:pt idx="2">
                  <c:v>Amazon</c:v>
                </c:pt>
                <c:pt idx="3">
                  <c:v>Disney</c:v>
                </c:pt>
                <c:pt idx="4">
                  <c:v>Paramount</c:v>
                </c:pt>
              </c:strCache>
            </c:strRef>
          </c:cat>
          <c:val>
            <c:numRef>
              <c:f>Sheet1!$C$2:$C$6</c:f>
              <c:numCache>
                <c:formatCode>General</c:formatCode>
                <c:ptCount val="5"/>
                <c:pt idx="0">
                  <c:v>33.67</c:v>
                </c:pt>
                <c:pt idx="1">
                  <c:v>28.23</c:v>
                </c:pt>
                <c:pt idx="2">
                  <c:v>42.21</c:v>
                </c:pt>
                <c:pt idx="3">
                  <c:v>22.69</c:v>
                </c:pt>
                <c:pt idx="4">
                  <c:v>27.91</c:v>
                </c:pt>
              </c:numCache>
            </c:numRef>
          </c:val>
        </c:ser>
        <c:ser>
          <c:idx val="2"/>
          <c:order val="2"/>
          <c:tx>
            <c:strRef>
              <c:f>Sheet1!$D$1</c:f>
              <c:strCache>
                <c:ptCount val="1"/>
                <c:pt idx="0">
                  <c:v>PEG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Sheet1!$A$2:$A$6</c:f>
              <c:strCache>
                <c:ptCount val="5"/>
                <c:pt idx="0">
                  <c:v>Netflix</c:v>
                </c:pt>
                <c:pt idx="1">
                  <c:v>Apple</c:v>
                </c:pt>
                <c:pt idx="2">
                  <c:v>Amazon</c:v>
                </c:pt>
                <c:pt idx="3">
                  <c:v>Disney</c:v>
                </c:pt>
                <c:pt idx="4">
                  <c:v>Paramount</c:v>
                </c:pt>
              </c:strCache>
            </c:strRef>
          </c:cat>
          <c:val>
            <c:numRef>
              <c:f>Sheet1!$D$2:$D$6</c:f>
              <c:numCache>
                <c:formatCode>General</c:formatCode>
                <c:ptCount val="5"/>
                <c:pt idx="0">
                  <c:v>1.99</c:v>
                </c:pt>
                <c:pt idx="1">
                  <c:v>2.79</c:v>
                </c:pt>
                <c:pt idx="2">
                  <c:v>2.1800000000000002</c:v>
                </c:pt>
                <c:pt idx="3">
                  <c:v>2.75</c:v>
                </c:pt>
                <c:pt idx="4">
                  <c:v>2.61</c:v>
                </c:pt>
              </c:numCache>
            </c:numRef>
          </c:val>
        </c:ser>
        <c:dLbls>
          <c:showLegendKey val="0"/>
          <c:showVal val="0"/>
          <c:showCatName val="0"/>
          <c:showSerName val="0"/>
          <c:showPercent val="0"/>
          <c:showBubbleSize val="0"/>
        </c:dLbls>
        <c:gapWidth val="219"/>
        <c:axId val="1134972384"/>
        <c:axId val="1134972928"/>
      </c:barChart>
      <c:lineChart>
        <c:grouping val="stacked"/>
        <c:varyColors val="0"/>
        <c:ser>
          <c:idx val="3"/>
          <c:order val="3"/>
          <c:tx>
            <c:strRef>
              <c:f>Sheet1!$E$1</c:f>
              <c:strCache>
                <c:ptCount val="1"/>
                <c:pt idx="0">
                  <c:v>EV/EBIT</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strRef>
              <c:f>Sheet1!$A$2:$A$6</c:f>
              <c:strCache>
                <c:ptCount val="5"/>
                <c:pt idx="0">
                  <c:v>Netflix</c:v>
                </c:pt>
                <c:pt idx="1">
                  <c:v>Apple</c:v>
                </c:pt>
                <c:pt idx="2">
                  <c:v>Amazon</c:v>
                </c:pt>
                <c:pt idx="3">
                  <c:v>Disney</c:v>
                </c:pt>
                <c:pt idx="4">
                  <c:v>Paramount</c:v>
                </c:pt>
              </c:strCache>
            </c:strRef>
          </c:cat>
          <c:val>
            <c:numRef>
              <c:f>Sheet1!$E$2:$E$6</c:f>
              <c:numCache>
                <c:formatCode>General</c:formatCode>
                <c:ptCount val="5"/>
                <c:pt idx="0">
                  <c:v>31.37</c:v>
                </c:pt>
                <c:pt idx="1">
                  <c:v>26.9</c:v>
                </c:pt>
                <c:pt idx="2">
                  <c:v>64</c:v>
                </c:pt>
                <c:pt idx="3">
                  <c:v>33</c:v>
                </c:pt>
                <c:pt idx="4">
                  <c:v>-65</c:v>
                </c:pt>
              </c:numCache>
            </c:numRef>
          </c:val>
          <c:smooth val="0"/>
        </c:ser>
        <c:dLbls>
          <c:showLegendKey val="0"/>
          <c:showVal val="0"/>
          <c:showCatName val="0"/>
          <c:showSerName val="0"/>
          <c:showPercent val="0"/>
          <c:showBubbleSize val="0"/>
        </c:dLbls>
        <c:marker val="1"/>
        <c:smooth val="0"/>
        <c:axId val="1134969664"/>
        <c:axId val="1134969120"/>
      </c:lineChart>
      <c:catAx>
        <c:axId val="1134972384"/>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34972928"/>
        <c:crosses val="autoZero"/>
        <c:auto val="1"/>
        <c:lblAlgn val="ctr"/>
        <c:lblOffset val="100"/>
        <c:noMultiLvlLbl val="0"/>
      </c:catAx>
      <c:valAx>
        <c:axId val="11349729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P/E, Forward P/E, PEG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34972384"/>
        <c:crosses val="autoZero"/>
        <c:crossBetween val="between"/>
      </c:valAx>
      <c:valAx>
        <c:axId val="1134969120"/>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EV/EBIT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34969664"/>
        <c:crosses val="max"/>
        <c:crossBetween val="between"/>
      </c:valAx>
      <c:catAx>
        <c:axId val="1134969664"/>
        <c:scaling>
          <c:orientation val="minMax"/>
        </c:scaling>
        <c:delete val="1"/>
        <c:axPos val="b"/>
        <c:numFmt formatCode="General" sourceLinked="1"/>
        <c:majorTickMark val="none"/>
        <c:minorTickMark val="none"/>
        <c:tickLblPos val="nextTo"/>
        <c:crossAx val="1134969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Debt-to-Equity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Netflix</c:v>
                </c:pt>
                <c:pt idx="1">
                  <c:v>Apple</c:v>
                </c:pt>
                <c:pt idx="2">
                  <c:v>Amazon</c:v>
                </c:pt>
                <c:pt idx="3">
                  <c:v>Disney</c:v>
                </c:pt>
                <c:pt idx="4">
                  <c:v>Paramount</c:v>
                </c:pt>
              </c:strCache>
            </c:strRef>
          </c:cat>
          <c:val>
            <c:numRef>
              <c:f>Sheet1!$B$2:$B$6</c:f>
              <c:numCache>
                <c:formatCode>General</c:formatCode>
                <c:ptCount val="5"/>
                <c:pt idx="0">
                  <c:v>1.37</c:v>
                </c:pt>
                <c:pt idx="1">
                  <c:v>4.67</c:v>
                </c:pt>
                <c:pt idx="2">
                  <c:v>1.61</c:v>
                </c:pt>
                <c:pt idx="3">
                  <c:v>0.82</c:v>
                </c:pt>
                <c:pt idx="4">
                  <c:v>1.32</c:v>
                </c:pt>
              </c:numCache>
            </c:numRef>
          </c:val>
        </c:ser>
        <c:dLbls>
          <c:showLegendKey val="0"/>
          <c:showVal val="0"/>
          <c:showCatName val="0"/>
          <c:showSerName val="0"/>
          <c:showPercent val="0"/>
          <c:showBubbleSize val="0"/>
        </c:dLbls>
        <c:gapWidth val="100"/>
        <c:overlap val="-24"/>
        <c:axId val="1142731744"/>
        <c:axId val="1142726848"/>
      </c:barChart>
      <c:catAx>
        <c:axId val="11427317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2726848"/>
        <c:crosses val="autoZero"/>
        <c:auto val="1"/>
        <c:lblAlgn val="ctr"/>
        <c:lblOffset val="100"/>
        <c:noMultiLvlLbl val="0"/>
      </c:catAx>
      <c:valAx>
        <c:axId val="11427268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273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Profitability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Netflix</c:v>
                </c:pt>
                <c:pt idx="1">
                  <c:v>Apple</c:v>
                </c:pt>
                <c:pt idx="2">
                  <c:v>Amazon</c:v>
                </c:pt>
                <c:pt idx="3">
                  <c:v>Disney</c:v>
                </c:pt>
                <c:pt idx="4">
                  <c:v>Paramount</c:v>
                </c:pt>
              </c:strCache>
            </c:strRef>
          </c:cat>
          <c:val>
            <c:numRef>
              <c:f>Sheet1!$B$2:$B$6</c:f>
              <c:numCache>
                <c:formatCode>0%</c:formatCode>
                <c:ptCount val="5"/>
                <c:pt idx="0" formatCode="0.00%">
                  <c:v>0.26269999999999999</c:v>
                </c:pt>
                <c:pt idx="1">
                  <c:v>1.56</c:v>
                </c:pt>
                <c:pt idx="2" formatCode="0.00%">
                  <c:v>0.1507</c:v>
                </c:pt>
                <c:pt idx="3" formatCode="0.00%">
                  <c:v>2.0799999999999999E-2</c:v>
                </c:pt>
                <c:pt idx="4" formatCode="0.00%">
                  <c:v>-2.64E-2</c:v>
                </c:pt>
              </c:numCache>
            </c:numRef>
          </c:val>
        </c:ser>
        <c:dLbls>
          <c:showLegendKey val="0"/>
          <c:showVal val="0"/>
          <c:showCatName val="0"/>
          <c:showSerName val="0"/>
          <c:showPercent val="0"/>
          <c:showBubbleSize val="0"/>
        </c:dLbls>
        <c:gapWidth val="219"/>
        <c:axId val="1142729024"/>
        <c:axId val="1142730112"/>
      </c:barChart>
      <c:lineChart>
        <c:grouping val="stacked"/>
        <c:varyColors val="0"/>
        <c:ser>
          <c:idx val="1"/>
          <c:order val="1"/>
          <c:tx>
            <c:strRef>
              <c:f>Sheet1!$C$1</c:f>
              <c:strCache>
                <c:ptCount val="1"/>
                <c:pt idx="0">
                  <c:v>EBIT/revenue</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strRef>
              <c:f>Sheet1!$A$2:$A$6</c:f>
              <c:strCache>
                <c:ptCount val="5"/>
                <c:pt idx="0">
                  <c:v>Netflix</c:v>
                </c:pt>
                <c:pt idx="1">
                  <c:v>Apple</c:v>
                </c:pt>
                <c:pt idx="2">
                  <c:v>Amazon</c:v>
                </c:pt>
                <c:pt idx="3">
                  <c:v>Disney</c:v>
                </c:pt>
                <c:pt idx="4">
                  <c:v>Paramount</c:v>
                </c:pt>
              </c:strCache>
            </c:strRef>
          </c:cat>
          <c:val>
            <c:numRef>
              <c:f>Sheet1!$C$2:$C$6</c:f>
              <c:numCache>
                <c:formatCode>0.00%</c:formatCode>
                <c:ptCount val="5"/>
                <c:pt idx="0">
                  <c:v>0.20619999999999999</c:v>
                </c:pt>
                <c:pt idx="1">
                  <c:v>0.29820000000000002</c:v>
                </c:pt>
                <c:pt idx="2">
                  <c:v>4.3299999999999998E-2</c:v>
                </c:pt>
                <c:pt idx="3">
                  <c:v>6.7199999999999996E-2</c:v>
                </c:pt>
                <c:pt idx="4">
                  <c:v>-1.12E-2</c:v>
                </c:pt>
              </c:numCache>
            </c:numRef>
          </c:val>
          <c:smooth val="0"/>
        </c:ser>
        <c:dLbls>
          <c:showLegendKey val="0"/>
          <c:showVal val="0"/>
          <c:showCatName val="0"/>
          <c:showSerName val="0"/>
          <c:showPercent val="0"/>
          <c:showBubbleSize val="0"/>
        </c:dLbls>
        <c:marker val="1"/>
        <c:smooth val="0"/>
        <c:axId val="1016838560"/>
        <c:axId val="1016841824"/>
      </c:lineChart>
      <c:catAx>
        <c:axId val="1142729024"/>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2730112"/>
        <c:crosses val="autoZero"/>
        <c:auto val="1"/>
        <c:lblAlgn val="ctr"/>
        <c:lblOffset val="100"/>
        <c:noMultiLvlLbl val="0"/>
      </c:catAx>
      <c:valAx>
        <c:axId val="11427301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ROE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2729024"/>
        <c:crosses val="autoZero"/>
        <c:crossBetween val="between"/>
      </c:valAx>
      <c:valAx>
        <c:axId val="1016841824"/>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EBIT/revenue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6838560"/>
        <c:crosses val="max"/>
        <c:crossBetween val="between"/>
      </c:valAx>
      <c:catAx>
        <c:axId val="1016838560"/>
        <c:scaling>
          <c:orientation val="minMax"/>
        </c:scaling>
        <c:delete val="1"/>
        <c:axPos val="b"/>
        <c:numFmt formatCode="General" sourceLinked="1"/>
        <c:majorTickMark val="none"/>
        <c:minorTickMark val="none"/>
        <c:tickLblPos val="nextTo"/>
        <c:crossAx val="1016841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Valuation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Nvidia</c:v>
                </c:pt>
                <c:pt idx="1">
                  <c:v>Broadcom</c:v>
                </c:pt>
                <c:pt idx="2">
                  <c:v>AMD</c:v>
                </c:pt>
                <c:pt idx="3">
                  <c:v>Qualcomm</c:v>
                </c:pt>
                <c:pt idx="4">
                  <c:v>Intel</c:v>
                </c:pt>
              </c:strCache>
            </c:strRef>
          </c:cat>
          <c:val>
            <c:numRef>
              <c:f>Sheet1!$B$2:$B$6</c:f>
              <c:numCache>
                <c:formatCode>General</c:formatCode>
                <c:ptCount val="5"/>
                <c:pt idx="0">
                  <c:v>38</c:v>
                </c:pt>
                <c:pt idx="1">
                  <c:v>26.39</c:v>
                </c:pt>
                <c:pt idx="2">
                  <c:v>55.63</c:v>
                </c:pt>
                <c:pt idx="3">
                  <c:v>17.16</c:v>
                </c:pt>
                <c:pt idx="4">
                  <c:v>47.86</c:v>
                </c:pt>
              </c:numCache>
            </c:numRef>
          </c:val>
        </c:ser>
        <c:ser>
          <c:idx val="1"/>
          <c:order val="1"/>
          <c:tx>
            <c:strRef>
              <c:f>Sheet1!$C$1</c:f>
              <c:strCache>
                <c:ptCount val="1"/>
                <c:pt idx="0">
                  <c:v>Forward P/E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Sheet1!$A$2:$A$6</c:f>
              <c:strCache>
                <c:ptCount val="5"/>
                <c:pt idx="0">
                  <c:v>Nvidia</c:v>
                </c:pt>
                <c:pt idx="1">
                  <c:v>Broadcom</c:v>
                </c:pt>
                <c:pt idx="2">
                  <c:v>AMD</c:v>
                </c:pt>
                <c:pt idx="3">
                  <c:v>Qualcomm</c:v>
                </c:pt>
                <c:pt idx="4">
                  <c:v>Intel</c:v>
                </c:pt>
              </c:strCache>
            </c:strRef>
          </c:cat>
          <c:val>
            <c:numRef>
              <c:f>Sheet1!$C$2:$C$6</c:f>
              <c:numCache>
                <c:formatCode>General</c:formatCode>
                <c:ptCount val="5"/>
                <c:pt idx="0">
                  <c:v>26.91</c:v>
                </c:pt>
                <c:pt idx="1">
                  <c:v>20.67</c:v>
                </c:pt>
                <c:pt idx="2">
                  <c:v>34.93</c:v>
                </c:pt>
                <c:pt idx="3">
                  <c:v>15.44</c:v>
                </c:pt>
                <c:pt idx="4">
                  <c:v>36.950000000000003</c:v>
                </c:pt>
              </c:numCache>
            </c:numRef>
          </c:val>
        </c:ser>
        <c:ser>
          <c:idx val="2"/>
          <c:order val="2"/>
          <c:tx>
            <c:strRef>
              <c:f>Sheet1!$D$1</c:f>
              <c:strCache>
                <c:ptCount val="1"/>
                <c:pt idx="0">
                  <c:v>PEG</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Sheet1!$A$2:$A$6</c:f>
              <c:strCache>
                <c:ptCount val="5"/>
                <c:pt idx="0">
                  <c:v>Nvidia</c:v>
                </c:pt>
                <c:pt idx="1">
                  <c:v>Broadcom</c:v>
                </c:pt>
                <c:pt idx="2">
                  <c:v>AMD</c:v>
                </c:pt>
                <c:pt idx="3">
                  <c:v>Qualcomm</c:v>
                </c:pt>
                <c:pt idx="4">
                  <c:v>Intel</c:v>
                </c:pt>
              </c:strCache>
            </c:strRef>
          </c:cat>
          <c:val>
            <c:numRef>
              <c:f>Sheet1!$D$2:$D$6</c:f>
              <c:numCache>
                <c:formatCode>General</c:formatCode>
                <c:ptCount val="5"/>
                <c:pt idx="0">
                  <c:v>0.91</c:v>
                </c:pt>
                <c:pt idx="1">
                  <c:v>1.8</c:v>
                </c:pt>
                <c:pt idx="2">
                  <c:v>1.77</c:v>
                </c:pt>
                <c:pt idx="3">
                  <c:v>1.26</c:v>
                </c:pt>
                <c:pt idx="4">
                  <c:v>3.06</c:v>
                </c:pt>
              </c:numCache>
            </c:numRef>
          </c:val>
        </c:ser>
        <c:dLbls>
          <c:showLegendKey val="0"/>
          <c:showVal val="0"/>
          <c:showCatName val="0"/>
          <c:showSerName val="0"/>
          <c:showPercent val="0"/>
          <c:showBubbleSize val="0"/>
        </c:dLbls>
        <c:gapWidth val="219"/>
        <c:axId val="1016839648"/>
        <c:axId val="1016840192"/>
      </c:barChart>
      <c:lineChart>
        <c:grouping val="stacked"/>
        <c:varyColors val="0"/>
        <c:ser>
          <c:idx val="3"/>
          <c:order val="3"/>
          <c:tx>
            <c:strRef>
              <c:f>Sheet1!$E$1</c:f>
              <c:strCache>
                <c:ptCount val="1"/>
                <c:pt idx="0">
                  <c:v>EV/EBITDA</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strRef>
              <c:f>Sheet1!$A$2:$A$6</c:f>
              <c:strCache>
                <c:ptCount val="5"/>
                <c:pt idx="0">
                  <c:v>Nvidia</c:v>
                </c:pt>
                <c:pt idx="1">
                  <c:v>Broadcom</c:v>
                </c:pt>
                <c:pt idx="2">
                  <c:v>AMD</c:v>
                </c:pt>
                <c:pt idx="3">
                  <c:v>Qualcomm</c:v>
                </c:pt>
                <c:pt idx="4">
                  <c:v>Intel</c:v>
                </c:pt>
              </c:strCache>
            </c:strRef>
          </c:cat>
          <c:val>
            <c:numRef>
              <c:f>Sheet1!$E$2:$E$6</c:f>
              <c:numCache>
                <c:formatCode>General</c:formatCode>
                <c:ptCount val="5"/>
                <c:pt idx="0">
                  <c:v>92.52</c:v>
                </c:pt>
                <c:pt idx="1">
                  <c:v>39.58</c:v>
                </c:pt>
                <c:pt idx="2">
                  <c:v>64.77</c:v>
                </c:pt>
                <c:pt idx="3">
                  <c:v>19.14</c:v>
                </c:pt>
                <c:pt idx="4">
                  <c:v>13.5</c:v>
                </c:pt>
              </c:numCache>
            </c:numRef>
          </c:val>
          <c:smooth val="0"/>
        </c:ser>
        <c:dLbls>
          <c:showLegendKey val="0"/>
          <c:showVal val="0"/>
          <c:showCatName val="0"/>
          <c:showSerName val="0"/>
          <c:showPercent val="0"/>
          <c:showBubbleSize val="0"/>
        </c:dLbls>
        <c:marker val="1"/>
        <c:smooth val="0"/>
        <c:axId val="1024310688"/>
        <c:axId val="1016840736"/>
      </c:lineChart>
      <c:catAx>
        <c:axId val="10168396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6840192"/>
        <c:crosses val="autoZero"/>
        <c:auto val="1"/>
        <c:lblAlgn val="ctr"/>
        <c:lblOffset val="100"/>
        <c:noMultiLvlLbl val="0"/>
      </c:catAx>
      <c:valAx>
        <c:axId val="10168401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P/E, Forward P/E, PEG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6839648"/>
        <c:crosses val="autoZero"/>
        <c:crossBetween val="between"/>
      </c:valAx>
      <c:valAx>
        <c:axId val="1016840736"/>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EV/EBITDA</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24310688"/>
        <c:crosses val="max"/>
        <c:crossBetween val="between"/>
      </c:valAx>
      <c:catAx>
        <c:axId val="1024310688"/>
        <c:scaling>
          <c:orientation val="minMax"/>
        </c:scaling>
        <c:delete val="1"/>
        <c:axPos val="b"/>
        <c:numFmt formatCode="General" sourceLinked="1"/>
        <c:majorTickMark val="none"/>
        <c:minorTickMark val="none"/>
        <c:tickLblPos val="nextTo"/>
        <c:crossAx val="10168407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Debt-to-Equity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Nvidia</c:v>
                </c:pt>
                <c:pt idx="1">
                  <c:v>Broadcom</c:v>
                </c:pt>
                <c:pt idx="2">
                  <c:v>AMD</c:v>
                </c:pt>
                <c:pt idx="3">
                  <c:v>Qualcomm</c:v>
                </c:pt>
                <c:pt idx="4">
                  <c:v>Intel</c:v>
                </c:pt>
              </c:strCache>
            </c:strRef>
          </c:cat>
          <c:val>
            <c:numRef>
              <c:f>Sheet1!$B$2:$B$6</c:f>
              <c:numCache>
                <c:formatCode>General</c:formatCode>
                <c:ptCount val="5"/>
                <c:pt idx="0">
                  <c:v>0.53</c:v>
                </c:pt>
                <c:pt idx="1">
                  <c:v>2.04</c:v>
                </c:pt>
                <c:pt idx="2">
                  <c:v>0.21</c:v>
                </c:pt>
                <c:pt idx="3">
                  <c:v>1.37</c:v>
                </c:pt>
                <c:pt idx="4">
                  <c:v>0.74</c:v>
                </c:pt>
              </c:numCache>
            </c:numRef>
          </c:val>
        </c:ser>
        <c:dLbls>
          <c:showLegendKey val="0"/>
          <c:showVal val="0"/>
          <c:showCatName val="0"/>
          <c:showSerName val="0"/>
          <c:showPercent val="0"/>
          <c:showBubbleSize val="0"/>
        </c:dLbls>
        <c:gapWidth val="100"/>
        <c:overlap val="-24"/>
        <c:axId val="1024310144"/>
        <c:axId val="1024308512"/>
      </c:barChart>
      <c:catAx>
        <c:axId val="10243101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24308512"/>
        <c:crosses val="autoZero"/>
        <c:auto val="1"/>
        <c:lblAlgn val="ctr"/>
        <c:lblOffset val="100"/>
        <c:noMultiLvlLbl val="0"/>
      </c:catAx>
      <c:valAx>
        <c:axId val="10243085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243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Profitability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Sheet1!$A$2:$A$6</c:f>
              <c:strCache>
                <c:ptCount val="5"/>
                <c:pt idx="0">
                  <c:v>Nvidia</c:v>
                </c:pt>
                <c:pt idx="1">
                  <c:v>Broadcom</c:v>
                </c:pt>
                <c:pt idx="2">
                  <c:v>AMD</c:v>
                </c:pt>
                <c:pt idx="3">
                  <c:v>Qualcomm</c:v>
                </c:pt>
                <c:pt idx="4">
                  <c:v>Intel</c:v>
                </c:pt>
              </c:strCache>
            </c:strRef>
          </c:cat>
          <c:val>
            <c:numRef>
              <c:f>Sheet1!$B$2:$B$6</c:f>
              <c:numCache>
                <c:formatCode>0.00%</c:formatCode>
                <c:ptCount val="5"/>
                <c:pt idx="0">
                  <c:v>0.69240000000000002</c:v>
                </c:pt>
                <c:pt idx="1">
                  <c:v>0.58689999999999998</c:v>
                </c:pt>
                <c:pt idx="2">
                  <c:v>1.5299999999999999E-2</c:v>
                </c:pt>
                <c:pt idx="3">
                  <c:v>0.33500000000000002</c:v>
                </c:pt>
                <c:pt idx="4">
                  <c:v>1.54E-2</c:v>
                </c:pt>
              </c:numCache>
            </c:numRef>
          </c:val>
        </c:ser>
        <c:ser>
          <c:idx val="1"/>
          <c:order val="1"/>
          <c:tx>
            <c:strRef>
              <c:f>Sheet1!$C$1</c:f>
              <c:strCache>
                <c:ptCount val="1"/>
                <c:pt idx="0">
                  <c:v>EBITDA/revenue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Sheet1!$A$2:$A$6</c:f>
              <c:strCache>
                <c:ptCount val="5"/>
                <c:pt idx="0">
                  <c:v>Nvidia</c:v>
                </c:pt>
                <c:pt idx="1">
                  <c:v>Broadcom</c:v>
                </c:pt>
                <c:pt idx="2">
                  <c:v>AMD</c:v>
                </c:pt>
                <c:pt idx="3">
                  <c:v>Qualcomm</c:v>
                </c:pt>
                <c:pt idx="4">
                  <c:v>Intel</c:v>
                </c:pt>
              </c:strCache>
            </c:strRef>
          </c:cat>
          <c:val>
            <c:numRef>
              <c:f>Sheet1!$C$2:$C$6</c:f>
              <c:numCache>
                <c:formatCode>0.00%</c:formatCode>
                <c:ptCount val="5"/>
                <c:pt idx="0">
                  <c:v>0.56599999999999995</c:v>
                </c:pt>
                <c:pt idx="1">
                  <c:v>0.56389999999999996</c:v>
                </c:pt>
                <c:pt idx="2">
                  <c:v>0.16980000000000001</c:v>
                </c:pt>
                <c:pt idx="3">
                  <c:v>0.29199999999999998</c:v>
                </c:pt>
                <c:pt idx="4">
                  <c:v>0.17760000000000001</c:v>
                </c:pt>
              </c:numCache>
            </c:numRef>
          </c:val>
        </c:ser>
        <c:dLbls>
          <c:showLegendKey val="0"/>
          <c:showVal val="0"/>
          <c:showCatName val="0"/>
          <c:showSerName val="0"/>
          <c:showPercent val="0"/>
          <c:showBubbleSize val="0"/>
        </c:dLbls>
        <c:gapWidth val="219"/>
        <c:axId val="1147452736"/>
        <c:axId val="1147450560"/>
      </c:barChart>
      <c:lineChart>
        <c:grouping val="stacked"/>
        <c:varyColors val="0"/>
        <c:ser>
          <c:idx val="2"/>
          <c:order val="2"/>
          <c:tx>
            <c:strRef>
              <c:f>Sheet1!$D$1</c:f>
              <c:strCache>
                <c:ptCount val="1"/>
                <c:pt idx="0">
                  <c:v>Dividend yield</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strRef>
              <c:f>Sheet1!$A$2:$A$6</c:f>
              <c:strCache>
                <c:ptCount val="5"/>
                <c:pt idx="0">
                  <c:v>Nvidia</c:v>
                </c:pt>
                <c:pt idx="1">
                  <c:v>Broadcom</c:v>
                </c:pt>
                <c:pt idx="2">
                  <c:v>AMD</c:v>
                </c:pt>
                <c:pt idx="3">
                  <c:v>Qualcomm</c:v>
                </c:pt>
                <c:pt idx="4">
                  <c:v>Intel</c:v>
                </c:pt>
              </c:strCache>
            </c:strRef>
          </c:cat>
          <c:val>
            <c:numRef>
              <c:f>Sheet1!$D$2:$D$6</c:f>
              <c:numCache>
                <c:formatCode>0%</c:formatCode>
                <c:ptCount val="5"/>
                <c:pt idx="0" formatCode="0.00%">
                  <c:v>3.0000000000000001E-5</c:v>
                </c:pt>
                <c:pt idx="1">
                  <c:v>0.06</c:v>
                </c:pt>
                <c:pt idx="2" formatCode="General">
                  <c:v>0</c:v>
                </c:pt>
                <c:pt idx="3" formatCode="0.00%">
                  <c:v>2.1399999999999999E-2</c:v>
                </c:pt>
                <c:pt idx="4" formatCode="0.00%">
                  <c:v>2.7699999999999999E-2</c:v>
                </c:pt>
              </c:numCache>
            </c:numRef>
          </c:val>
          <c:smooth val="0"/>
        </c:ser>
        <c:dLbls>
          <c:showLegendKey val="0"/>
          <c:showVal val="0"/>
          <c:showCatName val="0"/>
          <c:showSerName val="0"/>
          <c:showPercent val="0"/>
          <c:showBubbleSize val="0"/>
        </c:dLbls>
        <c:marker val="1"/>
        <c:smooth val="0"/>
        <c:axId val="1147451648"/>
        <c:axId val="1147446208"/>
      </c:lineChart>
      <c:catAx>
        <c:axId val="1147452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450560"/>
        <c:crosses val="autoZero"/>
        <c:auto val="1"/>
        <c:lblAlgn val="ctr"/>
        <c:lblOffset val="100"/>
        <c:noMultiLvlLbl val="0"/>
      </c:catAx>
      <c:valAx>
        <c:axId val="11474505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ROE, EBITDA/revenue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452736"/>
        <c:crosses val="autoZero"/>
        <c:crossBetween val="between"/>
      </c:valAx>
      <c:valAx>
        <c:axId val="1147446208"/>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GB"/>
                  <a:t>Dividend yield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451648"/>
        <c:crosses val="max"/>
        <c:crossBetween val="between"/>
      </c:valAx>
      <c:catAx>
        <c:axId val="1147451648"/>
        <c:scaling>
          <c:orientation val="minMax"/>
        </c:scaling>
        <c:delete val="1"/>
        <c:axPos val="b"/>
        <c:numFmt formatCode="General" sourceLinked="1"/>
        <c:majorTickMark val="none"/>
        <c:minorTickMark val="none"/>
        <c:tickLblPos val="nextTo"/>
        <c:crossAx val="11474462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346E-3B51-42A9-A02B-3DB4FAF0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56</cp:revision>
  <dcterms:created xsi:type="dcterms:W3CDTF">2024-09-05T13:29:00Z</dcterms:created>
  <dcterms:modified xsi:type="dcterms:W3CDTF">2024-09-08T18:43:00Z</dcterms:modified>
</cp:coreProperties>
</file>