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0F" w:rsidRPr="00C71C3C" w:rsidRDefault="003B11BE" w:rsidP="003B11BE">
      <w:pPr>
        <w:spacing w:after="0"/>
        <w:rPr>
          <w:b/>
        </w:rPr>
      </w:pPr>
      <w:r w:rsidRPr="00C71C3C">
        <w:rPr>
          <w:b/>
        </w:rPr>
        <w:t>Marriott International Inc.</w:t>
      </w:r>
    </w:p>
    <w:p w:rsidR="003B11BE" w:rsidRDefault="003B11BE" w:rsidP="003B11BE">
      <w:pPr>
        <w:spacing w:after="0"/>
      </w:pPr>
      <w:r>
        <w:t>PVM analysis</w:t>
      </w:r>
    </w:p>
    <w:p w:rsidR="003B11BE" w:rsidRDefault="003B11BE" w:rsidP="003B11BE">
      <w:pPr>
        <w:spacing w:after="0"/>
      </w:pPr>
    </w:p>
    <w:p w:rsidR="00C71C3C" w:rsidRDefault="00C71C3C" w:rsidP="003B11BE">
      <w:pPr>
        <w:spacing w:after="0"/>
        <w:rPr>
          <w:i/>
        </w:rPr>
      </w:pPr>
    </w:p>
    <w:p w:rsidR="003B11BE" w:rsidRPr="00C71C3C" w:rsidRDefault="003B11BE" w:rsidP="003B11BE">
      <w:pPr>
        <w:spacing w:after="0"/>
        <w:rPr>
          <w:i/>
          <w:u w:val="single"/>
        </w:rPr>
      </w:pPr>
      <w:r w:rsidRPr="00C71C3C">
        <w:rPr>
          <w:i/>
          <w:u w:val="single"/>
        </w:rPr>
        <w:t>Revenue drivers:</w:t>
      </w:r>
    </w:p>
    <w:p w:rsidR="00C71C3C" w:rsidRPr="00C71C3C" w:rsidRDefault="00C71C3C" w:rsidP="003B11BE">
      <w:pPr>
        <w:spacing w:after="0"/>
        <w:rPr>
          <w:i/>
        </w:rPr>
      </w:pPr>
    </w:p>
    <w:p w:rsidR="003B11BE" w:rsidRDefault="00A40362" w:rsidP="003B11BE">
      <w:pPr>
        <w:spacing w:after="0"/>
      </w:pPr>
      <w:r>
        <w:t>Room p</w:t>
      </w:r>
      <w:r w:rsidR="0000356A">
        <w:t>rice = price</w:t>
      </w:r>
    </w:p>
    <w:p w:rsidR="003B11BE" w:rsidRDefault="0000356A" w:rsidP="003B11BE">
      <w:pPr>
        <w:spacing w:after="0"/>
      </w:pPr>
      <w:r>
        <w:t>Number of rooms = units</w:t>
      </w:r>
      <w:r w:rsidR="003B11BE">
        <w:t xml:space="preserve"> </w:t>
      </w:r>
      <w:r w:rsidR="00F16948">
        <w:t>– number of rooms</w:t>
      </w:r>
    </w:p>
    <w:p w:rsidR="00F16948" w:rsidRDefault="0000356A" w:rsidP="003B11BE">
      <w:pPr>
        <w:spacing w:after="0"/>
      </w:pPr>
      <w:r>
        <w:t xml:space="preserve">Room </w:t>
      </w:r>
      <w:r w:rsidR="00A40362">
        <w:t>o</w:t>
      </w:r>
      <w:r w:rsidR="00C71C3C">
        <w:t>ccupancy rate = occupancy rate -</w:t>
      </w:r>
      <w:r w:rsidR="00F16948">
        <w:t xml:space="preserve"> % of rooms sold</w:t>
      </w:r>
    </w:p>
    <w:p w:rsidR="00F16948" w:rsidRDefault="00F16948" w:rsidP="003B11BE">
      <w:pPr>
        <w:spacing w:after="0"/>
      </w:pPr>
    </w:p>
    <w:p w:rsidR="00C71C3C" w:rsidRDefault="00C71C3C" w:rsidP="003B11BE">
      <w:pPr>
        <w:spacing w:after="0"/>
        <w:rPr>
          <w:i/>
        </w:rPr>
      </w:pPr>
    </w:p>
    <w:p w:rsidR="00F16948" w:rsidRPr="00C71C3C" w:rsidRDefault="00F16948" w:rsidP="003B11BE">
      <w:pPr>
        <w:spacing w:after="0"/>
        <w:rPr>
          <w:i/>
          <w:u w:val="single"/>
        </w:rPr>
      </w:pPr>
      <w:r w:rsidRPr="00C71C3C">
        <w:rPr>
          <w:i/>
          <w:u w:val="single"/>
        </w:rPr>
        <w:t>Cost drivers:</w:t>
      </w:r>
    </w:p>
    <w:p w:rsidR="00C71C3C" w:rsidRPr="00C71C3C" w:rsidRDefault="00C71C3C" w:rsidP="003B11BE">
      <w:pPr>
        <w:spacing w:after="0"/>
        <w:rPr>
          <w:i/>
        </w:rPr>
      </w:pPr>
    </w:p>
    <w:p w:rsidR="00F16948" w:rsidRDefault="00F16948" w:rsidP="003B11BE">
      <w:pPr>
        <w:spacing w:after="0"/>
        <w:rPr>
          <w:i/>
        </w:rPr>
      </w:pPr>
      <w:r w:rsidRPr="00C71C3C">
        <w:rPr>
          <w:i/>
        </w:rPr>
        <w:t>Fixed-</w:t>
      </w:r>
    </w:p>
    <w:p w:rsidR="003422B1" w:rsidRDefault="003422B1" w:rsidP="003B11BE">
      <w:pPr>
        <w:spacing w:after="0"/>
      </w:pPr>
      <w:r>
        <w:t>Admin. and general</w:t>
      </w:r>
    </w:p>
    <w:p w:rsidR="00F16948" w:rsidRDefault="00F16948" w:rsidP="003422B1">
      <w:pPr>
        <w:pStyle w:val="ListParagraph"/>
        <w:numPr>
          <w:ilvl w:val="0"/>
          <w:numId w:val="2"/>
        </w:numPr>
        <w:spacing w:after="0"/>
      </w:pPr>
      <w:r>
        <w:t>Mortgage/rent</w:t>
      </w:r>
    </w:p>
    <w:p w:rsidR="00F16948" w:rsidRDefault="00F16948" w:rsidP="003422B1">
      <w:pPr>
        <w:pStyle w:val="ListParagraph"/>
        <w:numPr>
          <w:ilvl w:val="0"/>
          <w:numId w:val="2"/>
        </w:numPr>
        <w:spacing w:after="0"/>
      </w:pPr>
      <w:r>
        <w:t>Property taxes</w:t>
      </w:r>
    </w:p>
    <w:p w:rsidR="00F16948" w:rsidRDefault="00F16948" w:rsidP="003422B1">
      <w:pPr>
        <w:pStyle w:val="ListParagraph"/>
        <w:numPr>
          <w:ilvl w:val="0"/>
          <w:numId w:val="2"/>
        </w:numPr>
        <w:spacing w:after="0"/>
      </w:pPr>
      <w:r>
        <w:t>Property insurance</w:t>
      </w:r>
    </w:p>
    <w:p w:rsidR="003422B1" w:rsidRDefault="003422B1" w:rsidP="003422B1">
      <w:pPr>
        <w:pStyle w:val="ListParagraph"/>
        <w:numPr>
          <w:ilvl w:val="0"/>
          <w:numId w:val="2"/>
        </w:numPr>
        <w:spacing w:after="0"/>
      </w:pPr>
      <w:r>
        <w:t>Labour</w:t>
      </w:r>
    </w:p>
    <w:p w:rsidR="003422B1" w:rsidRDefault="003422B1" w:rsidP="003422B1">
      <w:pPr>
        <w:pStyle w:val="ListParagraph"/>
        <w:numPr>
          <w:ilvl w:val="0"/>
          <w:numId w:val="2"/>
        </w:numPr>
        <w:spacing w:after="0"/>
      </w:pPr>
      <w:r>
        <w:t>Utilities</w:t>
      </w:r>
    </w:p>
    <w:p w:rsidR="00F16948" w:rsidRDefault="00F16948" w:rsidP="003B11BE">
      <w:pPr>
        <w:spacing w:after="0"/>
      </w:pPr>
      <w:r>
        <w:t>Depreciation</w:t>
      </w:r>
      <w:r w:rsidR="008C6CD8">
        <w:t xml:space="preserve"> and amortization</w:t>
      </w:r>
    </w:p>
    <w:p w:rsidR="008C6CD8" w:rsidRDefault="008C6CD8" w:rsidP="008C6CD8">
      <w:pPr>
        <w:pStyle w:val="ListParagraph"/>
        <w:numPr>
          <w:ilvl w:val="0"/>
          <w:numId w:val="2"/>
        </w:numPr>
        <w:spacing w:after="0"/>
      </w:pPr>
      <w:r>
        <w:t>Intangible assets (leases)</w:t>
      </w:r>
    </w:p>
    <w:p w:rsidR="008C6CD8" w:rsidRDefault="008C6CD8" w:rsidP="008C6CD8">
      <w:pPr>
        <w:pStyle w:val="ListParagraph"/>
        <w:numPr>
          <w:ilvl w:val="0"/>
          <w:numId w:val="2"/>
        </w:numPr>
        <w:spacing w:after="0"/>
      </w:pPr>
      <w:r>
        <w:t>Maintenance/repair/renovations</w:t>
      </w:r>
    </w:p>
    <w:p w:rsidR="00F16948" w:rsidRDefault="00F16948" w:rsidP="003B11BE">
      <w:pPr>
        <w:spacing w:after="0"/>
      </w:pPr>
      <w:r>
        <w:t>CapEx</w:t>
      </w:r>
    </w:p>
    <w:p w:rsidR="00F16948" w:rsidRDefault="00F16948" w:rsidP="003B11BE">
      <w:pPr>
        <w:spacing w:after="0"/>
      </w:pPr>
      <w:r>
        <w:t>Marketing</w:t>
      </w:r>
    </w:p>
    <w:p w:rsidR="00C71C3C" w:rsidRDefault="00C71C3C" w:rsidP="003B11BE">
      <w:pPr>
        <w:spacing w:after="0"/>
      </w:pPr>
    </w:p>
    <w:p w:rsidR="00F16948" w:rsidRPr="00C71C3C" w:rsidRDefault="00F16948" w:rsidP="003B11BE">
      <w:pPr>
        <w:spacing w:after="0"/>
        <w:rPr>
          <w:i/>
        </w:rPr>
      </w:pPr>
      <w:r w:rsidRPr="00C71C3C">
        <w:rPr>
          <w:i/>
        </w:rPr>
        <w:t>Variable-</w:t>
      </w:r>
    </w:p>
    <w:p w:rsidR="00F16948" w:rsidRDefault="00F16948" w:rsidP="003B11BE">
      <w:pPr>
        <w:spacing w:after="0"/>
      </w:pPr>
      <w:r>
        <w:t>Housekeeping/laundry</w:t>
      </w:r>
    </w:p>
    <w:p w:rsidR="00F16948" w:rsidRDefault="00F16948" w:rsidP="003B11BE">
      <w:pPr>
        <w:spacing w:after="0"/>
      </w:pPr>
      <w:r>
        <w:t>Guest amenities</w:t>
      </w:r>
    </w:p>
    <w:p w:rsidR="00C71C3C" w:rsidRDefault="00854186" w:rsidP="003B11BE">
      <w:pPr>
        <w:spacing w:after="0"/>
        <w:sectPr w:rsidR="00C71C3C" w:rsidSect="00C71C3C">
          <w:pgSz w:w="11906" w:h="16838"/>
          <w:pgMar w:top="1440" w:right="1440" w:bottom="1440" w:left="1440" w:header="708" w:footer="708" w:gutter="0"/>
          <w:cols w:space="708"/>
          <w:docGrid w:linePitch="360"/>
        </w:sectPr>
      </w:pPr>
      <w:r>
        <w:t>Maintena</w:t>
      </w:r>
      <w:r w:rsidR="00464D55">
        <w:t>n</w:t>
      </w:r>
      <w:r>
        <w:t>ce/repair</w:t>
      </w:r>
      <w:r w:rsidR="00464D55">
        <w:t xml:space="preserve"> (wear and tear</w:t>
      </w:r>
      <w:r w:rsidR="00C71C3C">
        <w:t xml:space="preserve">)  </w:t>
      </w:r>
    </w:p>
    <w:p w:rsidR="00C71C3C" w:rsidRDefault="00C71C3C" w:rsidP="003B11BE">
      <w:pPr>
        <w:spacing w:after="0"/>
      </w:pPr>
    </w:p>
    <w:tbl>
      <w:tblPr>
        <w:tblStyle w:val="TableGrid"/>
        <w:tblW w:w="0" w:type="auto"/>
        <w:tblLook w:val="04A0" w:firstRow="1" w:lastRow="0" w:firstColumn="1" w:lastColumn="0" w:noHBand="0" w:noVBand="1"/>
      </w:tblPr>
      <w:tblGrid>
        <w:gridCol w:w="1275"/>
        <w:gridCol w:w="806"/>
        <w:gridCol w:w="1033"/>
        <w:gridCol w:w="951"/>
        <w:gridCol w:w="775"/>
        <w:gridCol w:w="815"/>
        <w:gridCol w:w="806"/>
        <w:gridCol w:w="1033"/>
        <w:gridCol w:w="951"/>
        <w:gridCol w:w="775"/>
        <w:gridCol w:w="815"/>
        <w:gridCol w:w="902"/>
        <w:gridCol w:w="685"/>
        <w:gridCol w:w="684"/>
        <w:gridCol w:w="961"/>
        <w:gridCol w:w="681"/>
      </w:tblGrid>
      <w:tr w:rsidR="00B0185A" w:rsidTr="00B0185A">
        <w:tc>
          <w:tcPr>
            <w:tcW w:w="0" w:type="auto"/>
          </w:tcPr>
          <w:p w:rsidR="00B0185A" w:rsidRDefault="00B0185A" w:rsidP="003B11BE"/>
        </w:tc>
        <w:tc>
          <w:tcPr>
            <w:tcW w:w="0" w:type="auto"/>
            <w:gridSpan w:val="5"/>
          </w:tcPr>
          <w:p w:rsidR="00B0185A" w:rsidRPr="00CE1A5B" w:rsidRDefault="00B0185A" w:rsidP="006A142B">
            <w:pPr>
              <w:jc w:val="center"/>
              <w:rPr>
                <w:b/>
              </w:rPr>
            </w:pPr>
            <w:r>
              <w:rPr>
                <w:b/>
              </w:rPr>
              <w:t>2022</w:t>
            </w:r>
          </w:p>
        </w:tc>
        <w:tc>
          <w:tcPr>
            <w:tcW w:w="0" w:type="auto"/>
            <w:gridSpan w:val="5"/>
          </w:tcPr>
          <w:p w:rsidR="00B0185A" w:rsidRPr="00CE1A5B" w:rsidRDefault="00B0185A" w:rsidP="006A142B">
            <w:pPr>
              <w:jc w:val="center"/>
              <w:rPr>
                <w:b/>
              </w:rPr>
            </w:pPr>
            <w:r>
              <w:rPr>
                <w:b/>
              </w:rPr>
              <w:t>2023</w:t>
            </w:r>
          </w:p>
        </w:tc>
        <w:tc>
          <w:tcPr>
            <w:tcW w:w="0" w:type="auto"/>
          </w:tcPr>
          <w:p w:rsidR="00B0185A" w:rsidRDefault="00B0185A" w:rsidP="00955B93">
            <w:pPr>
              <w:jc w:val="center"/>
              <w:rPr>
                <w:b/>
              </w:rPr>
            </w:pPr>
          </w:p>
        </w:tc>
        <w:tc>
          <w:tcPr>
            <w:tcW w:w="0" w:type="auto"/>
            <w:gridSpan w:val="4"/>
          </w:tcPr>
          <w:p w:rsidR="00B0185A" w:rsidRDefault="00B0185A" w:rsidP="00955B93">
            <w:pPr>
              <w:jc w:val="center"/>
              <w:rPr>
                <w:b/>
              </w:rPr>
            </w:pPr>
            <w:r>
              <w:rPr>
                <w:b/>
              </w:rPr>
              <w:t>=2023-2022</w:t>
            </w:r>
          </w:p>
        </w:tc>
      </w:tr>
      <w:tr w:rsidR="00B0185A" w:rsidTr="00B0185A">
        <w:tc>
          <w:tcPr>
            <w:tcW w:w="0" w:type="auto"/>
          </w:tcPr>
          <w:p w:rsidR="00B0185A" w:rsidRPr="00B0185A" w:rsidRDefault="00B0185A" w:rsidP="006A142B">
            <w:pPr>
              <w:rPr>
                <w:b/>
                <w:sz w:val="16"/>
                <w:szCs w:val="16"/>
              </w:rPr>
            </w:pPr>
            <w:r w:rsidRPr="00B0185A">
              <w:rPr>
                <w:b/>
                <w:sz w:val="16"/>
                <w:szCs w:val="16"/>
              </w:rPr>
              <w:t>Revenue drivers</w:t>
            </w:r>
          </w:p>
        </w:tc>
        <w:tc>
          <w:tcPr>
            <w:tcW w:w="0" w:type="auto"/>
          </w:tcPr>
          <w:p w:rsidR="00B0185A" w:rsidRPr="00B0185A" w:rsidRDefault="00B0185A" w:rsidP="0026540F">
            <w:pPr>
              <w:jc w:val="center"/>
              <w:rPr>
                <w:b/>
                <w:sz w:val="16"/>
                <w:szCs w:val="16"/>
              </w:rPr>
            </w:pPr>
            <w:r w:rsidRPr="00B0185A">
              <w:rPr>
                <w:b/>
                <w:sz w:val="16"/>
                <w:szCs w:val="16"/>
              </w:rPr>
              <w:t>Revenue ($m)</w:t>
            </w:r>
          </w:p>
        </w:tc>
        <w:tc>
          <w:tcPr>
            <w:tcW w:w="0" w:type="auto"/>
          </w:tcPr>
          <w:p w:rsidR="00B0185A" w:rsidRPr="00B0185A" w:rsidRDefault="00B0185A" w:rsidP="0026540F">
            <w:pPr>
              <w:jc w:val="center"/>
              <w:rPr>
                <w:b/>
                <w:sz w:val="16"/>
                <w:szCs w:val="16"/>
              </w:rPr>
            </w:pPr>
            <w:r w:rsidRPr="00B0185A">
              <w:rPr>
                <w:b/>
                <w:sz w:val="16"/>
                <w:szCs w:val="16"/>
              </w:rPr>
              <w:t>Units</w:t>
            </w:r>
          </w:p>
          <w:p w:rsidR="00B0185A" w:rsidRPr="00B0185A" w:rsidRDefault="00B0185A" w:rsidP="0026540F">
            <w:pPr>
              <w:jc w:val="center"/>
              <w:rPr>
                <w:b/>
                <w:sz w:val="16"/>
                <w:szCs w:val="16"/>
              </w:rPr>
            </w:pPr>
            <w:r w:rsidRPr="00B0185A">
              <w:rPr>
                <w:b/>
                <w:sz w:val="16"/>
                <w:szCs w:val="16"/>
              </w:rPr>
              <w:t>(no. of rooms)</w:t>
            </w:r>
          </w:p>
        </w:tc>
        <w:tc>
          <w:tcPr>
            <w:tcW w:w="0" w:type="auto"/>
          </w:tcPr>
          <w:p w:rsidR="00B0185A" w:rsidRPr="00B0185A" w:rsidRDefault="00B0185A" w:rsidP="0026540F">
            <w:pPr>
              <w:jc w:val="center"/>
              <w:rPr>
                <w:b/>
                <w:sz w:val="16"/>
                <w:szCs w:val="16"/>
              </w:rPr>
            </w:pPr>
            <w:r w:rsidRPr="00B0185A">
              <w:rPr>
                <w:b/>
                <w:sz w:val="16"/>
                <w:szCs w:val="16"/>
              </w:rPr>
              <w:t>Occupancy rate</w:t>
            </w:r>
          </w:p>
          <w:p w:rsidR="00B0185A" w:rsidRPr="00B0185A" w:rsidRDefault="00B0185A" w:rsidP="0026540F">
            <w:pPr>
              <w:jc w:val="center"/>
              <w:rPr>
                <w:b/>
                <w:sz w:val="16"/>
                <w:szCs w:val="16"/>
              </w:rPr>
            </w:pPr>
            <w:r w:rsidRPr="00B0185A">
              <w:rPr>
                <w:b/>
                <w:sz w:val="16"/>
                <w:szCs w:val="16"/>
              </w:rPr>
              <w:t>(% of rooms sold)</w:t>
            </w:r>
          </w:p>
        </w:tc>
        <w:tc>
          <w:tcPr>
            <w:tcW w:w="0" w:type="auto"/>
          </w:tcPr>
          <w:p w:rsidR="00B0185A" w:rsidRPr="00B0185A" w:rsidRDefault="00B0185A" w:rsidP="0026540F">
            <w:pPr>
              <w:jc w:val="center"/>
              <w:rPr>
                <w:b/>
                <w:sz w:val="16"/>
                <w:szCs w:val="16"/>
              </w:rPr>
            </w:pPr>
            <w:r w:rsidRPr="00B0185A">
              <w:rPr>
                <w:b/>
                <w:sz w:val="16"/>
                <w:szCs w:val="16"/>
              </w:rPr>
              <w:t>Price</w:t>
            </w:r>
          </w:p>
        </w:tc>
        <w:tc>
          <w:tcPr>
            <w:tcW w:w="0" w:type="auto"/>
          </w:tcPr>
          <w:p w:rsidR="00B0185A" w:rsidRPr="00B0185A" w:rsidRDefault="00B0185A" w:rsidP="0026540F">
            <w:pPr>
              <w:jc w:val="center"/>
              <w:rPr>
                <w:b/>
                <w:sz w:val="16"/>
                <w:szCs w:val="16"/>
              </w:rPr>
            </w:pPr>
            <w:r w:rsidRPr="00B0185A">
              <w:rPr>
                <w:b/>
                <w:sz w:val="16"/>
                <w:szCs w:val="16"/>
              </w:rPr>
              <w:t>Mix</w:t>
            </w:r>
          </w:p>
        </w:tc>
        <w:tc>
          <w:tcPr>
            <w:tcW w:w="0" w:type="auto"/>
          </w:tcPr>
          <w:p w:rsidR="00B0185A" w:rsidRPr="00B0185A" w:rsidRDefault="00B0185A" w:rsidP="0026540F">
            <w:pPr>
              <w:jc w:val="center"/>
              <w:rPr>
                <w:b/>
                <w:sz w:val="16"/>
                <w:szCs w:val="16"/>
              </w:rPr>
            </w:pPr>
            <w:r w:rsidRPr="00B0185A">
              <w:rPr>
                <w:b/>
                <w:sz w:val="16"/>
                <w:szCs w:val="16"/>
              </w:rPr>
              <w:t>Revenue ($m)</w:t>
            </w:r>
          </w:p>
        </w:tc>
        <w:tc>
          <w:tcPr>
            <w:tcW w:w="0" w:type="auto"/>
          </w:tcPr>
          <w:p w:rsidR="00B0185A" w:rsidRPr="00B0185A" w:rsidRDefault="00B0185A" w:rsidP="0026540F">
            <w:pPr>
              <w:jc w:val="center"/>
              <w:rPr>
                <w:b/>
                <w:sz w:val="16"/>
                <w:szCs w:val="16"/>
              </w:rPr>
            </w:pPr>
            <w:r w:rsidRPr="00B0185A">
              <w:rPr>
                <w:b/>
                <w:sz w:val="16"/>
                <w:szCs w:val="16"/>
              </w:rPr>
              <w:t>Units</w:t>
            </w:r>
          </w:p>
          <w:p w:rsidR="00B0185A" w:rsidRPr="00B0185A" w:rsidRDefault="00B0185A" w:rsidP="0026540F">
            <w:pPr>
              <w:jc w:val="center"/>
              <w:rPr>
                <w:b/>
                <w:sz w:val="16"/>
                <w:szCs w:val="16"/>
              </w:rPr>
            </w:pPr>
            <w:r w:rsidRPr="00B0185A">
              <w:rPr>
                <w:b/>
                <w:sz w:val="16"/>
                <w:szCs w:val="16"/>
              </w:rPr>
              <w:t>(no. of rooms)</w:t>
            </w:r>
          </w:p>
        </w:tc>
        <w:tc>
          <w:tcPr>
            <w:tcW w:w="0" w:type="auto"/>
          </w:tcPr>
          <w:p w:rsidR="00B0185A" w:rsidRPr="00B0185A" w:rsidRDefault="00B0185A" w:rsidP="0026540F">
            <w:pPr>
              <w:jc w:val="center"/>
              <w:rPr>
                <w:b/>
                <w:sz w:val="16"/>
                <w:szCs w:val="16"/>
              </w:rPr>
            </w:pPr>
            <w:r w:rsidRPr="00B0185A">
              <w:rPr>
                <w:b/>
                <w:sz w:val="16"/>
                <w:szCs w:val="16"/>
              </w:rPr>
              <w:t>Occupancy rate</w:t>
            </w:r>
          </w:p>
          <w:p w:rsidR="00B0185A" w:rsidRPr="00B0185A" w:rsidRDefault="00B0185A" w:rsidP="0026540F">
            <w:pPr>
              <w:jc w:val="center"/>
              <w:rPr>
                <w:b/>
                <w:sz w:val="16"/>
                <w:szCs w:val="16"/>
              </w:rPr>
            </w:pPr>
            <w:r w:rsidRPr="00B0185A">
              <w:rPr>
                <w:b/>
                <w:sz w:val="16"/>
                <w:szCs w:val="16"/>
              </w:rPr>
              <w:t>(% of rooms sold)</w:t>
            </w:r>
          </w:p>
        </w:tc>
        <w:tc>
          <w:tcPr>
            <w:tcW w:w="0" w:type="auto"/>
          </w:tcPr>
          <w:p w:rsidR="00B0185A" w:rsidRPr="00B0185A" w:rsidRDefault="00B0185A" w:rsidP="0026540F">
            <w:pPr>
              <w:jc w:val="center"/>
              <w:rPr>
                <w:b/>
                <w:sz w:val="16"/>
                <w:szCs w:val="16"/>
              </w:rPr>
            </w:pPr>
            <w:r w:rsidRPr="00B0185A">
              <w:rPr>
                <w:b/>
                <w:sz w:val="16"/>
                <w:szCs w:val="16"/>
              </w:rPr>
              <w:t>Price</w:t>
            </w:r>
          </w:p>
        </w:tc>
        <w:tc>
          <w:tcPr>
            <w:tcW w:w="0" w:type="auto"/>
          </w:tcPr>
          <w:p w:rsidR="00B0185A" w:rsidRPr="00B0185A" w:rsidRDefault="00B0185A" w:rsidP="0026540F">
            <w:pPr>
              <w:jc w:val="center"/>
              <w:rPr>
                <w:b/>
                <w:sz w:val="16"/>
                <w:szCs w:val="16"/>
              </w:rPr>
            </w:pPr>
            <w:r w:rsidRPr="00B0185A">
              <w:rPr>
                <w:b/>
                <w:sz w:val="16"/>
                <w:szCs w:val="16"/>
              </w:rPr>
              <w:t>Mix</w:t>
            </w:r>
          </w:p>
        </w:tc>
        <w:tc>
          <w:tcPr>
            <w:tcW w:w="0" w:type="auto"/>
          </w:tcPr>
          <w:p w:rsidR="00B0185A" w:rsidRPr="00B0185A" w:rsidRDefault="00B0185A" w:rsidP="0026540F">
            <w:pPr>
              <w:jc w:val="center"/>
              <w:rPr>
                <w:b/>
                <w:sz w:val="16"/>
                <w:szCs w:val="16"/>
              </w:rPr>
            </w:pPr>
            <w:r w:rsidRPr="00B0185A">
              <w:rPr>
                <w:b/>
                <w:sz w:val="16"/>
                <w:szCs w:val="16"/>
              </w:rPr>
              <w:t>Mix difference</w:t>
            </w:r>
          </w:p>
        </w:tc>
        <w:tc>
          <w:tcPr>
            <w:tcW w:w="0" w:type="auto"/>
          </w:tcPr>
          <w:p w:rsidR="00B0185A" w:rsidRPr="00B0185A" w:rsidRDefault="00B0185A" w:rsidP="0026540F">
            <w:pPr>
              <w:jc w:val="center"/>
              <w:rPr>
                <w:b/>
                <w:sz w:val="16"/>
                <w:szCs w:val="16"/>
              </w:rPr>
            </w:pPr>
            <w:r w:rsidRPr="00B0185A">
              <w:rPr>
                <w:b/>
                <w:sz w:val="16"/>
                <w:szCs w:val="16"/>
              </w:rPr>
              <w:t>Price impact</w:t>
            </w:r>
          </w:p>
          <w:p w:rsidR="00B0185A" w:rsidRPr="00B0185A" w:rsidRDefault="00B0185A" w:rsidP="0026540F">
            <w:pPr>
              <w:jc w:val="center"/>
              <w:rPr>
                <w:b/>
                <w:sz w:val="16"/>
                <w:szCs w:val="16"/>
              </w:rPr>
            </w:pPr>
            <w:r w:rsidRPr="00B0185A">
              <w:rPr>
                <w:b/>
                <w:sz w:val="16"/>
                <w:szCs w:val="16"/>
              </w:rPr>
              <w:t>($m)</w:t>
            </w:r>
          </w:p>
        </w:tc>
        <w:tc>
          <w:tcPr>
            <w:tcW w:w="0" w:type="auto"/>
          </w:tcPr>
          <w:p w:rsidR="00B0185A" w:rsidRPr="00B0185A" w:rsidRDefault="00B0185A" w:rsidP="0026540F">
            <w:pPr>
              <w:jc w:val="center"/>
              <w:rPr>
                <w:b/>
                <w:sz w:val="16"/>
                <w:szCs w:val="16"/>
              </w:rPr>
            </w:pPr>
            <w:r w:rsidRPr="00B0185A">
              <w:rPr>
                <w:b/>
                <w:sz w:val="16"/>
                <w:szCs w:val="16"/>
              </w:rPr>
              <w:t>Units impact</w:t>
            </w:r>
          </w:p>
          <w:p w:rsidR="00B0185A" w:rsidRPr="00B0185A" w:rsidRDefault="00B0185A" w:rsidP="0026540F">
            <w:pPr>
              <w:jc w:val="center"/>
              <w:rPr>
                <w:b/>
                <w:sz w:val="16"/>
                <w:szCs w:val="16"/>
              </w:rPr>
            </w:pPr>
            <w:r w:rsidRPr="00B0185A">
              <w:rPr>
                <w:b/>
                <w:sz w:val="16"/>
                <w:szCs w:val="16"/>
              </w:rPr>
              <w:t>($m)</w:t>
            </w:r>
          </w:p>
        </w:tc>
        <w:tc>
          <w:tcPr>
            <w:tcW w:w="0" w:type="auto"/>
          </w:tcPr>
          <w:p w:rsidR="00B0185A" w:rsidRPr="00B0185A" w:rsidRDefault="00B0185A" w:rsidP="00B0185A">
            <w:pPr>
              <w:jc w:val="center"/>
              <w:rPr>
                <w:b/>
                <w:sz w:val="16"/>
                <w:szCs w:val="16"/>
              </w:rPr>
            </w:pPr>
            <w:r w:rsidRPr="00B0185A">
              <w:rPr>
                <w:b/>
                <w:sz w:val="16"/>
                <w:szCs w:val="16"/>
              </w:rPr>
              <w:t>Occupancy rate impact</w:t>
            </w:r>
          </w:p>
          <w:p w:rsidR="00B0185A" w:rsidRPr="00B0185A" w:rsidRDefault="00B0185A" w:rsidP="00B0185A">
            <w:pPr>
              <w:jc w:val="center"/>
              <w:rPr>
                <w:b/>
                <w:sz w:val="16"/>
                <w:szCs w:val="16"/>
              </w:rPr>
            </w:pPr>
            <w:r w:rsidRPr="00B0185A">
              <w:rPr>
                <w:b/>
                <w:sz w:val="16"/>
                <w:szCs w:val="16"/>
              </w:rPr>
              <w:t>($m)</w:t>
            </w:r>
          </w:p>
        </w:tc>
        <w:tc>
          <w:tcPr>
            <w:tcW w:w="0" w:type="auto"/>
          </w:tcPr>
          <w:p w:rsidR="00B0185A" w:rsidRPr="00B0185A" w:rsidRDefault="00B0185A" w:rsidP="0033474D">
            <w:pPr>
              <w:jc w:val="center"/>
              <w:rPr>
                <w:b/>
                <w:sz w:val="16"/>
                <w:szCs w:val="16"/>
              </w:rPr>
            </w:pPr>
            <w:r w:rsidRPr="00B0185A">
              <w:rPr>
                <w:b/>
                <w:sz w:val="16"/>
                <w:szCs w:val="16"/>
              </w:rPr>
              <w:t>Mix impact</w:t>
            </w:r>
          </w:p>
          <w:p w:rsidR="00B0185A" w:rsidRPr="00B0185A" w:rsidRDefault="00B0185A" w:rsidP="00C61494">
            <w:pPr>
              <w:jc w:val="center"/>
              <w:rPr>
                <w:b/>
                <w:sz w:val="16"/>
                <w:szCs w:val="16"/>
              </w:rPr>
            </w:pPr>
            <w:r w:rsidRPr="00B0185A">
              <w:rPr>
                <w:b/>
                <w:sz w:val="16"/>
                <w:szCs w:val="16"/>
              </w:rPr>
              <w:t>($m)</w:t>
            </w:r>
          </w:p>
        </w:tc>
      </w:tr>
      <w:tr w:rsidR="00B0185A" w:rsidTr="00B0185A">
        <w:tc>
          <w:tcPr>
            <w:tcW w:w="0" w:type="auto"/>
          </w:tcPr>
          <w:p w:rsidR="00B0185A" w:rsidRPr="0033474D" w:rsidRDefault="00B0185A" w:rsidP="003B11BE">
            <w:pPr>
              <w:rPr>
                <w:sz w:val="20"/>
                <w:szCs w:val="20"/>
              </w:rPr>
            </w:pPr>
            <w:r w:rsidRPr="0033474D">
              <w:rPr>
                <w:sz w:val="20"/>
                <w:szCs w:val="20"/>
              </w:rPr>
              <w:t>US &amp; Canada</w:t>
            </w:r>
          </w:p>
        </w:tc>
        <w:tc>
          <w:tcPr>
            <w:tcW w:w="0" w:type="auto"/>
          </w:tcPr>
          <w:p w:rsidR="00B0185A" w:rsidRPr="0033474D" w:rsidRDefault="00B0185A" w:rsidP="0026540F">
            <w:pPr>
              <w:jc w:val="center"/>
              <w:rPr>
                <w:sz w:val="20"/>
                <w:szCs w:val="20"/>
              </w:rPr>
            </w:pPr>
            <w:r w:rsidRPr="0033474D">
              <w:rPr>
                <w:sz w:val="20"/>
                <w:szCs w:val="20"/>
              </w:rPr>
              <w:t>15,753</w:t>
            </w:r>
          </w:p>
        </w:tc>
        <w:tc>
          <w:tcPr>
            <w:tcW w:w="0" w:type="auto"/>
          </w:tcPr>
          <w:p w:rsidR="00B0185A" w:rsidRPr="0033474D" w:rsidRDefault="00B0185A" w:rsidP="0026540F">
            <w:pPr>
              <w:jc w:val="center"/>
              <w:rPr>
                <w:sz w:val="20"/>
                <w:szCs w:val="20"/>
              </w:rPr>
            </w:pPr>
            <w:r w:rsidRPr="0033474D">
              <w:rPr>
                <w:sz w:val="20"/>
                <w:szCs w:val="20"/>
              </w:rPr>
              <w:t>983,251</w:t>
            </w:r>
          </w:p>
        </w:tc>
        <w:tc>
          <w:tcPr>
            <w:tcW w:w="0" w:type="auto"/>
          </w:tcPr>
          <w:p w:rsidR="00B0185A" w:rsidRPr="0033474D" w:rsidRDefault="00B0185A" w:rsidP="0026540F">
            <w:pPr>
              <w:jc w:val="center"/>
              <w:rPr>
                <w:sz w:val="20"/>
                <w:szCs w:val="20"/>
              </w:rPr>
            </w:pPr>
            <w:r w:rsidRPr="0033474D">
              <w:rPr>
                <w:sz w:val="20"/>
                <w:szCs w:val="20"/>
              </w:rPr>
              <w:t>67%</w:t>
            </w:r>
          </w:p>
        </w:tc>
        <w:tc>
          <w:tcPr>
            <w:tcW w:w="0" w:type="auto"/>
          </w:tcPr>
          <w:p w:rsidR="00B0185A" w:rsidRPr="0033474D" w:rsidRDefault="00B0185A" w:rsidP="0026540F">
            <w:pPr>
              <w:jc w:val="center"/>
              <w:rPr>
                <w:sz w:val="20"/>
                <w:szCs w:val="20"/>
              </w:rPr>
            </w:pPr>
            <w:r w:rsidRPr="0033474D">
              <w:rPr>
                <w:sz w:val="20"/>
                <w:szCs w:val="20"/>
              </w:rPr>
              <w:t>16,021</w:t>
            </w:r>
          </w:p>
        </w:tc>
        <w:tc>
          <w:tcPr>
            <w:tcW w:w="0" w:type="auto"/>
          </w:tcPr>
          <w:p w:rsidR="00B0185A" w:rsidRPr="0033474D" w:rsidRDefault="00B0185A" w:rsidP="0026540F">
            <w:pPr>
              <w:jc w:val="center"/>
              <w:rPr>
                <w:sz w:val="20"/>
                <w:szCs w:val="20"/>
              </w:rPr>
            </w:pPr>
            <w:r w:rsidRPr="0033474D">
              <w:rPr>
                <w:sz w:val="20"/>
                <w:szCs w:val="20"/>
              </w:rPr>
              <w:t>64.46%</w:t>
            </w:r>
          </w:p>
        </w:tc>
        <w:tc>
          <w:tcPr>
            <w:tcW w:w="0" w:type="auto"/>
          </w:tcPr>
          <w:p w:rsidR="00B0185A" w:rsidRPr="0033474D" w:rsidRDefault="00B0185A" w:rsidP="0026540F">
            <w:pPr>
              <w:jc w:val="center"/>
              <w:rPr>
                <w:sz w:val="20"/>
                <w:szCs w:val="20"/>
              </w:rPr>
            </w:pPr>
            <w:r w:rsidRPr="0033474D">
              <w:rPr>
                <w:sz w:val="20"/>
                <w:szCs w:val="20"/>
              </w:rPr>
              <w:t>17,696</w:t>
            </w:r>
          </w:p>
        </w:tc>
        <w:tc>
          <w:tcPr>
            <w:tcW w:w="0" w:type="auto"/>
          </w:tcPr>
          <w:p w:rsidR="00B0185A" w:rsidRPr="0033474D" w:rsidRDefault="00B0185A" w:rsidP="0026540F">
            <w:pPr>
              <w:jc w:val="center"/>
              <w:rPr>
                <w:sz w:val="20"/>
                <w:szCs w:val="20"/>
              </w:rPr>
            </w:pPr>
            <w:r w:rsidRPr="0033474D">
              <w:rPr>
                <w:sz w:val="20"/>
                <w:szCs w:val="20"/>
              </w:rPr>
              <w:t>998,470</w:t>
            </w:r>
          </w:p>
        </w:tc>
        <w:tc>
          <w:tcPr>
            <w:tcW w:w="0" w:type="auto"/>
          </w:tcPr>
          <w:p w:rsidR="00B0185A" w:rsidRPr="0033474D" w:rsidRDefault="00B0185A" w:rsidP="0026540F">
            <w:pPr>
              <w:jc w:val="center"/>
              <w:rPr>
                <w:sz w:val="20"/>
                <w:szCs w:val="20"/>
              </w:rPr>
            </w:pPr>
            <w:r w:rsidRPr="0033474D">
              <w:rPr>
                <w:sz w:val="20"/>
                <w:szCs w:val="20"/>
              </w:rPr>
              <w:t>69.8%</w:t>
            </w:r>
          </w:p>
        </w:tc>
        <w:tc>
          <w:tcPr>
            <w:tcW w:w="0" w:type="auto"/>
          </w:tcPr>
          <w:p w:rsidR="00B0185A" w:rsidRPr="0033474D" w:rsidRDefault="00B0185A" w:rsidP="0026540F">
            <w:pPr>
              <w:jc w:val="center"/>
              <w:rPr>
                <w:sz w:val="20"/>
                <w:szCs w:val="20"/>
              </w:rPr>
            </w:pPr>
            <w:r w:rsidRPr="0033474D">
              <w:rPr>
                <w:sz w:val="20"/>
                <w:szCs w:val="20"/>
              </w:rPr>
              <w:t>17,723</w:t>
            </w:r>
          </w:p>
        </w:tc>
        <w:tc>
          <w:tcPr>
            <w:tcW w:w="0" w:type="auto"/>
          </w:tcPr>
          <w:p w:rsidR="00B0185A" w:rsidRPr="0033474D" w:rsidRDefault="00B0185A" w:rsidP="0026540F">
            <w:pPr>
              <w:jc w:val="center"/>
              <w:rPr>
                <w:sz w:val="20"/>
                <w:szCs w:val="20"/>
              </w:rPr>
            </w:pPr>
            <w:r w:rsidRPr="0033474D">
              <w:rPr>
                <w:sz w:val="20"/>
                <w:szCs w:val="20"/>
              </w:rPr>
              <w:t>62.51%</w:t>
            </w:r>
          </w:p>
        </w:tc>
        <w:tc>
          <w:tcPr>
            <w:tcW w:w="0" w:type="auto"/>
          </w:tcPr>
          <w:p w:rsidR="00B0185A" w:rsidRPr="0033474D" w:rsidRDefault="00B0185A" w:rsidP="0026540F">
            <w:pPr>
              <w:jc w:val="center"/>
              <w:rPr>
                <w:sz w:val="20"/>
                <w:szCs w:val="20"/>
              </w:rPr>
            </w:pPr>
            <w:r>
              <w:rPr>
                <w:sz w:val="20"/>
                <w:szCs w:val="20"/>
              </w:rPr>
              <w:t>-1.95%</w:t>
            </w:r>
          </w:p>
        </w:tc>
        <w:tc>
          <w:tcPr>
            <w:tcW w:w="0" w:type="auto"/>
          </w:tcPr>
          <w:p w:rsidR="00B0185A" w:rsidRPr="0033474D" w:rsidRDefault="00B0185A" w:rsidP="0026540F">
            <w:pPr>
              <w:jc w:val="center"/>
              <w:rPr>
                <w:sz w:val="20"/>
                <w:szCs w:val="20"/>
              </w:rPr>
            </w:pPr>
            <w:r w:rsidRPr="0033474D">
              <w:rPr>
                <w:sz w:val="20"/>
                <w:szCs w:val="20"/>
              </w:rPr>
              <w:t>1,699</w:t>
            </w:r>
          </w:p>
        </w:tc>
        <w:tc>
          <w:tcPr>
            <w:tcW w:w="0" w:type="auto"/>
          </w:tcPr>
          <w:p w:rsidR="00B0185A" w:rsidRPr="0033474D" w:rsidRDefault="00B0185A" w:rsidP="0026540F">
            <w:pPr>
              <w:jc w:val="center"/>
              <w:rPr>
                <w:sz w:val="20"/>
                <w:szCs w:val="20"/>
              </w:rPr>
            </w:pPr>
            <w:r w:rsidRPr="0033474D">
              <w:rPr>
                <w:sz w:val="20"/>
                <w:szCs w:val="20"/>
              </w:rPr>
              <w:t>138</w:t>
            </w:r>
          </w:p>
        </w:tc>
        <w:tc>
          <w:tcPr>
            <w:tcW w:w="0" w:type="auto"/>
          </w:tcPr>
          <w:p w:rsidR="00B0185A" w:rsidRPr="0033474D" w:rsidRDefault="00B0185A" w:rsidP="0026540F">
            <w:pPr>
              <w:jc w:val="center"/>
              <w:rPr>
                <w:sz w:val="20"/>
                <w:szCs w:val="20"/>
              </w:rPr>
            </w:pPr>
            <w:r>
              <w:rPr>
                <w:sz w:val="20"/>
                <w:szCs w:val="20"/>
              </w:rPr>
              <w:t>495</w:t>
            </w:r>
          </w:p>
        </w:tc>
        <w:tc>
          <w:tcPr>
            <w:tcW w:w="0" w:type="auto"/>
          </w:tcPr>
          <w:p w:rsidR="00B0185A" w:rsidRPr="0033474D" w:rsidRDefault="00B0185A" w:rsidP="0026540F">
            <w:pPr>
              <w:jc w:val="center"/>
              <w:rPr>
                <w:sz w:val="20"/>
                <w:szCs w:val="20"/>
              </w:rPr>
            </w:pPr>
            <w:r>
              <w:rPr>
                <w:sz w:val="20"/>
                <w:szCs w:val="20"/>
              </w:rPr>
              <w:t>(106)</w:t>
            </w:r>
          </w:p>
        </w:tc>
      </w:tr>
      <w:tr w:rsidR="00B0185A" w:rsidTr="00B0185A">
        <w:tc>
          <w:tcPr>
            <w:tcW w:w="0" w:type="auto"/>
          </w:tcPr>
          <w:p w:rsidR="00B0185A" w:rsidRPr="0033474D" w:rsidRDefault="00B0185A" w:rsidP="003B11BE">
            <w:pPr>
              <w:rPr>
                <w:sz w:val="20"/>
                <w:szCs w:val="20"/>
              </w:rPr>
            </w:pPr>
            <w:r w:rsidRPr="0033474D">
              <w:rPr>
                <w:sz w:val="20"/>
                <w:szCs w:val="20"/>
              </w:rPr>
              <w:t>International</w:t>
            </w:r>
          </w:p>
        </w:tc>
        <w:tc>
          <w:tcPr>
            <w:tcW w:w="0" w:type="auto"/>
          </w:tcPr>
          <w:p w:rsidR="00B0185A" w:rsidRPr="0033474D" w:rsidRDefault="00B0185A" w:rsidP="0026540F">
            <w:pPr>
              <w:jc w:val="center"/>
              <w:rPr>
                <w:sz w:val="20"/>
                <w:szCs w:val="20"/>
              </w:rPr>
            </w:pPr>
            <w:r w:rsidRPr="0033474D">
              <w:rPr>
                <w:sz w:val="20"/>
                <w:szCs w:val="20"/>
              </w:rPr>
              <w:t>3,486</w:t>
            </w:r>
          </w:p>
        </w:tc>
        <w:tc>
          <w:tcPr>
            <w:tcW w:w="0" w:type="auto"/>
          </w:tcPr>
          <w:p w:rsidR="00B0185A" w:rsidRPr="0033474D" w:rsidRDefault="00B0185A" w:rsidP="0026540F">
            <w:pPr>
              <w:jc w:val="center"/>
              <w:rPr>
                <w:sz w:val="20"/>
                <w:szCs w:val="20"/>
              </w:rPr>
            </w:pPr>
            <w:r w:rsidRPr="0033474D">
              <w:rPr>
                <w:sz w:val="20"/>
                <w:szCs w:val="20"/>
              </w:rPr>
              <w:t>542,156</w:t>
            </w:r>
          </w:p>
        </w:tc>
        <w:tc>
          <w:tcPr>
            <w:tcW w:w="0" w:type="auto"/>
          </w:tcPr>
          <w:p w:rsidR="00B0185A" w:rsidRPr="0033474D" w:rsidRDefault="00B0185A" w:rsidP="0026540F">
            <w:pPr>
              <w:jc w:val="center"/>
              <w:rPr>
                <w:sz w:val="20"/>
                <w:szCs w:val="20"/>
              </w:rPr>
            </w:pPr>
            <w:r w:rsidRPr="0033474D">
              <w:rPr>
                <w:sz w:val="20"/>
                <w:szCs w:val="20"/>
              </w:rPr>
              <w:t>57%</w:t>
            </w:r>
          </w:p>
        </w:tc>
        <w:tc>
          <w:tcPr>
            <w:tcW w:w="0" w:type="auto"/>
          </w:tcPr>
          <w:p w:rsidR="00B0185A" w:rsidRPr="0033474D" w:rsidRDefault="00B0185A" w:rsidP="0026540F">
            <w:pPr>
              <w:jc w:val="center"/>
              <w:rPr>
                <w:sz w:val="20"/>
                <w:szCs w:val="20"/>
              </w:rPr>
            </w:pPr>
            <w:r w:rsidRPr="0033474D">
              <w:rPr>
                <w:sz w:val="20"/>
                <w:szCs w:val="20"/>
              </w:rPr>
              <w:t>6,430</w:t>
            </w:r>
          </w:p>
        </w:tc>
        <w:tc>
          <w:tcPr>
            <w:tcW w:w="0" w:type="auto"/>
          </w:tcPr>
          <w:p w:rsidR="00B0185A" w:rsidRPr="0033474D" w:rsidRDefault="00B0185A" w:rsidP="0026540F">
            <w:pPr>
              <w:jc w:val="center"/>
              <w:rPr>
                <w:sz w:val="20"/>
                <w:szCs w:val="20"/>
              </w:rPr>
            </w:pPr>
            <w:r w:rsidRPr="0033474D">
              <w:rPr>
                <w:sz w:val="20"/>
                <w:szCs w:val="20"/>
              </w:rPr>
              <w:t>35.54%</w:t>
            </w:r>
          </w:p>
        </w:tc>
        <w:tc>
          <w:tcPr>
            <w:tcW w:w="0" w:type="auto"/>
          </w:tcPr>
          <w:p w:rsidR="00B0185A" w:rsidRPr="0033474D" w:rsidRDefault="00B0185A" w:rsidP="0026540F">
            <w:pPr>
              <w:jc w:val="center"/>
              <w:rPr>
                <w:sz w:val="20"/>
                <w:szCs w:val="20"/>
              </w:rPr>
            </w:pPr>
            <w:r w:rsidRPr="0033474D">
              <w:rPr>
                <w:sz w:val="20"/>
                <w:szCs w:val="20"/>
              </w:rPr>
              <w:t>4,455</w:t>
            </w:r>
          </w:p>
        </w:tc>
        <w:tc>
          <w:tcPr>
            <w:tcW w:w="0" w:type="auto"/>
          </w:tcPr>
          <w:p w:rsidR="00B0185A" w:rsidRPr="0033474D" w:rsidRDefault="00B0185A" w:rsidP="0026540F">
            <w:pPr>
              <w:jc w:val="center"/>
              <w:rPr>
                <w:sz w:val="20"/>
                <w:szCs w:val="20"/>
              </w:rPr>
            </w:pPr>
            <w:r w:rsidRPr="0033474D">
              <w:rPr>
                <w:sz w:val="20"/>
                <w:szCs w:val="20"/>
              </w:rPr>
              <w:t>598,910</w:t>
            </w:r>
          </w:p>
        </w:tc>
        <w:tc>
          <w:tcPr>
            <w:tcW w:w="0" w:type="auto"/>
          </w:tcPr>
          <w:p w:rsidR="00B0185A" w:rsidRPr="0033474D" w:rsidRDefault="00B0185A" w:rsidP="0026540F">
            <w:pPr>
              <w:jc w:val="center"/>
              <w:rPr>
                <w:sz w:val="20"/>
                <w:szCs w:val="20"/>
              </w:rPr>
            </w:pPr>
            <w:r w:rsidRPr="0033474D">
              <w:rPr>
                <w:sz w:val="20"/>
                <w:szCs w:val="20"/>
              </w:rPr>
              <w:t>67.9%</w:t>
            </w:r>
          </w:p>
        </w:tc>
        <w:tc>
          <w:tcPr>
            <w:tcW w:w="0" w:type="auto"/>
          </w:tcPr>
          <w:p w:rsidR="00B0185A" w:rsidRPr="0033474D" w:rsidRDefault="00B0185A" w:rsidP="0026540F">
            <w:pPr>
              <w:jc w:val="center"/>
              <w:rPr>
                <w:sz w:val="20"/>
                <w:szCs w:val="20"/>
              </w:rPr>
            </w:pPr>
            <w:r w:rsidRPr="0033474D">
              <w:rPr>
                <w:sz w:val="20"/>
                <w:szCs w:val="20"/>
              </w:rPr>
              <w:t>7,439</w:t>
            </w:r>
          </w:p>
        </w:tc>
        <w:tc>
          <w:tcPr>
            <w:tcW w:w="0" w:type="auto"/>
          </w:tcPr>
          <w:p w:rsidR="00B0185A" w:rsidRPr="0033474D" w:rsidRDefault="00B0185A" w:rsidP="0026540F">
            <w:pPr>
              <w:jc w:val="center"/>
              <w:rPr>
                <w:sz w:val="20"/>
                <w:szCs w:val="20"/>
              </w:rPr>
            </w:pPr>
            <w:r w:rsidRPr="0033474D">
              <w:rPr>
                <w:sz w:val="20"/>
                <w:szCs w:val="20"/>
              </w:rPr>
              <w:t>37.49%</w:t>
            </w:r>
          </w:p>
        </w:tc>
        <w:tc>
          <w:tcPr>
            <w:tcW w:w="0" w:type="auto"/>
          </w:tcPr>
          <w:p w:rsidR="00B0185A" w:rsidRPr="0033474D" w:rsidRDefault="00B0185A" w:rsidP="0026540F">
            <w:pPr>
              <w:jc w:val="center"/>
              <w:rPr>
                <w:sz w:val="20"/>
                <w:szCs w:val="20"/>
              </w:rPr>
            </w:pPr>
            <w:r>
              <w:rPr>
                <w:sz w:val="20"/>
                <w:szCs w:val="20"/>
              </w:rPr>
              <w:t>1.95%</w:t>
            </w:r>
          </w:p>
        </w:tc>
        <w:tc>
          <w:tcPr>
            <w:tcW w:w="0" w:type="auto"/>
          </w:tcPr>
          <w:p w:rsidR="00B0185A" w:rsidRPr="0033474D" w:rsidRDefault="00B0185A" w:rsidP="0026540F">
            <w:pPr>
              <w:jc w:val="center"/>
              <w:rPr>
                <w:sz w:val="20"/>
                <w:szCs w:val="20"/>
              </w:rPr>
            </w:pPr>
            <w:r w:rsidRPr="0033474D">
              <w:rPr>
                <w:sz w:val="20"/>
                <w:szCs w:val="20"/>
              </w:rPr>
              <w:t>604</w:t>
            </w:r>
          </w:p>
        </w:tc>
        <w:tc>
          <w:tcPr>
            <w:tcW w:w="0" w:type="auto"/>
          </w:tcPr>
          <w:p w:rsidR="00B0185A" w:rsidRPr="0033474D" w:rsidRDefault="00B0185A" w:rsidP="00C61494">
            <w:pPr>
              <w:jc w:val="center"/>
              <w:rPr>
                <w:sz w:val="20"/>
                <w:szCs w:val="20"/>
              </w:rPr>
            </w:pPr>
            <w:r w:rsidRPr="0033474D">
              <w:rPr>
                <w:sz w:val="20"/>
                <w:szCs w:val="20"/>
              </w:rPr>
              <w:t>172</w:t>
            </w:r>
          </w:p>
        </w:tc>
        <w:tc>
          <w:tcPr>
            <w:tcW w:w="0" w:type="auto"/>
          </w:tcPr>
          <w:p w:rsidR="00B0185A" w:rsidRPr="0033474D" w:rsidRDefault="00B0185A" w:rsidP="0026540F">
            <w:pPr>
              <w:jc w:val="center"/>
              <w:rPr>
                <w:sz w:val="20"/>
                <w:szCs w:val="20"/>
              </w:rPr>
            </w:pPr>
            <w:r>
              <w:rPr>
                <w:sz w:val="20"/>
                <w:szCs w:val="20"/>
              </w:rPr>
              <w:t>486</w:t>
            </w:r>
          </w:p>
        </w:tc>
        <w:tc>
          <w:tcPr>
            <w:tcW w:w="0" w:type="auto"/>
          </w:tcPr>
          <w:p w:rsidR="00B0185A" w:rsidRPr="0033474D" w:rsidRDefault="00B0185A" w:rsidP="0026540F">
            <w:pPr>
              <w:jc w:val="center"/>
              <w:rPr>
                <w:sz w:val="20"/>
                <w:szCs w:val="20"/>
              </w:rPr>
            </w:pPr>
            <w:r>
              <w:rPr>
                <w:sz w:val="20"/>
                <w:szCs w:val="20"/>
              </w:rPr>
              <w:t>(193)</w:t>
            </w:r>
          </w:p>
        </w:tc>
      </w:tr>
      <w:tr w:rsidR="00B0185A" w:rsidTr="00B0185A">
        <w:tc>
          <w:tcPr>
            <w:tcW w:w="0" w:type="auto"/>
          </w:tcPr>
          <w:p w:rsidR="00B0185A" w:rsidRPr="0033474D" w:rsidRDefault="00B0185A" w:rsidP="003B11BE">
            <w:pPr>
              <w:rPr>
                <w:b/>
                <w:sz w:val="20"/>
                <w:szCs w:val="20"/>
              </w:rPr>
            </w:pPr>
            <w:r w:rsidRPr="0033474D">
              <w:rPr>
                <w:b/>
                <w:sz w:val="20"/>
                <w:szCs w:val="20"/>
              </w:rPr>
              <w:t>Total</w:t>
            </w:r>
          </w:p>
        </w:tc>
        <w:tc>
          <w:tcPr>
            <w:tcW w:w="0" w:type="auto"/>
          </w:tcPr>
          <w:p w:rsidR="00B0185A" w:rsidRPr="0033474D" w:rsidRDefault="00B0185A" w:rsidP="0026540F">
            <w:pPr>
              <w:jc w:val="center"/>
              <w:rPr>
                <w:b/>
                <w:sz w:val="20"/>
                <w:szCs w:val="20"/>
              </w:rPr>
            </w:pPr>
            <w:r w:rsidRPr="0033474D">
              <w:rPr>
                <w:b/>
                <w:sz w:val="20"/>
                <w:szCs w:val="20"/>
              </w:rPr>
              <w:t>19,239</w:t>
            </w:r>
          </w:p>
        </w:tc>
        <w:tc>
          <w:tcPr>
            <w:tcW w:w="0" w:type="auto"/>
          </w:tcPr>
          <w:p w:rsidR="00B0185A" w:rsidRPr="0033474D" w:rsidRDefault="00B0185A" w:rsidP="0026540F">
            <w:pPr>
              <w:jc w:val="center"/>
              <w:rPr>
                <w:b/>
                <w:sz w:val="20"/>
                <w:szCs w:val="20"/>
              </w:rPr>
            </w:pPr>
            <w:r w:rsidRPr="0033474D">
              <w:rPr>
                <w:b/>
                <w:sz w:val="20"/>
                <w:szCs w:val="20"/>
              </w:rPr>
              <w:t>1,525,407</w:t>
            </w:r>
          </w:p>
        </w:tc>
        <w:tc>
          <w:tcPr>
            <w:tcW w:w="0" w:type="auto"/>
          </w:tcPr>
          <w:p w:rsidR="00B0185A" w:rsidRPr="0033474D" w:rsidRDefault="00B0185A" w:rsidP="0026540F">
            <w:pPr>
              <w:jc w:val="center"/>
              <w:rPr>
                <w:b/>
                <w:sz w:val="20"/>
                <w:szCs w:val="20"/>
              </w:rPr>
            </w:pPr>
            <w:r w:rsidRPr="0033474D">
              <w:rPr>
                <w:b/>
                <w:sz w:val="20"/>
                <w:szCs w:val="20"/>
              </w:rPr>
              <w:t>64%</w:t>
            </w:r>
          </w:p>
        </w:tc>
        <w:tc>
          <w:tcPr>
            <w:tcW w:w="0" w:type="auto"/>
          </w:tcPr>
          <w:p w:rsidR="00B0185A" w:rsidRPr="0033474D" w:rsidRDefault="00B0185A" w:rsidP="0026540F">
            <w:pPr>
              <w:jc w:val="center"/>
              <w:rPr>
                <w:b/>
                <w:sz w:val="20"/>
                <w:szCs w:val="20"/>
              </w:rPr>
            </w:pPr>
            <w:r w:rsidRPr="0033474D">
              <w:rPr>
                <w:b/>
                <w:sz w:val="20"/>
                <w:szCs w:val="20"/>
              </w:rPr>
              <w:t>12,612</w:t>
            </w:r>
          </w:p>
        </w:tc>
        <w:tc>
          <w:tcPr>
            <w:tcW w:w="0" w:type="auto"/>
          </w:tcPr>
          <w:p w:rsidR="00B0185A" w:rsidRPr="0033474D" w:rsidRDefault="00B0185A" w:rsidP="0026540F">
            <w:pPr>
              <w:jc w:val="center"/>
              <w:rPr>
                <w:b/>
                <w:sz w:val="20"/>
                <w:szCs w:val="20"/>
              </w:rPr>
            </w:pPr>
            <w:r w:rsidRPr="0033474D">
              <w:rPr>
                <w:b/>
                <w:sz w:val="20"/>
                <w:szCs w:val="20"/>
              </w:rPr>
              <w:t>100%</w:t>
            </w:r>
          </w:p>
        </w:tc>
        <w:tc>
          <w:tcPr>
            <w:tcW w:w="0" w:type="auto"/>
          </w:tcPr>
          <w:p w:rsidR="00B0185A" w:rsidRPr="0033474D" w:rsidRDefault="00B0185A" w:rsidP="0026540F">
            <w:pPr>
              <w:jc w:val="center"/>
              <w:rPr>
                <w:b/>
                <w:sz w:val="20"/>
                <w:szCs w:val="20"/>
              </w:rPr>
            </w:pPr>
            <w:r w:rsidRPr="0033474D">
              <w:rPr>
                <w:b/>
                <w:sz w:val="20"/>
                <w:szCs w:val="20"/>
              </w:rPr>
              <w:t>22,151</w:t>
            </w:r>
          </w:p>
        </w:tc>
        <w:tc>
          <w:tcPr>
            <w:tcW w:w="0" w:type="auto"/>
          </w:tcPr>
          <w:p w:rsidR="00B0185A" w:rsidRPr="0033474D" w:rsidRDefault="00B0185A" w:rsidP="0026540F">
            <w:pPr>
              <w:jc w:val="center"/>
              <w:rPr>
                <w:b/>
                <w:sz w:val="20"/>
                <w:szCs w:val="20"/>
              </w:rPr>
            </w:pPr>
            <w:r w:rsidRPr="0033474D">
              <w:rPr>
                <w:b/>
                <w:sz w:val="20"/>
                <w:szCs w:val="20"/>
              </w:rPr>
              <w:t>1,597,380</w:t>
            </w:r>
          </w:p>
        </w:tc>
        <w:tc>
          <w:tcPr>
            <w:tcW w:w="0" w:type="auto"/>
          </w:tcPr>
          <w:p w:rsidR="00B0185A" w:rsidRPr="0033474D" w:rsidRDefault="00B0185A" w:rsidP="0026540F">
            <w:pPr>
              <w:jc w:val="center"/>
              <w:rPr>
                <w:b/>
                <w:sz w:val="20"/>
                <w:szCs w:val="20"/>
              </w:rPr>
            </w:pPr>
            <w:r w:rsidRPr="0033474D">
              <w:rPr>
                <w:b/>
                <w:sz w:val="20"/>
                <w:szCs w:val="20"/>
              </w:rPr>
              <w:t>69.2%</w:t>
            </w:r>
          </w:p>
        </w:tc>
        <w:tc>
          <w:tcPr>
            <w:tcW w:w="0" w:type="auto"/>
          </w:tcPr>
          <w:p w:rsidR="00B0185A" w:rsidRPr="0033474D" w:rsidRDefault="00B0185A" w:rsidP="0026540F">
            <w:pPr>
              <w:jc w:val="center"/>
              <w:rPr>
                <w:b/>
                <w:sz w:val="20"/>
                <w:szCs w:val="20"/>
              </w:rPr>
            </w:pPr>
            <w:r w:rsidRPr="0033474D">
              <w:rPr>
                <w:b/>
                <w:sz w:val="20"/>
                <w:szCs w:val="20"/>
              </w:rPr>
              <w:t>13,867</w:t>
            </w:r>
          </w:p>
        </w:tc>
        <w:tc>
          <w:tcPr>
            <w:tcW w:w="0" w:type="auto"/>
          </w:tcPr>
          <w:p w:rsidR="00B0185A" w:rsidRPr="0033474D" w:rsidRDefault="00B0185A" w:rsidP="0026540F">
            <w:pPr>
              <w:jc w:val="center"/>
              <w:rPr>
                <w:b/>
                <w:sz w:val="20"/>
                <w:szCs w:val="20"/>
              </w:rPr>
            </w:pPr>
            <w:r w:rsidRPr="0033474D">
              <w:rPr>
                <w:b/>
                <w:sz w:val="20"/>
                <w:szCs w:val="20"/>
              </w:rPr>
              <w:t>100%</w:t>
            </w:r>
          </w:p>
        </w:tc>
        <w:tc>
          <w:tcPr>
            <w:tcW w:w="0" w:type="auto"/>
          </w:tcPr>
          <w:p w:rsidR="00B0185A" w:rsidRPr="0033474D" w:rsidRDefault="00B0185A" w:rsidP="0026540F">
            <w:pPr>
              <w:jc w:val="center"/>
              <w:rPr>
                <w:b/>
                <w:sz w:val="20"/>
                <w:szCs w:val="20"/>
              </w:rPr>
            </w:pPr>
            <w:r>
              <w:rPr>
                <w:b/>
                <w:sz w:val="20"/>
                <w:szCs w:val="20"/>
              </w:rPr>
              <w:t>0.0%</w:t>
            </w:r>
          </w:p>
        </w:tc>
        <w:tc>
          <w:tcPr>
            <w:tcW w:w="0" w:type="auto"/>
          </w:tcPr>
          <w:p w:rsidR="00B0185A" w:rsidRPr="0033474D" w:rsidRDefault="00B0185A" w:rsidP="0026540F">
            <w:pPr>
              <w:jc w:val="center"/>
              <w:rPr>
                <w:b/>
                <w:sz w:val="20"/>
                <w:szCs w:val="20"/>
              </w:rPr>
            </w:pPr>
            <w:r w:rsidRPr="0033474D">
              <w:rPr>
                <w:b/>
                <w:sz w:val="20"/>
                <w:szCs w:val="20"/>
              </w:rPr>
              <w:t>2,005</w:t>
            </w:r>
          </w:p>
        </w:tc>
        <w:tc>
          <w:tcPr>
            <w:tcW w:w="0" w:type="auto"/>
          </w:tcPr>
          <w:p w:rsidR="00B0185A" w:rsidRPr="0033474D" w:rsidRDefault="00B0185A" w:rsidP="0026540F">
            <w:pPr>
              <w:jc w:val="center"/>
              <w:rPr>
                <w:b/>
                <w:sz w:val="20"/>
                <w:szCs w:val="20"/>
              </w:rPr>
            </w:pPr>
            <w:r w:rsidRPr="0033474D">
              <w:rPr>
                <w:b/>
                <w:sz w:val="20"/>
                <w:szCs w:val="20"/>
              </w:rPr>
              <w:t>310</w:t>
            </w:r>
          </w:p>
        </w:tc>
        <w:tc>
          <w:tcPr>
            <w:tcW w:w="0" w:type="auto"/>
          </w:tcPr>
          <w:p w:rsidR="00B0185A" w:rsidRPr="0033474D" w:rsidRDefault="00B0185A" w:rsidP="0026540F">
            <w:pPr>
              <w:jc w:val="center"/>
              <w:rPr>
                <w:b/>
                <w:sz w:val="20"/>
                <w:szCs w:val="20"/>
              </w:rPr>
            </w:pPr>
            <w:r>
              <w:rPr>
                <w:b/>
                <w:sz w:val="20"/>
                <w:szCs w:val="20"/>
              </w:rPr>
              <w:t>981</w:t>
            </w:r>
          </w:p>
        </w:tc>
        <w:tc>
          <w:tcPr>
            <w:tcW w:w="0" w:type="auto"/>
          </w:tcPr>
          <w:p w:rsidR="00B0185A" w:rsidRPr="0033474D" w:rsidRDefault="00B0185A" w:rsidP="0026540F">
            <w:pPr>
              <w:jc w:val="center"/>
              <w:rPr>
                <w:b/>
                <w:sz w:val="20"/>
                <w:szCs w:val="20"/>
              </w:rPr>
            </w:pPr>
            <w:r>
              <w:rPr>
                <w:b/>
                <w:sz w:val="20"/>
                <w:szCs w:val="20"/>
              </w:rPr>
              <w:t>(299)</w:t>
            </w:r>
          </w:p>
        </w:tc>
      </w:tr>
    </w:tbl>
    <w:p w:rsidR="008A1E25" w:rsidRDefault="008A1E25" w:rsidP="003B11BE">
      <w:pPr>
        <w:spacing w:after="0"/>
      </w:pPr>
    </w:p>
    <w:p w:rsidR="00B0185A" w:rsidRDefault="00B0185A" w:rsidP="003B11BE">
      <w:pPr>
        <w:spacing w:after="0"/>
      </w:pPr>
    </w:p>
    <w:p w:rsidR="00B0185A" w:rsidRDefault="00C71C3C" w:rsidP="003B11BE">
      <w:pPr>
        <w:spacing w:after="0"/>
      </w:pPr>
      <w:r>
        <w:rPr>
          <w:noProof/>
        </w:rPr>
        <mc:AlternateContent>
          <mc:Choice Requires="cx">
            <w:drawing>
              <wp:inline distT="0" distB="0" distL="0" distR="0" wp14:anchorId="0FA3DC34" wp14:editId="60829342">
                <wp:extent cx="8801100" cy="3771265"/>
                <wp:effectExtent l="0" t="0" r="0" b="635"/>
                <wp:docPr id="1" name="Chart 1"/>
                <wp:cNvGraphicFramePr/>
                <a:graphic xmlns:a="http://schemas.openxmlformats.org/drawingml/2006/main">
                  <a:graphicData uri="http://schemas.microsoft.com/office/drawing/2014/chartex">
                    <c:chart xmlns:c="http://schemas.openxmlformats.org/drawingml/2006/chart" xmlns:r="http://schemas.openxmlformats.org/officeDocument/2006/relationships" r:id="rId6"/>
                  </a:graphicData>
                </a:graphic>
              </wp:inline>
            </w:drawing>
          </mc:Choice>
          <mc:Fallback>
            <w:drawing>
              <wp:inline distT="0" distB="0" distL="0" distR="0" wp14:anchorId="0FA3DC34" wp14:editId="60829342">
                <wp:extent cx="8801100" cy="3771265"/>
                <wp:effectExtent l="0" t="0" r="0" b="635"/>
                <wp:docPr id="1" name="Chart 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pic:cNvPicPr>
                          <a:picLocks noGrp="1" noRot="1" noChangeAspect="1" noMove="1" noResize="1" noEditPoints="1" noAdjustHandles="1" noChangeArrowheads="1" noChangeShapeType="1"/>
                        </pic:cNvPicPr>
                      </pic:nvPicPr>
                      <pic:blipFill>
                        <a:blip r:embed="rId7"/>
                        <a:stretch>
                          <a:fillRect/>
                        </a:stretch>
                      </pic:blipFill>
                      <pic:spPr>
                        <a:xfrm>
                          <a:off x="0" y="0"/>
                          <a:ext cx="8801100" cy="3771265"/>
                        </a:xfrm>
                        <a:prstGeom prst="rect">
                          <a:avLst/>
                        </a:prstGeom>
                      </pic:spPr>
                    </pic:pic>
                  </a:graphicData>
                </a:graphic>
              </wp:inline>
            </w:drawing>
          </mc:Fallback>
        </mc:AlternateContent>
      </w:r>
    </w:p>
    <w:p w:rsidR="00BF4ED1" w:rsidRDefault="00BF4ED1" w:rsidP="003B11BE">
      <w:pPr>
        <w:spacing w:after="0"/>
        <w:sectPr w:rsidR="00BF4ED1" w:rsidSect="00C71C3C">
          <w:pgSz w:w="16838" w:h="11906" w:orient="landscape"/>
          <w:pgMar w:top="1440" w:right="1440" w:bottom="1440" w:left="1440" w:header="708" w:footer="708" w:gutter="0"/>
          <w:cols w:space="708"/>
          <w:docGrid w:linePitch="360"/>
        </w:sectPr>
      </w:pPr>
    </w:p>
    <w:p w:rsidR="00BF4ED1" w:rsidRDefault="00BF4ED1" w:rsidP="00BF4ED1">
      <w:pPr>
        <w:pStyle w:val="ListParagraph"/>
        <w:numPr>
          <w:ilvl w:val="0"/>
          <w:numId w:val="1"/>
        </w:numPr>
        <w:spacing w:after="0"/>
      </w:pPr>
      <w:r>
        <w:lastRenderedPageBreak/>
        <w:t>Revenue is up $2,912 million in 2023 vs 2022.</w:t>
      </w:r>
    </w:p>
    <w:p w:rsidR="00BF4ED1" w:rsidRDefault="00BF4ED1" w:rsidP="00BF4ED1">
      <w:pPr>
        <w:pStyle w:val="ListParagraph"/>
        <w:numPr>
          <w:ilvl w:val="0"/>
          <w:numId w:val="1"/>
        </w:numPr>
        <w:spacing w:after="0"/>
      </w:pPr>
      <w:r>
        <w:t>The</w:t>
      </w:r>
      <w:r w:rsidR="00776B77">
        <w:t xml:space="preserve"> main driver was price increase</w:t>
      </w:r>
      <w:r>
        <w:t xml:space="preserve"> followed by the increase in room occupancy rates, with negative </w:t>
      </w:r>
      <w:r w:rsidR="00776B77">
        <w:t>unit mix driving price per unit down.</w:t>
      </w:r>
    </w:p>
    <w:p w:rsidR="00776B77" w:rsidRDefault="00776B77" w:rsidP="00776B77">
      <w:pPr>
        <w:spacing w:after="0"/>
      </w:pPr>
    </w:p>
    <w:p w:rsidR="00776B77" w:rsidRDefault="00776B77" w:rsidP="00776B77">
      <w:pPr>
        <w:spacing w:after="0"/>
      </w:pPr>
      <w:r>
        <w:t>Positive drivers were:</w:t>
      </w:r>
    </w:p>
    <w:p w:rsidR="00776B77" w:rsidRDefault="00776B77" w:rsidP="00776B77">
      <w:pPr>
        <w:pStyle w:val="ListParagraph"/>
        <w:numPr>
          <w:ilvl w:val="0"/>
          <w:numId w:val="1"/>
        </w:numPr>
        <w:spacing w:after="0"/>
      </w:pPr>
      <w:r>
        <w:t>$2,005 million from room price increase</w:t>
      </w:r>
    </w:p>
    <w:p w:rsidR="00776B77" w:rsidRDefault="00776B77" w:rsidP="00776B77">
      <w:pPr>
        <w:pStyle w:val="ListParagraph"/>
        <w:numPr>
          <w:ilvl w:val="0"/>
          <w:numId w:val="1"/>
        </w:numPr>
        <w:spacing w:after="0"/>
      </w:pPr>
      <w:r>
        <w:t>$981 million from higher room occupancy rates</w:t>
      </w:r>
    </w:p>
    <w:p w:rsidR="00776B77" w:rsidRDefault="00776B77" w:rsidP="00776B77">
      <w:pPr>
        <w:pStyle w:val="ListParagraph"/>
        <w:numPr>
          <w:ilvl w:val="0"/>
          <w:numId w:val="1"/>
        </w:numPr>
        <w:spacing w:after="0"/>
      </w:pPr>
      <w:r>
        <w:t>$310 million from new units coming on board</w:t>
      </w:r>
    </w:p>
    <w:p w:rsidR="00121A4D" w:rsidRDefault="00121A4D" w:rsidP="00121A4D">
      <w:pPr>
        <w:spacing w:after="0"/>
      </w:pPr>
    </w:p>
    <w:p w:rsidR="00121A4D" w:rsidRDefault="00121A4D" w:rsidP="00121A4D">
      <w:pPr>
        <w:spacing w:after="0"/>
      </w:pPr>
      <w:r>
        <w:t>Negative driver was:</w:t>
      </w:r>
    </w:p>
    <w:p w:rsidR="00121A4D" w:rsidRDefault="00121A4D" w:rsidP="00121A4D">
      <w:pPr>
        <w:pStyle w:val="ListParagraph"/>
        <w:numPr>
          <w:ilvl w:val="0"/>
          <w:numId w:val="1"/>
        </w:numPr>
        <w:spacing w:after="0"/>
      </w:pPr>
      <w:r>
        <w:t>$299 million due to drop in price per room rates</w:t>
      </w:r>
    </w:p>
    <w:p w:rsidR="00121A4D" w:rsidRDefault="00121A4D" w:rsidP="00121A4D">
      <w:pPr>
        <w:spacing w:after="0"/>
      </w:pPr>
    </w:p>
    <w:p w:rsidR="00776B77" w:rsidRDefault="00776B77" w:rsidP="00BF4ED1">
      <w:pPr>
        <w:pStyle w:val="ListParagraph"/>
        <w:numPr>
          <w:ilvl w:val="0"/>
          <w:numId w:val="1"/>
        </w:numPr>
        <w:spacing w:after="0"/>
      </w:pPr>
      <w:r>
        <w:t>The price increase is largely attributable to the US&amp;Canada markets, although the international segment also contributed.</w:t>
      </w:r>
    </w:p>
    <w:p w:rsidR="00121A4D" w:rsidRDefault="00121A4D" w:rsidP="00121A4D">
      <w:pPr>
        <w:pStyle w:val="ListParagraph"/>
      </w:pPr>
    </w:p>
    <w:p w:rsidR="00121A4D" w:rsidRDefault="00121A4D" w:rsidP="00BF4ED1">
      <w:pPr>
        <w:pStyle w:val="ListParagraph"/>
        <w:numPr>
          <w:ilvl w:val="0"/>
          <w:numId w:val="1"/>
        </w:numPr>
        <w:spacing w:after="0"/>
      </w:pPr>
      <w:r>
        <w:t>More units came on live internationally but at a lower price point per unit as it is exhibited in the lower negative unit mix compared to the home market and Canada.</w:t>
      </w:r>
    </w:p>
    <w:p w:rsidR="000C0E9D" w:rsidRDefault="00121A4D" w:rsidP="00BF4ED1">
      <w:pPr>
        <w:pStyle w:val="ListParagraph"/>
        <w:numPr>
          <w:ilvl w:val="0"/>
          <w:numId w:val="1"/>
        </w:numPr>
        <w:spacing w:after="0"/>
      </w:pPr>
      <w:r>
        <w:t>The US&amp;Canada segment also show a negative unit mix and considering the main revenue driver was price increase, it would be interesting to see which Tier/s within the two segments achieved a higher price per unit rate growth and which Tier/s had to drop prices.</w:t>
      </w:r>
    </w:p>
    <w:p w:rsidR="00900DFC" w:rsidRDefault="00900DFC" w:rsidP="00BF4ED1">
      <w:pPr>
        <w:pStyle w:val="ListParagraph"/>
        <w:numPr>
          <w:ilvl w:val="0"/>
          <w:numId w:val="1"/>
        </w:numPr>
        <w:spacing w:after="0"/>
      </w:pPr>
      <w:r>
        <w:t xml:space="preserve">It would also be interesting to see the Tier of the new units as the proportions of each could affect revenue drivers. </w:t>
      </w:r>
    </w:p>
    <w:p w:rsidR="00121A4D" w:rsidRDefault="006006B7" w:rsidP="00BF4ED1">
      <w:pPr>
        <w:pStyle w:val="ListParagraph"/>
        <w:numPr>
          <w:ilvl w:val="0"/>
          <w:numId w:val="1"/>
        </w:numPr>
        <w:spacing w:after="0"/>
      </w:pPr>
      <w:r>
        <w:t>T</w:t>
      </w:r>
      <w:r w:rsidR="00121A4D">
        <w:t xml:space="preserve">he occupancy rates are nearly identical in the two segments and growing meaning Marriott’s pricing strategy </w:t>
      </w:r>
      <w:r w:rsidR="00900DFC">
        <w:t>is working.</w:t>
      </w:r>
    </w:p>
    <w:p w:rsidR="00900DFC" w:rsidRDefault="00900DFC" w:rsidP="00BF4ED1">
      <w:pPr>
        <w:pStyle w:val="ListParagraph"/>
        <w:numPr>
          <w:ilvl w:val="0"/>
          <w:numId w:val="1"/>
        </w:numPr>
        <w:spacing w:after="0"/>
      </w:pPr>
      <w:r>
        <w:t>It could be a mix of achieving higher room rate in the luxury and premi</w:t>
      </w:r>
      <w:r w:rsidR="006006B7">
        <w:t>um Tiers whilst exhibiting lower</w:t>
      </w:r>
      <w:r>
        <w:t xml:space="preserve"> rates in the lower Tiers.</w:t>
      </w:r>
    </w:p>
    <w:p w:rsidR="006006B7" w:rsidRDefault="006006B7" w:rsidP="006006B7">
      <w:pPr>
        <w:spacing w:after="0"/>
      </w:pPr>
    </w:p>
    <w:p w:rsidR="006006B7" w:rsidRDefault="006006B7" w:rsidP="006006B7">
      <w:pPr>
        <w:spacing w:after="0"/>
      </w:pPr>
      <w:r>
        <w:t xml:space="preserve">The </w:t>
      </w:r>
      <w:r w:rsidR="00557562">
        <w:t xml:space="preserve">revenue driver </w:t>
      </w:r>
      <w:r>
        <w:t>numbers are looking good however it must be noted that 2022 was still the back end of the COVID pandemic which seriously affected travel. The world opening up from 2023 and travellers returning could have been a major factor in the attractive 2023 numbers, especially in the international segment occupancy rates. This segment was more affected by the restrictions of international travel.</w:t>
      </w:r>
    </w:p>
    <w:p w:rsidR="00557562" w:rsidRDefault="00557562" w:rsidP="006006B7">
      <w:pPr>
        <w:spacing w:after="0"/>
      </w:pPr>
    </w:p>
    <w:p w:rsidR="00557562" w:rsidRDefault="00557562" w:rsidP="006006B7">
      <w:pPr>
        <w:spacing w:after="0"/>
      </w:pPr>
    </w:p>
    <w:p w:rsidR="00557562" w:rsidRDefault="00557562" w:rsidP="006006B7">
      <w:pPr>
        <w:spacing w:after="0"/>
      </w:pPr>
      <w:r>
        <w:t>Cost drivers analysis ………………………………………………………………….</w:t>
      </w: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Default="00557562" w:rsidP="006006B7">
      <w:pPr>
        <w:spacing w:after="0"/>
      </w:pPr>
    </w:p>
    <w:p w:rsidR="00557562" w:rsidRPr="00C10A4E" w:rsidRDefault="00557562" w:rsidP="006006B7">
      <w:pPr>
        <w:spacing w:after="0"/>
        <w:rPr>
          <w:b/>
        </w:rPr>
      </w:pPr>
      <w:r w:rsidRPr="00C10A4E">
        <w:rPr>
          <w:b/>
        </w:rPr>
        <w:lastRenderedPageBreak/>
        <w:t>Marr</w:t>
      </w:r>
      <w:r w:rsidR="008A6968" w:rsidRPr="00C10A4E">
        <w:rPr>
          <w:b/>
        </w:rPr>
        <w:t>iott Inc. peer group comparison (Hilton Inc., Intercontinental Group Plc., Hyatt Inc.)</w:t>
      </w:r>
    </w:p>
    <w:p w:rsidR="008A6968" w:rsidRDefault="008A6968" w:rsidP="006006B7">
      <w:pPr>
        <w:spacing w:after="0"/>
      </w:pPr>
    </w:p>
    <w:p w:rsidR="00726D21" w:rsidRDefault="00C10A4E" w:rsidP="006006B7">
      <w:pPr>
        <w:spacing w:after="0"/>
      </w:pPr>
      <w:r>
        <w:t xml:space="preserve">Basis for comparison: </w:t>
      </w:r>
    </w:p>
    <w:p w:rsidR="008A6968" w:rsidRDefault="00726D21" w:rsidP="006006B7">
      <w:pPr>
        <w:spacing w:after="0"/>
      </w:pPr>
      <w:r>
        <w:t xml:space="preserve">1, Profitability: </w:t>
      </w:r>
      <w:r w:rsidR="008A6968">
        <w:t>Revenue growth</w:t>
      </w:r>
      <w:r w:rsidR="00C10A4E">
        <w:t xml:space="preserve"> 2022 vs 2023, Gro</w:t>
      </w:r>
      <w:r>
        <w:t>ss profit margin 2023, EBITDA</w:t>
      </w:r>
      <w:r w:rsidR="00C10A4E">
        <w:t xml:space="preserve"> margin 2023, Net income margin 2023.</w:t>
      </w:r>
    </w:p>
    <w:p w:rsidR="00726D21" w:rsidRDefault="00726D21" w:rsidP="006006B7">
      <w:pPr>
        <w:spacing w:after="0"/>
      </w:pPr>
      <w:r>
        <w:t>2, KPIs: Occupancy rate, Average Daily Rate, Revenue Per Available Room.</w:t>
      </w:r>
    </w:p>
    <w:p w:rsidR="008A6968" w:rsidRDefault="008A6968" w:rsidP="006006B7">
      <w:pPr>
        <w:spacing w:after="0"/>
      </w:pPr>
    </w:p>
    <w:tbl>
      <w:tblPr>
        <w:tblStyle w:val="TableGrid"/>
        <w:tblW w:w="9067" w:type="dxa"/>
        <w:tblLook w:val="04A0" w:firstRow="1" w:lastRow="0" w:firstColumn="1" w:lastColumn="0" w:noHBand="0" w:noVBand="1"/>
      </w:tblPr>
      <w:tblGrid>
        <w:gridCol w:w="2569"/>
        <w:gridCol w:w="1642"/>
        <w:gridCol w:w="1594"/>
        <w:gridCol w:w="1703"/>
        <w:gridCol w:w="1559"/>
      </w:tblGrid>
      <w:tr w:rsidR="00C10A4E" w:rsidTr="00C10A4E">
        <w:tc>
          <w:tcPr>
            <w:tcW w:w="0" w:type="auto"/>
          </w:tcPr>
          <w:p w:rsidR="008A6968" w:rsidRPr="00726D21" w:rsidRDefault="008A6968" w:rsidP="006006B7">
            <w:pPr>
              <w:rPr>
                <w:b/>
              </w:rPr>
            </w:pPr>
            <w:r w:rsidRPr="00726D21">
              <w:rPr>
                <w:b/>
              </w:rPr>
              <w:t>2023</w:t>
            </w:r>
          </w:p>
        </w:tc>
        <w:tc>
          <w:tcPr>
            <w:tcW w:w="1642" w:type="dxa"/>
          </w:tcPr>
          <w:p w:rsidR="008A6968" w:rsidRPr="00726D21" w:rsidRDefault="008A6968" w:rsidP="006006B7">
            <w:pPr>
              <w:rPr>
                <w:b/>
              </w:rPr>
            </w:pPr>
            <w:r w:rsidRPr="00726D21">
              <w:rPr>
                <w:b/>
              </w:rPr>
              <w:t>Marriott</w:t>
            </w:r>
          </w:p>
        </w:tc>
        <w:tc>
          <w:tcPr>
            <w:tcW w:w="1594" w:type="dxa"/>
          </w:tcPr>
          <w:p w:rsidR="008A6968" w:rsidRPr="00726D21" w:rsidRDefault="008A6968" w:rsidP="006006B7">
            <w:pPr>
              <w:rPr>
                <w:b/>
              </w:rPr>
            </w:pPr>
            <w:r w:rsidRPr="00726D21">
              <w:rPr>
                <w:b/>
              </w:rPr>
              <w:t>Hilton</w:t>
            </w:r>
          </w:p>
        </w:tc>
        <w:tc>
          <w:tcPr>
            <w:tcW w:w="1666" w:type="dxa"/>
          </w:tcPr>
          <w:p w:rsidR="008A6968" w:rsidRPr="00726D21" w:rsidRDefault="008A6968" w:rsidP="006006B7">
            <w:pPr>
              <w:rPr>
                <w:b/>
              </w:rPr>
            </w:pPr>
            <w:r w:rsidRPr="00726D21">
              <w:rPr>
                <w:b/>
              </w:rPr>
              <w:t>Intercontinental Group</w:t>
            </w:r>
          </w:p>
        </w:tc>
        <w:tc>
          <w:tcPr>
            <w:tcW w:w="1559" w:type="dxa"/>
          </w:tcPr>
          <w:p w:rsidR="008A6968" w:rsidRPr="00726D21" w:rsidRDefault="008A6968" w:rsidP="006006B7">
            <w:pPr>
              <w:rPr>
                <w:b/>
              </w:rPr>
            </w:pPr>
            <w:r w:rsidRPr="00726D21">
              <w:rPr>
                <w:b/>
              </w:rPr>
              <w:t>Hyatt</w:t>
            </w:r>
          </w:p>
        </w:tc>
      </w:tr>
      <w:tr w:rsidR="00C10A4E" w:rsidTr="00C10A4E">
        <w:tc>
          <w:tcPr>
            <w:tcW w:w="0" w:type="auto"/>
          </w:tcPr>
          <w:p w:rsidR="008A6968" w:rsidRDefault="008A6968" w:rsidP="006006B7">
            <w:r>
              <w:t>Revenue growth 2022vs2023</w:t>
            </w:r>
          </w:p>
        </w:tc>
        <w:tc>
          <w:tcPr>
            <w:tcW w:w="1642" w:type="dxa"/>
          </w:tcPr>
          <w:p w:rsidR="008A6968" w:rsidRDefault="008A6968" w:rsidP="006006B7">
            <w:r>
              <w:t>14.16%</w:t>
            </w:r>
          </w:p>
        </w:tc>
        <w:tc>
          <w:tcPr>
            <w:tcW w:w="1594" w:type="dxa"/>
          </w:tcPr>
          <w:p w:rsidR="008A6968" w:rsidRDefault="00C10A4E" w:rsidP="006006B7">
            <w:r>
              <w:t>16.67%</w:t>
            </w:r>
          </w:p>
        </w:tc>
        <w:tc>
          <w:tcPr>
            <w:tcW w:w="1666" w:type="dxa"/>
          </w:tcPr>
          <w:p w:rsidR="008A6968" w:rsidRDefault="00C10A4E" w:rsidP="006006B7">
            <w:r>
              <w:t>18.81%</w:t>
            </w:r>
          </w:p>
        </w:tc>
        <w:tc>
          <w:tcPr>
            <w:tcW w:w="1559" w:type="dxa"/>
          </w:tcPr>
          <w:p w:rsidR="008A6968" w:rsidRDefault="008A6968" w:rsidP="006006B7">
            <w:r>
              <w:t>13.17%</w:t>
            </w:r>
          </w:p>
        </w:tc>
      </w:tr>
      <w:tr w:rsidR="00C10A4E" w:rsidTr="00C10A4E">
        <w:tc>
          <w:tcPr>
            <w:tcW w:w="0" w:type="auto"/>
          </w:tcPr>
          <w:p w:rsidR="008A6968" w:rsidRDefault="008A6968" w:rsidP="006006B7">
            <w:r>
              <w:t>Gross profit</w:t>
            </w:r>
            <w:r w:rsidR="0048096D">
              <w:t xml:space="preserve"> margin</w:t>
            </w:r>
          </w:p>
        </w:tc>
        <w:tc>
          <w:tcPr>
            <w:tcW w:w="1642" w:type="dxa"/>
          </w:tcPr>
          <w:p w:rsidR="008A6968" w:rsidRDefault="008A6968" w:rsidP="006006B7">
            <w:r>
              <w:t>21.61%</w:t>
            </w:r>
          </w:p>
        </w:tc>
        <w:tc>
          <w:tcPr>
            <w:tcW w:w="1594" w:type="dxa"/>
          </w:tcPr>
          <w:p w:rsidR="008A6968" w:rsidRDefault="00C10A4E" w:rsidP="006006B7">
            <w:r>
              <w:t>28.63%</w:t>
            </w:r>
          </w:p>
        </w:tc>
        <w:tc>
          <w:tcPr>
            <w:tcW w:w="1666" w:type="dxa"/>
          </w:tcPr>
          <w:p w:rsidR="008A6968" w:rsidRDefault="00C10A4E" w:rsidP="006006B7">
            <w:r>
              <w:t>30.67%</w:t>
            </w:r>
          </w:p>
        </w:tc>
        <w:tc>
          <w:tcPr>
            <w:tcW w:w="1559" w:type="dxa"/>
          </w:tcPr>
          <w:p w:rsidR="008A6968" w:rsidRDefault="008A6968" w:rsidP="006006B7">
            <w:r>
              <w:t>19.75%</w:t>
            </w:r>
          </w:p>
        </w:tc>
      </w:tr>
      <w:tr w:rsidR="0048096D" w:rsidTr="00C10A4E">
        <w:tc>
          <w:tcPr>
            <w:tcW w:w="0" w:type="auto"/>
          </w:tcPr>
          <w:p w:rsidR="0048096D" w:rsidRDefault="0048096D" w:rsidP="006006B7">
            <w:r>
              <w:t>EBITDA margin</w:t>
            </w:r>
          </w:p>
        </w:tc>
        <w:tc>
          <w:tcPr>
            <w:tcW w:w="1642" w:type="dxa"/>
          </w:tcPr>
          <w:p w:rsidR="0048096D" w:rsidRDefault="00726D21" w:rsidP="006006B7">
            <w:r>
              <w:t>67.78%</w:t>
            </w:r>
          </w:p>
        </w:tc>
        <w:tc>
          <w:tcPr>
            <w:tcW w:w="1594" w:type="dxa"/>
          </w:tcPr>
          <w:p w:rsidR="0048096D" w:rsidRDefault="00726D21" w:rsidP="006006B7">
            <w:r>
              <w:t>54.65%</w:t>
            </w:r>
          </w:p>
        </w:tc>
        <w:tc>
          <w:tcPr>
            <w:tcW w:w="1666" w:type="dxa"/>
          </w:tcPr>
          <w:p w:rsidR="0048096D" w:rsidRDefault="00726D21" w:rsidP="006006B7">
            <w:r>
              <w:t>28.42%</w:t>
            </w:r>
          </w:p>
        </w:tc>
        <w:tc>
          <w:tcPr>
            <w:tcW w:w="1559" w:type="dxa"/>
          </w:tcPr>
          <w:p w:rsidR="0048096D" w:rsidRDefault="00726D21" w:rsidP="006006B7">
            <w:r>
              <w:t>10.52%</w:t>
            </w:r>
          </w:p>
        </w:tc>
      </w:tr>
      <w:tr w:rsidR="00C10A4E" w:rsidTr="00C10A4E">
        <w:tc>
          <w:tcPr>
            <w:tcW w:w="0" w:type="auto"/>
          </w:tcPr>
          <w:p w:rsidR="008A6968" w:rsidRDefault="008A6968" w:rsidP="006006B7">
            <w:r>
              <w:t>Net income</w:t>
            </w:r>
          </w:p>
        </w:tc>
        <w:tc>
          <w:tcPr>
            <w:tcW w:w="1642" w:type="dxa"/>
          </w:tcPr>
          <w:p w:rsidR="008A6968" w:rsidRDefault="003422F3" w:rsidP="006006B7">
            <w:r>
              <w:t>13</w:t>
            </w:r>
            <w:r w:rsidR="008A6968">
              <w:t>%</w:t>
            </w:r>
          </w:p>
        </w:tc>
        <w:tc>
          <w:tcPr>
            <w:tcW w:w="1594" w:type="dxa"/>
          </w:tcPr>
          <w:p w:rsidR="008A6968" w:rsidRDefault="00C10A4E" w:rsidP="006006B7">
            <w:r>
              <w:t>11.15%</w:t>
            </w:r>
          </w:p>
        </w:tc>
        <w:tc>
          <w:tcPr>
            <w:tcW w:w="1666" w:type="dxa"/>
          </w:tcPr>
          <w:p w:rsidR="008A6968" w:rsidRDefault="00C10A4E" w:rsidP="006006B7">
            <w:r>
              <w:t>16.22%</w:t>
            </w:r>
          </w:p>
        </w:tc>
        <w:tc>
          <w:tcPr>
            <w:tcW w:w="1559" w:type="dxa"/>
          </w:tcPr>
          <w:p w:rsidR="008A6968" w:rsidRDefault="003422F3" w:rsidP="006006B7">
            <w:r>
              <w:t>3.3</w:t>
            </w:r>
            <w:r w:rsidR="008A6968">
              <w:t>%</w:t>
            </w:r>
          </w:p>
        </w:tc>
      </w:tr>
      <w:tr w:rsidR="0048096D" w:rsidTr="00C10A4E">
        <w:tc>
          <w:tcPr>
            <w:tcW w:w="0" w:type="auto"/>
          </w:tcPr>
          <w:p w:rsidR="0048096D" w:rsidRDefault="0048096D" w:rsidP="006006B7">
            <w:r>
              <w:t>System-wide occupancy</w:t>
            </w:r>
          </w:p>
        </w:tc>
        <w:tc>
          <w:tcPr>
            <w:tcW w:w="1642" w:type="dxa"/>
          </w:tcPr>
          <w:p w:rsidR="0048096D" w:rsidRDefault="008E36CC" w:rsidP="006006B7">
            <w:r>
              <w:t>69.2%</w:t>
            </w:r>
          </w:p>
        </w:tc>
        <w:tc>
          <w:tcPr>
            <w:tcW w:w="1594" w:type="dxa"/>
          </w:tcPr>
          <w:p w:rsidR="0048096D" w:rsidRDefault="0048096D" w:rsidP="006006B7">
            <w:r>
              <w:t>71.8%</w:t>
            </w:r>
          </w:p>
        </w:tc>
        <w:tc>
          <w:tcPr>
            <w:tcW w:w="1666" w:type="dxa"/>
          </w:tcPr>
          <w:p w:rsidR="0048096D" w:rsidRDefault="00D81686" w:rsidP="006006B7">
            <w:r>
              <w:t>67.6%</w:t>
            </w:r>
          </w:p>
        </w:tc>
        <w:tc>
          <w:tcPr>
            <w:tcW w:w="1559" w:type="dxa"/>
          </w:tcPr>
          <w:p w:rsidR="0048096D" w:rsidRDefault="00D81686" w:rsidP="006006B7">
            <w:r>
              <w:t>69</w:t>
            </w:r>
            <w:r w:rsidR="005269AA">
              <w:t>%</w:t>
            </w:r>
          </w:p>
        </w:tc>
      </w:tr>
      <w:tr w:rsidR="0048096D" w:rsidTr="00C10A4E">
        <w:tc>
          <w:tcPr>
            <w:tcW w:w="0" w:type="auto"/>
          </w:tcPr>
          <w:p w:rsidR="0048096D" w:rsidRDefault="0048096D" w:rsidP="006006B7">
            <w:r>
              <w:t>System-wide ADR ($)</w:t>
            </w:r>
          </w:p>
        </w:tc>
        <w:tc>
          <w:tcPr>
            <w:tcW w:w="1642" w:type="dxa"/>
          </w:tcPr>
          <w:p w:rsidR="0048096D" w:rsidRDefault="008E36CC" w:rsidP="006006B7">
            <w:r>
              <w:t>180.24</w:t>
            </w:r>
          </w:p>
        </w:tc>
        <w:tc>
          <w:tcPr>
            <w:tcW w:w="1594" w:type="dxa"/>
          </w:tcPr>
          <w:p w:rsidR="0048096D" w:rsidRDefault="0048096D" w:rsidP="006006B7">
            <w:r>
              <w:t>158.62</w:t>
            </w:r>
          </w:p>
        </w:tc>
        <w:tc>
          <w:tcPr>
            <w:tcW w:w="1666" w:type="dxa"/>
          </w:tcPr>
          <w:p w:rsidR="0048096D" w:rsidRDefault="00D81686" w:rsidP="006006B7">
            <w:r>
              <w:t>126.78</w:t>
            </w:r>
          </w:p>
        </w:tc>
        <w:tc>
          <w:tcPr>
            <w:tcW w:w="1559" w:type="dxa"/>
          </w:tcPr>
          <w:p w:rsidR="0048096D" w:rsidRDefault="005269AA" w:rsidP="006006B7">
            <w:r>
              <w:t>204.07</w:t>
            </w:r>
          </w:p>
        </w:tc>
      </w:tr>
      <w:tr w:rsidR="0048096D" w:rsidTr="00C10A4E">
        <w:tc>
          <w:tcPr>
            <w:tcW w:w="0" w:type="auto"/>
          </w:tcPr>
          <w:p w:rsidR="0048096D" w:rsidRDefault="0048096D" w:rsidP="006006B7">
            <w:r>
              <w:t>System-wide RevPAR ($)</w:t>
            </w:r>
          </w:p>
        </w:tc>
        <w:tc>
          <w:tcPr>
            <w:tcW w:w="1642" w:type="dxa"/>
          </w:tcPr>
          <w:p w:rsidR="0048096D" w:rsidRDefault="008E36CC" w:rsidP="006006B7">
            <w:r>
              <w:t>124.70</w:t>
            </w:r>
          </w:p>
        </w:tc>
        <w:tc>
          <w:tcPr>
            <w:tcW w:w="1594" w:type="dxa"/>
          </w:tcPr>
          <w:p w:rsidR="0048096D" w:rsidRDefault="0048096D" w:rsidP="006006B7">
            <w:r>
              <w:t>113.90</w:t>
            </w:r>
          </w:p>
        </w:tc>
        <w:tc>
          <w:tcPr>
            <w:tcW w:w="1666" w:type="dxa"/>
          </w:tcPr>
          <w:p w:rsidR="0048096D" w:rsidRDefault="00D81686" w:rsidP="006006B7">
            <w:r>
              <w:t>85.68</w:t>
            </w:r>
          </w:p>
        </w:tc>
        <w:tc>
          <w:tcPr>
            <w:tcW w:w="1559" w:type="dxa"/>
          </w:tcPr>
          <w:p w:rsidR="0048096D" w:rsidRDefault="00637833" w:rsidP="006006B7">
            <w:r>
              <w:t>141</w:t>
            </w:r>
          </w:p>
        </w:tc>
      </w:tr>
    </w:tbl>
    <w:p w:rsidR="006F74C2" w:rsidRDefault="006F74C2" w:rsidP="006006B7">
      <w:pPr>
        <w:spacing w:after="0"/>
      </w:pPr>
    </w:p>
    <w:p w:rsidR="003422F3" w:rsidRDefault="003422F3" w:rsidP="006006B7">
      <w:pPr>
        <w:spacing w:after="0"/>
      </w:pPr>
      <w:r>
        <w:rPr>
          <w:noProof/>
        </w:rPr>
        <w:drawing>
          <wp:inline distT="0" distB="0" distL="0" distR="0">
            <wp:extent cx="5724525" cy="32004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22F3" w:rsidRDefault="003422F3" w:rsidP="006006B7">
      <w:pPr>
        <w:spacing w:after="0"/>
      </w:pPr>
    </w:p>
    <w:p w:rsidR="003422F3" w:rsidRDefault="003422F3" w:rsidP="003422F3">
      <w:pPr>
        <w:pStyle w:val="ListParagraph"/>
        <w:numPr>
          <w:ilvl w:val="0"/>
          <w:numId w:val="1"/>
        </w:numPr>
        <w:spacing w:after="0"/>
      </w:pPr>
      <w:r>
        <w:t>Revenue growth follows a similar pattern across the group</w:t>
      </w:r>
      <w:r w:rsidR="000F1F91">
        <w:t>.</w:t>
      </w:r>
    </w:p>
    <w:p w:rsidR="003422F3" w:rsidRDefault="003422F3" w:rsidP="003422F3">
      <w:pPr>
        <w:pStyle w:val="ListParagraph"/>
        <w:numPr>
          <w:ilvl w:val="0"/>
          <w:numId w:val="1"/>
        </w:numPr>
        <w:spacing w:after="0"/>
      </w:pPr>
      <w:r>
        <w:t>Gross margin figures are somewhat higher</w:t>
      </w:r>
      <w:r w:rsidR="00EA2711">
        <w:t xml:space="preserve"> for</w:t>
      </w:r>
      <w:r>
        <w:t xml:space="preserve"> Hilton and IC pote</w:t>
      </w:r>
      <w:r w:rsidR="00EA2711">
        <w:t>ntially indicating higher efficiency</w:t>
      </w:r>
      <w:r>
        <w:t xml:space="preserve"> on COGS</w:t>
      </w:r>
      <w:r w:rsidR="000F1F91">
        <w:t xml:space="preserve"> and direct labour costs.</w:t>
      </w:r>
    </w:p>
    <w:p w:rsidR="000F1F91" w:rsidRDefault="000F1F91" w:rsidP="003422F3">
      <w:pPr>
        <w:pStyle w:val="ListParagraph"/>
        <w:numPr>
          <w:ilvl w:val="0"/>
          <w:numId w:val="1"/>
        </w:numPr>
        <w:spacing w:after="0"/>
      </w:pPr>
      <w:r>
        <w:t xml:space="preserve">One of the most widely followed and quoted profitability ratios in the industry, EBITDA margin </w:t>
      </w:r>
      <w:r w:rsidR="00EA2711">
        <w:t>is way ahead of the group for Marriott, followed by Hilton with the other two at distinctively lower figures. It indicates significantly higher asset depreciation and amortization for Marriott and Hilton (asset rich).</w:t>
      </w:r>
    </w:p>
    <w:p w:rsidR="00EA2711" w:rsidRDefault="00EA2711" w:rsidP="003422F3">
      <w:pPr>
        <w:pStyle w:val="ListParagraph"/>
        <w:numPr>
          <w:ilvl w:val="0"/>
          <w:numId w:val="1"/>
        </w:numPr>
        <w:spacing w:after="0"/>
      </w:pPr>
      <w:r>
        <w:t xml:space="preserve">Net margin is again similar across the group, Hyatt is the only one lagging behind. </w:t>
      </w:r>
    </w:p>
    <w:p w:rsidR="00EA2711" w:rsidRDefault="00E51A38" w:rsidP="003422F3">
      <w:pPr>
        <w:pStyle w:val="ListParagraph"/>
        <w:numPr>
          <w:ilvl w:val="0"/>
          <w:numId w:val="1"/>
        </w:numPr>
        <w:spacing w:after="0"/>
      </w:pPr>
      <w:r>
        <w:t>Marriott and Hilton seem</w:t>
      </w:r>
      <w:r w:rsidR="00EA2711">
        <w:t xml:space="preserve"> to be asset </w:t>
      </w:r>
      <w:r>
        <w:t>rich businesses however Intercontinental manages higher return on less assets and exhibit the best revenue growth and profitability ratios within the group.</w:t>
      </w:r>
    </w:p>
    <w:p w:rsidR="00E31C98" w:rsidRDefault="00E31C98" w:rsidP="00E31C98">
      <w:pPr>
        <w:spacing w:after="0"/>
      </w:pPr>
    </w:p>
    <w:p w:rsidR="00E31C98" w:rsidRDefault="00E31C98" w:rsidP="00E31C98">
      <w:pPr>
        <w:spacing w:after="0"/>
      </w:pPr>
      <w:r>
        <w:rPr>
          <w:noProof/>
        </w:rPr>
        <w:lastRenderedPageBreak/>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E31C98" w:rsidRDefault="00E31C98" w:rsidP="00E31C98">
      <w:pPr>
        <w:spacing w:after="0"/>
      </w:pPr>
    </w:p>
    <w:p w:rsidR="00E31C98" w:rsidRDefault="00E31C98" w:rsidP="00E31C98">
      <w:pPr>
        <w:pStyle w:val="ListParagraph"/>
        <w:numPr>
          <w:ilvl w:val="0"/>
          <w:numId w:val="1"/>
        </w:numPr>
        <w:spacing w:after="0"/>
      </w:pPr>
      <w:r>
        <w:t>Hyatt is achieving the highest income per available rooms followed by Marriott and Hilton. IC is lagging in this regard within the group.</w:t>
      </w:r>
    </w:p>
    <w:p w:rsidR="00E31C98" w:rsidRDefault="00E31C98" w:rsidP="00E31C98">
      <w:pPr>
        <w:pStyle w:val="ListParagraph"/>
        <w:numPr>
          <w:ilvl w:val="0"/>
          <w:numId w:val="1"/>
        </w:numPr>
        <w:spacing w:after="0"/>
      </w:pPr>
      <w:r>
        <w:t>Average daily rate exhibits the same pattern as RevPAR.</w:t>
      </w:r>
    </w:p>
    <w:p w:rsidR="009E6667" w:rsidRDefault="009E6667" w:rsidP="00E31C98">
      <w:pPr>
        <w:pStyle w:val="ListParagraph"/>
        <w:numPr>
          <w:ilvl w:val="0"/>
          <w:numId w:val="1"/>
        </w:numPr>
        <w:spacing w:after="0"/>
      </w:pPr>
      <w:r>
        <w:t>Occupancy rates seem scattered by looking at the chart however the percentage differences are small and can be said that it is very similar across the group.</w:t>
      </w:r>
    </w:p>
    <w:p w:rsidR="009E6667" w:rsidRDefault="009E6667" w:rsidP="009E6667">
      <w:pPr>
        <w:pStyle w:val="ListParagraph"/>
        <w:numPr>
          <w:ilvl w:val="0"/>
          <w:numId w:val="1"/>
        </w:numPr>
        <w:spacing w:after="0"/>
      </w:pPr>
      <w:r>
        <w:t>What is interesting to see is that IC exhibit better profitability ratios with lower KPI figures than the rest of the group. It can mean that if the income side is weaker – although revenue increased most for IC – the expenditure side must be well controlled to achieve better profitability against the peers.</w:t>
      </w:r>
    </w:p>
    <w:sectPr w:rsidR="009E6667" w:rsidSect="00BF4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4DA5"/>
    <w:multiLevelType w:val="hybridMultilevel"/>
    <w:tmpl w:val="29D053F8"/>
    <w:lvl w:ilvl="0" w:tplc="3A94D35C">
      <w:start w:val="299"/>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5F5853"/>
    <w:multiLevelType w:val="hybridMultilevel"/>
    <w:tmpl w:val="43CC4F64"/>
    <w:lvl w:ilvl="0" w:tplc="7F42982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BE"/>
    <w:rsid w:val="0000356A"/>
    <w:rsid w:val="00041C0F"/>
    <w:rsid w:val="000C0E9D"/>
    <w:rsid w:val="000F1F91"/>
    <w:rsid w:val="00121A4D"/>
    <w:rsid w:val="00173C94"/>
    <w:rsid w:val="00195B6F"/>
    <w:rsid w:val="0026540F"/>
    <w:rsid w:val="00265B61"/>
    <w:rsid w:val="00271A3F"/>
    <w:rsid w:val="00287257"/>
    <w:rsid w:val="0033474D"/>
    <w:rsid w:val="003422B1"/>
    <w:rsid w:val="003422F3"/>
    <w:rsid w:val="00371673"/>
    <w:rsid w:val="00395F62"/>
    <w:rsid w:val="003B11BE"/>
    <w:rsid w:val="003C303B"/>
    <w:rsid w:val="003F0233"/>
    <w:rsid w:val="00434D58"/>
    <w:rsid w:val="00455271"/>
    <w:rsid w:val="00464D55"/>
    <w:rsid w:val="0048096D"/>
    <w:rsid w:val="004C7DDA"/>
    <w:rsid w:val="005269AA"/>
    <w:rsid w:val="00545C4F"/>
    <w:rsid w:val="00557562"/>
    <w:rsid w:val="0058314E"/>
    <w:rsid w:val="00600656"/>
    <w:rsid w:val="006006B7"/>
    <w:rsid w:val="00637833"/>
    <w:rsid w:val="0069615A"/>
    <w:rsid w:val="006A142B"/>
    <w:rsid w:val="006F74C2"/>
    <w:rsid w:val="00726D21"/>
    <w:rsid w:val="007309AB"/>
    <w:rsid w:val="007622F4"/>
    <w:rsid w:val="00776B77"/>
    <w:rsid w:val="00797835"/>
    <w:rsid w:val="007B1A40"/>
    <w:rsid w:val="00807894"/>
    <w:rsid w:val="00854186"/>
    <w:rsid w:val="008A1E25"/>
    <w:rsid w:val="008A6968"/>
    <w:rsid w:val="008C6CD8"/>
    <w:rsid w:val="008E36CC"/>
    <w:rsid w:val="008F39D8"/>
    <w:rsid w:val="00900DFC"/>
    <w:rsid w:val="00955B93"/>
    <w:rsid w:val="009E1914"/>
    <w:rsid w:val="009E6667"/>
    <w:rsid w:val="00A3730A"/>
    <w:rsid w:val="00A40362"/>
    <w:rsid w:val="00AA75D5"/>
    <w:rsid w:val="00B0185A"/>
    <w:rsid w:val="00B27EBB"/>
    <w:rsid w:val="00BE45CC"/>
    <w:rsid w:val="00BF4ED1"/>
    <w:rsid w:val="00C10A4E"/>
    <w:rsid w:val="00C1101E"/>
    <w:rsid w:val="00C2785D"/>
    <w:rsid w:val="00C61494"/>
    <w:rsid w:val="00C71C3C"/>
    <w:rsid w:val="00CE1A5B"/>
    <w:rsid w:val="00CF5BBC"/>
    <w:rsid w:val="00CF7ED1"/>
    <w:rsid w:val="00D81686"/>
    <w:rsid w:val="00D841BF"/>
    <w:rsid w:val="00E03643"/>
    <w:rsid w:val="00E31C98"/>
    <w:rsid w:val="00E51A38"/>
    <w:rsid w:val="00EA2711"/>
    <w:rsid w:val="00F16948"/>
    <w:rsid w:val="00F270EB"/>
    <w:rsid w:val="00FF14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C72B"/>
  <w15:chartTrackingRefBased/>
  <w15:docId w15:val="{1F6A7831-F85F-486E-8CB9-E51AF2F3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Sheet1!$A$1:$F$1</cx:f>
        <cx:lvl ptCount="6">
          <cx:pt idx="0">Revenue 2022</cx:pt>
          <cx:pt idx="1">Price</cx:pt>
          <cx:pt idx="2">Units</cx:pt>
          <cx:pt idx="3">Occupancy</cx:pt>
          <cx:pt idx="4">Mix</cx:pt>
          <cx:pt idx="5">Revenue 2023</cx:pt>
        </cx:lvl>
      </cx:strDim>
      <cx:numDim type="val">
        <cx:f dir="row">Sheet1!$A$2:$F$2</cx:f>
        <cx:lvl ptCount="6" formatCode="#,##0">
          <cx:pt idx="0">19239</cx:pt>
          <cx:pt idx="1">2005</cx:pt>
          <cx:pt idx="2">310</cx:pt>
          <cx:pt idx="3">981</cx:pt>
          <cx:pt idx="4">-299</cx:pt>
          <cx:pt idx="5">22151</cx:pt>
        </cx:lvl>
      </cx:numDim>
    </cx:data>
  </cx:chartData>
  <cx:chart>
    <cx:title pos="t" align="ctr" overlay="0">
      <cx:tx>
        <cx:rich>
          <a:bodyPr spcFirstLastPara="1" vertOverflow="ellipsis" wrap="square" lIns="0" tIns="0" rIns="0" bIns="0" anchor="ctr" anchorCtr="1"/>
          <a:lstStyle/>
          <a:p>
            <a:pPr algn="ctr">
              <a:defRPr/>
            </a:pPr>
            <a:r>
              <a:rPr lang="en-US"/>
              <a:t>Marriott Inc., PVM analysis</a:t>
            </a:r>
          </a:p>
        </cx:rich>
      </cx:tx>
    </cx:title>
    <cx:plotArea>
      <cx:plotAreaRegion>
        <cx:series layoutId="waterfall" uniqueId="{7009198D-68D3-442B-8C96-5504E1567606}">
          <cx:dataLabels pos="outEnd">
            <cx:visibility seriesName="0" categoryName="0" value="1"/>
          </cx:dataLabels>
          <cx:dataId val="0"/>
          <cx:layoutPr>
            <cx:subtotals>
              <cx:idx val="5"/>
            </cx:subtotals>
          </cx:layoutPr>
        </cx:series>
      </cx:plotAreaRegion>
      <cx:axis id="0">
        <cx:catScaling gapWidth="0.5"/>
        <cx:tickLabels/>
      </cx:axis>
      <cx:axis id="1">
        <cx:valScaling/>
        <cx:title>
          <cx:tx>
            <cx:rich>
              <a:bodyPr spcFirstLastPara="1" vertOverflow="ellipsis" wrap="square" lIns="0" tIns="0" rIns="0" bIns="0" anchor="ctr" anchorCtr="1"/>
              <a:lstStyle/>
              <a:p>
                <a:pPr algn="ctr">
                  <a:defRPr/>
                </a:pPr>
                <a:r>
                  <a:rPr lang="en-US"/>
                  <a:t>$million</a:t>
                </a:r>
              </a:p>
            </cx:rich>
          </cx:tx>
        </cx:title>
        <cx:majorGridlines/>
        <cx:tickLabels/>
      </cx:axis>
    </cx:plotArea>
    <cx:legend pos="t" align="ctr" overlay="0"/>
  </cx:chart>
  <cx:clrMapOvr bg1="lt1" tx1="dk1" bg2="lt2" tx2="dk2" accent1="accent1" accent2="accent2" accent3="accent3" accent4="accent4" accent5="accent5" accent6="accent6" hlink="hlink" folHlink="folHlink"/>
</cx: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Peer Group Profitability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Revenue growth</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Sheet1!$A$2:$A$5</c:f>
              <c:strCache>
                <c:ptCount val="4"/>
                <c:pt idx="0">
                  <c:v>Marriott</c:v>
                </c:pt>
                <c:pt idx="1">
                  <c:v>Hilton</c:v>
                </c:pt>
                <c:pt idx="2">
                  <c:v>InterContinental</c:v>
                </c:pt>
                <c:pt idx="3">
                  <c:v>Hyatt</c:v>
                </c:pt>
              </c:strCache>
            </c:strRef>
          </c:cat>
          <c:val>
            <c:numRef>
              <c:f>Sheet1!$B$2:$B$5</c:f>
              <c:numCache>
                <c:formatCode>0.00%</c:formatCode>
                <c:ptCount val="4"/>
                <c:pt idx="0">
                  <c:v>0.1416</c:v>
                </c:pt>
                <c:pt idx="1">
                  <c:v>0.16669999999999999</c:v>
                </c:pt>
                <c:pt idx="2">
                  <c:v>0.18809999999999999</c:v>
                </c:pt>
                <c:pt idx="3">
                  <c:v>0.13170000000000001</c:v>
                </c:pt>
              </c:numCache>
            </c:numRef>
          </c:val>
          <c:extLst>
            <c:ext xmlns:c16="http://schemas.microsoft.com/office/drawing/2014/chart" uri="{C3380CC4-5D6E-409C-BE32-E72D297353CC}">
              <c16:uniqueId val="{00000000-4926-4DA4-8AD6-DADDA2B7BFAE}"/>
            </c:ext>
          </c:extLst>
        </c:ser>
        <c:ser>
          <c:idx val="1"/>
          <c:order val="1"/>
          <c:tx>
            <c:strRef>
              <c:f>Sheet1!$C$1</c:f>
              <c:strCache>
                <c:ptCount val="1"/>
                <c:pt idx="0">
                  <c:v>Gross margin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Sheet1!$A$2:$A$5</c:f>
              <c:strCache>
                <c:ptCount val="4"/>
                <c:pt idx="0">
                  <c:v>Marriott</c:v>
                </c:pt>
                <c:pt idx="1">
                  <c:v>Hilton</c:v>
                </c:pt>
                <c:pt idx="2">
                  <c:v>InterContinental</c:v>
                </c:pt>
                <c:pt idx="3">
                  <c:v>Hyatt</c:v>
                </c:pt>
              </c:strCache>
            </c:strRef>
          </c:cat>
          <c:val>
            <c:numRef>
              <c:f>Sheet1!$C$2:$C$5</c:f>
              <c:numCache>
                <c:formatCode>0.00%</c:formatCode>
                <c:ptCount val="4"/>
                <c:pt idx="0">
                  <c:v>0.21609999999999999</c:v>
                </c:pt>
                <c:pt idx="1">
                  <c:v>0.2863</c:v>
                </c:pt>
                <c:pt idx="2">
                  <c:v>0.30669999999999997</c:v>
                </c:pt>
                <c:pt idx="3">
                  <c:v>0.19750000000000001</c:v>
                </c:pt>
              </c:numCache>
            </c:numRef>
          </c:val>
          <c:extLst>
            <c:ext xmlns:c16="http://schemas.microsoft.com/office/drawing/2014/chart" uri="{C3380CC4-5D6E-409C-BE32-E72D297353CC}">
              <c16:uniqueId val="{00000001-4926-4DA4-8AD6-DADDA2B7BFAE}"/>
            </c:ext>
          </c:extLst>
        </c:ser>
        <c:ser>
          <c:idx val="2"/>
          <c:order val="2"/>
          <c:tx>
            <c:strRef>
              <c:f>Sheet1!$D$1</c:f>
              <c:strCache>
                <c:ptCount val="1"/>
                <c:pt idx="0">
                  <c:v>EBITDA margin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Sheet1!$A$2:$A$5</c:f>
              <c:strCache>
                <c:ptCount val="4"/>
                <c:pt idx="0">
                  <c:v>Marriott</c:v>
                </c:pt>
                <c:pt idx="1">
                  <c:v>Hilton</c:v>
                </c:pt>
                <c:pt idx="2">
                  <c:v>InterContinental</c:v>
                </c:pt>
                <c:pt idx="3">
                  <c:v>Hyatt</c:v>
                </c:pt>
              </c:strCache>
            </c:strRef>
          </c:cat>
          <c:val>
            <c:numRef>
              <c:f>Sheet1!$D$2:$D$5</c:f>
              <c:numCache>
                <c:formatCode>0.00%</c:formatCode>
                <c:ptCount val="4"/>
                <c:pt idx="0">
                  <c:v>0.67779999999999996</c:v>
                </c:pt>
                <c:pt idx="1">
                  <c:v>0.54649999999999999</c:v>
                </c:pt>
                <c:pt idx="2">
                  <c:v>0.28420000000000001</c:v>
                </c:pt>
                <c:pt idx="3">
                  <c:v>0.1052</c:v>
                </c:pt>
              </c:numCache>
            </c:numRef>
          </c:val>
          <c:extLst>
            <c:ext xmlns:c16="http://schemas.microsoft.com/office/drawing/2014/chart" uri="{C3380CC4-5D6E-409C-BE32-E72D297353CC}">
              <c16:uniqueId val="{00000002-4926-4DA4-8AD6-DADDA2B7BFAE}"/>
            </c:ext>
          </c:extLst>
        </c:ser>
        <c:ser>
          <c:idx val="3"/>
          <c:order val="3"/>
          <c:tx>
            <c:strRef>
              <c:f>Sheet1!$E$1</c:f>
              <c:strCache>
                <c:ptCount val="1"/>
                <c:pt idx="0">
                  <c:v>Net margin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Sheet1!$A$2:$A$5</c:f>
              <c:strCache>
                <c:ptCount val="4"/>
                <c:pt idx="0">
                  <c:v>Marriott</c:v>
                </c:pt>
                <c:pt idx="1">
                  <c:v>Hilton</c:v>
                </c:pt>
                <c:pt idx="2">
                  <c:v>InterContinental</c:v>
                </c:pt>
                <c:pt idx="3">
                  <c:v>Hyatt</c:v>
                </c:pt>
              </c:strCache>
            </c:strRef>
          </c:cat>
          <c:val>
            <c:numRef>
              <c:f>Sheet1!$E$2:$E$5</c:f>
              <c:numCache>
                <c:formatCode>0.00%</c:formatCode>
                <c:ptCount val="4"/>
                <c:pt idx="0" formatCode="0%">
                  <c:v>0.13</c:v>
                </c:pt>
                <c:pt idx="1">
                  <c:v>0.1115</c:v>
                </c:pt>
                <c:pt idx="2">
                  <c:v>0.16220000000000001</c:v>
                </c:pt>
                <c:pt idx="3">
                  <c:v>3.3000000000000002E-2</c:v>
                </c:pt>
              </c:numCache>
            </c:numRef>
          </c:val>
          <c:extLst>
            <c:ext xmlns:c16="http://schemas.microsoft.com/office/drawing/2014/chart" uri="{C3380CC4-5D6E-409C-BE32-E72D297353CC}">
              <c16:uniqueId val="{00000003-4926-4DA4-8AD6-DADDA2B7BFAE}"/>
            </c:ext>
          </c:extLst>
        </c:ser>
        <c:dLbls>
          <c:showLegendKey val="0"/>
          <c:showVal val="0"/>
          <c:showCatName val="0"/>
          <c:showSerName val="0"/>
          <c:showPercent val="0"/>
          <c:showBubbleSize val="0"/>
        </c:dLbls>
        <c:gapWidth val="100"/>
        <c:overlap val="-24"/>
        <c:axId val="1111050096"/>
        <c:axId val="1111050512"/>
      </c:barChart>
      <c:catAx>
        <c:axId val="11110500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11050512"/>
        <c:crosses val="autoZero"/>
        <c:auto val="1"/>
        <c:lblAlgn val="ctr"/>
        <c:lblOffset val="100"/>
        <c:noMultiLvlLbl val="0"/>
      </c:catAx>
      <c:valAx>
        <c:axId val="111105051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1105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Peer Group KPIs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RevPAR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Sheet1!$A$2:$A$5</c:f>
              <c:strCache>
                <c:ptCount val="4"/>
                <c:pt idx="0">
                  <c:v>Marriott</c:v>
                </c:pt>
                <c:pt idx="1">
                  <c:v>Hilton</c:v>
                </c:pt>
                <c:pt idx="2">
                  <c:v>InterContinental</c:v>
                </c:pt>
                <c:pt idx="3">
                  <c:v>Hyatt</c:v>
                </c:pt>
              </c:strCache>
            </c:strRef>
          </c:cat>
          <c:val>
            <c:numRef>
              <c:f>Sheet1!$B$2:$B$5</c:f>
              <c:numCache>
                <c:formatCode>General</c:formatCode>
                <c:ptCount val="4"/>
                <c:pt idx="0">
                  <c:v>124.7</c:v>
                </c:pt>
                <c:pt idx="1">
                  <c:v>113.9</c:v>
                </c:pt>
                <c:pt idx="2">
                  <c:v>85.68</c:v>
                </c:pt>
                <c:pt idx="3">
                  <c:v>141</c:v>
                </c:pt>
              </c:numCache>
            </c:numRef>
          </c:val>
          <c:extLst>
            <c:ext xmlns:c16="http://schemas.microsoft.com/office/drawing/2014/chart" uri="{C3380CC4-5D6E-409C-BE32-E72D297353CC}">
              <c16:uniqueId val="{00000000-1F0E-42D6-BB56-E0A804045AE1}"/>
            </c:ext>
          </c:extLst>
        </c:ser>
        <c:ser>
          <c:idx val="1"/>
          <c:order val="1"/>
          <c:tx>
            <c:strRef>
              <c:f>Sheet1!$C$1</c:f>
              <c:strCache>
                <c:ptCount val="1"/>
                <c:pt idx="0">
                  <c:v>ADR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Sheet1!$A$2:$A$5</c:f>
              <c:strCache>
                <c:ptCount val="4"/>
                <c:pt idx="0">
                  <c:v>Marriott</c:v>
                </c:pt>
                <c:pt idx="1">
                  <c:v>Hilton</c:v>
                </c:pt>
                <c:pt idx="2">
                  <c:v>InterContinental</c:v>
                </c:pt>
                <c:pt idx="3">
                  <c:v>Hyatt</c:v>
                </c:pt>
              </c:strCache>
            </c:strRef>
          </c:cat>
          <c:val>
            <c:numRef>
              <c:f>Sheet1!$C$2:$C$5</c:f>
              <c:numCache>
                <c:formatCode>General</c:formatCode>
                <c:ptCount val="4"/>
                <c:pt idx="0">
                  <c:v>180.24</c:v>
                </c:pt>
                <c:pt idx="1">
                  <c:v>158.62</c:v>
                </c:pt>
                <c:pt idx="2">
                  <c:v>126.78</c:v>
                </c:pt>
                <c:pt idx="3">
                  <c:v>204.07</c:v>
                </c:pt>
              </c:numCache>
            </c:numRef>
          </c:val>
          <c:extLst>
            <c:ext xmlns:c16="http://schemas.microsoft.com/office/drawing/2014/chart" uri="{C3380CC4-5D6E-409C-BE32-E72D297353CC}">
              <c16:uniqueId val="{00000001-1F0E-42D6-BB56-E0A804045AE1}"/>
            </c:ext>
          </c:extLst>
        </c:ser>
        <c:dLbls>
          <c:showLegendKey val="0"/>
          <c:showVal val="0"/>
          <c:showCatName val="0"/>
          <c:showSerName val="0"/>
          <c:showPercent val="0"/>
          <c:showBubbleSize val="0"/>
        </c:dLbls>
        <c:gapWidth val="219"/>
        <c:overlap val="-27"/>
        <c:axId val="1103406000"/>
        <c:axId val="1103403504"/>
      </c:barChart>
      <c:lineChart>
        <c:grouping val="standard"/>
        <c:varyColors val="0"/>
        <c:ser>
          <c:idx val="2"/>
          <c:order val="2"/>
          <c:tx>
            <c:strRef>
              <c:f>Sheet1!$D$1</c:f>
              <c:strCache>
                <c:ptCount val="1"/>
                <c:pt idx="0">
                  <c:v>Occupancy</c:v>
                </c:pt>
              </c:strCache>
            </c:strRef>
          </c:tx>
          <c:spPr>
            <a:ln w="31750" cap="rnd">
              <a:solidFill>
                <a:schemeClr val="accent3"/>
              </a:solidFill>
              <a:round/>
            </a:ln>
            <a:effectLst/>
          </c:spPr>
          <c:marker>
            <c:symbol val="none"/>
          </c:marker>
          <c:cat>
            <c:strRef>
              <c:f>Sheet1!$A$2:$A$5</c:f>
              <c:strCache>
                <c:ptCount val="4"/>
                <c:pt idx="0">
                  <c:v>Marriott</c:v>
                </c:pt>
                <c:pt idx="1">
                  <c:v>Hilton</c:v>
                </c:pt>
                <c:pt idx="2">
                  <c:v>InterContinental</c:v>
                </c:pt>
                <c:pt idx="3">
                  <c:v>Hyatt</c:v>
                </c:pt>
              </c:strCache>
            </c:strRef>
          </c:cat>
          <c:val>
            <c:numRef>
              <c:f>Sheet1!$D$2:$D$5</c:f>
              <c:numCache>
                <c:formatCode>0.00%</c:formatCode>
                <c:ptCount val="4"/>
                <c:pt idx="0">
                  <c:v>0.69199999999999995</c:v>
                </c:pt>
                <c:pt idx="1">
                  <c:v>0.71799999999999997</c:v>
                </c:pt>
                <c:pt idx="2">
                  <c:v>0.67600000000000005</c:v>
                </c:pt>
                <c:pt idx="3" formatCode="0%">
                  <c:v>0.69</c:v>
                </c:pt>
              </c:numCache>
            </c:numRef>
          </c:val>
          <c:smooth val="0"/>
          <c:extLst>
            <c:ext xmlns:c16="http://schemas.microsoft.com/office/drawing/2014/chart" uri="{C3380CC4-5D6E-409C-BE32-E72D297353CC}">
              <c16:uniqueId val="{00000002-1F0E-42D6-BB56-E0A804045AE1}"/>
            </c:ext>
          </c:extLst>
        </c:ser>
        <c:dLbls>
          <c:showLegendKey val="0"/>
          <c:showVal val="0"/>
          <c:showCatName val="0"/>
          <c:showSerName val="0"/>
          <c:showPercent val="0"/>
          <c:showBubbleSize val="0"/>
        </c:dLbls>
        <c:marker val="1"/>
        <c:smooth val="0"/>
        <c:axId val="1192640800"/>
        <c:axId val="1192647040"/>
      </c:lineChart>
      <c:catAx>
        <c:axId val="1103406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03403504"/>
        <c:crosses val="autoZero"/>
        <c:auto val="1"/>
        <c:lblAlgn val="ctr"/>
        <c:lblOffset val="100"/>
        <c:noMultiLvlLbl val="0"/>
      </c:catAx>
      <c:valAx>
        <c:axId val="110340350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chemeClr val="tx2"/>
                    </a:solidFill>
                    <a:latin typeface="+mn-lt"/>
                    <a:ea typeface="+mn-ea"/>
                    <a:cs typeface="+mn-cs"/>
                  </a:defRPr>
                </a:pPr>
                <a:r>
                  <a:rPr lang="en-GB"/>
                  <a:t>$</a:t>
                </a:r>
              </a:p>
            </c:rich>
          </c:tx>
          <c:overlay val="0"/>
          <c:spPr>
            <a:noFill/>
            <a:ln>
              <a:noFill/>
            </a:ln>
            <a:effectLst/>
          </c:spPr>
          <c:txPr>
            <a:bodyPr rot="0" spcFirstLastPara="1" vertOverflow="ellipsis"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03406000"/>
        <c:crosses val="autoZero"/>
        <c:crossBetween val="between"/>
      </c:valAx>
      <c:valAx>
        <c:axId val="1192647040"/>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92640800"/>
        <c:crosses val="max"/>
        <c:crossBetween val="between"/>
      </c:valAx>
      <c:catAx>
        <c:axId val="1192640800"/>
        <c:scaling>
          <c:orientation val="minMax"/>
        </c:scaling>
        <c:delete val="1"/>
        <c:axPos val="b"/>
        <c:numFmt formatCode="General" sourceLinked="1"/>
        <c:majorTickMark val="none"/>
        <c:minorTickMark val="none"/>
        <c:tickLblPos val="nextTo"/>
        <c:crossAx val="11926470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bodyPr/>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bodyPr wrap="square" lIns="38100" tIns="19050" rIns="38100" bIns="19050" anchor="ctr">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a:solidFill>
          <a:schemeClr val="tx1">
            <a:lumMod val="15000"/>
            <a:lumOff val="85000"/>
            <a:lumOff val="10000"/>
          </a:schemeClr>
        </a:solidFill>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bodyPr/>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body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tx1">
        <a:lumMod val="65000"/>
        <a:lumOff val="35000"/>
      </a:schemeClr>
    </cs:fontRef>
    <cs:defRPr sz="900" kern="1200"/>
    <cs:bodyPr/>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40FAE-3EBD-4AA6-B05A-F3CF5EBD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5</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16</cp:revision>
  <dcterms:created xsi:type="dcterms:W3CDTF">2024-09-11T17:56:00Z</dcterms:created>
  <dcterms:modified xsi:type="dcterms:W3CDTF">2024-09-14T17:56:00Z</dcterms:modified>
</cp:coreProperties>
</file>