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3582" w14:textId="4F899B3C" w:rsidR="00F951D9" w:rsidRDefault="008905CD" w:rsidP="008905CD">
      <w:pPr>
        <w:pStyle w:val="Title"/>
        <w:jc w:val="center"/>
      </w:pPr>
      <w:r>
        <w:t>Apple</w:t>
      </w:r>
      <w:r w:rsidR="00286061">
        <w:t xml:space="preserve"> </w:t>
      </w:r>
      <w:r>
        <w:t>Report</w:t>
      </w:r>
    </w:p>
    <w:p w14:paraId="612B103B" w14:textId="1E5F876B" w:rsidR="00735564" w:rsidRDefault="008E7559" w:rsidP="00735564">
      <w:pPr>
        <w:rPr>
          <w:rFonts w:ascii="Times New Roman" w:hAnsi="Times New Roman" w:cs="Times New Roman"/>
        </w:rPr>
      </w:pPr>
      <w:r w:rsidRPr="00286061">
        <w:rPr>
          <w:rFonts w:ascii="Times New Roman" w:hAnsi="Times New Roman" w:cs="Times New Roman"/>
        </w:rPr>
        <w:t xml:space="preserve">(Notes: all increases/decreases in </w:t>
      </w:r>
      <w:r w:rsidR="0063387B">
        <w:rPr>
          <w:rFonts w:ascii="Times New Roman" w:hAnsi="Times New Roman" w:cs="Times New Roman"/>
        </w:rPr>
        <w:t xml:space="preserve">growth rates </w:t>
      </w:r>
      <w:r w:rsidRPr="00286061">
        <w:rPr>
          <w:rFonts w:ascii="Times New Roman" w:hAnsi="Times New Roman" w:cs="Times New Roman"/>
        </w:rPr>
        <w:t>will be stated as their respective CAGR rates unless stated otherwise.</w:t>
      </w:r>
      <w:r w:rsidR="000A671A" w:rsidRPr="00286061">
        <w:rPr>
          <w:rFonts w:ascii="Times New Roman" w:hAnsi="Times New Roman" w:cs="Times New Roman"/>
        </w:rPr>
        <w:t xml:space="preserve"> Large</w:t>
      </w:r>
      <w:r w:rsidR="00E16CFA">
        <w:rPr>
          <w:rFonts w:ascii="Times New Roman" w:hAnsi="Times New Roman" w:cs="Times New Roman"/>
        </w:rPr>
        <w:t xml:space="preserve"> or multi-decimal values</w:t>
      </w:r>
      <w:r w:rsidR="000A671A" w:rsidRPr="00286061">
        <w:rPr>
          <w:rFonts w:ascii="Times New Roman" w:hAnsi="Times New Roman" w:cs="Times New Roman"/>
        </w:rPr>
        <w:t xml:space="preserve"> will be rounded.</w:t>
      </w:r>
      <w:r w:rsidRPr="00286061">
        <w:rPr>
          <w:rFonts w:ascii="Times New Roman" w:hAnsi="Times New Roman" w:cs="Times New Roman"/>
        </w:rPr>
        <w:t>)</w:t>
      </w:r>
    </w:p>
    <w:p w14:paraId="73B4F338" w14:textId="77777777" w:rsidR="00286061" w:rsidRPr="00286061" w:rsidRDefault="00286061" w:rsidP="00735564">
      <w:pPr>
        <w:rPr>
          <w:rFonts w:ascii="Times New Roman" w:hAnsi="Times New Roman" w:cs="Times New Roman"/>
        </w:rPr>
      </w:pPr>
    </w:p>
    <w:p w14:paraId="306F0D51" w14:textId="69312674" w:rsidR="008905CD" w:rsidRPr="00735564" w:rsidRDefault="00735564" w:rsidP="008905CD">
      <w:pPr>
        <w:rPr>
          <w:rFonts w:ascii="Times New Roman" w:hAnsi="Times New Roman" w:cs="Times New Roman"/>
          <w:b/>
          <w:bCs/>
          <w:sz w:val="32"/>
          <w:szCs w:val="32"/>
        </w:rPr>
      </w:pPr>
      <w:r w:rsidRPr="00735564">
        <w:rPr>
          <w:rFonts w:ascii="Times New Roman" w:hAnsi="Times New Roman" w:cs="Times New Roman"/>
          <w:b/>
          <w:bCs/>
          <w:sz w:val="32"/>
          <w:szCs w:val="32"/>
        </w:rPr>
        <w:t>Liquidity Ratios:</w:t>
      </w:r>
    </w:p>
    <w:p w14:paraId="411BD657" w14:textId="64E3E332" w:rsidR="00735564" w:rsidRDefault="00735564" w:rsidP="00735564">
      <w:pPr>
        <w:rPr>
          <w:rFonts w:ascii="Times New Roman" w:hAnsi="Times New Roman" w:cs="Times New Roman"/>
          <w:b/>
          <w:bCs/>
        </w:rPr>
      </w:pPr>
      <w:r w:rsidRPr="00735564">
        <w:rPr>
          <w:rFonts w:ascii="Times New Roman" w:hAnsi="Times New Roman" w:cs="Times New Roman"/>
          <w:b/>
          <w:bCs/>
        </w:rPr>
        <w:t>Current, Quick, Cash Ratios</w:t>
      </w:r>
    </w:p>
    <w:p w14:paraId="5EC4254A" w14:textId="15C73E75" w:rsidR="00735564" w:rsidRDefault="008E7559" w:rsidP="0034054D">
      <w:pPr>
        <w:spacing w:line="360" w:lineRule="auto"/>
        <w:rPr>
          <w:rFonts w:ascii="Times New Roman" w:hAnsi="Times New Roman" w:cs="Times New Roman"/>
        </w:rPr>
      </w:pPr>
      <w:r w:rsidRPr="00735564">
        <w:rPr>
          <w:rFonts w:ascii="Times New Roman" w:hAnsi="Times New Roman" w:cs="Times New Roman"/>
          <w:b/>
          <w:bCs/>
          <w:noProof/>
          <w:sz w:val="32"/>
          <w:szCs w:val="32"/>
        </w:rPr>
        <w:drawing>
          <wp:anchor distT="0" distB="0" distL="114300" distR="114300" simplePos="0" relativeHeight="251658240" behindDoc="0" locked="0" layoutInCell="1" allowOverlap="1" wp14:anchorId="2F00BC86" wp14:editId="79A55792">
            <wp:simplePos x="0" y="0"/>
            <wp:positionH relativeFrom="column">
              <wp:posOffset>489585</wp:posOffset>
            </wp:positionH>
            <wp:positionV relativeFrom="paragraph">
              <wp:posOffset>1034959</wp:posOffset>
            </wp:positionV>
            <wp:extent cx="4584700" cy="2755900"/>
            <wp:effectExtent l="0" t="0" r="6350" b="6350"/>
            <wp:wrapTopAndBottom/>
            <wp:docPr id="7477360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anchor>
        </w:drawing>
      </w:r>
      <w:r w:rsidR="00735564">
        <w:rPr>
          <w:rFonts w:ascii="Times New Roman" w:hAnsi="Times New Roman" w:cs="Times New Roman"/>
        </w:rPr>
        <w:t xml:space="preserve">From 2020 to 2022, Apple’s current, quick, and cash ratios all show a downward trend. This is due to </w:t>
      </w:r>
      <w:r>
        <w:rPr>
          <w:rFonts w:ascii="Times New Roman" w:hAnsi="Times New Roman" w:cs="Times New Roman"/>
        </w:rPr>
        <w:t xml:space="preserve">a </w:t>
      </w:r>
      <w:r w:rsidR="00735564">
        <w:rPr>
          <w:rFonts w:ascii="Times New Roman" w:hAnsi="Times New Roman" w:cs="Times New Roman"/>
        </w:rPr>
        <w:t>large</w:t>
      </w:r>
      <w:r>
        <w:rPr>
          <w:rFonts w:ascii="Times New Roman" w:hAnsi="Times New Roman" w:cs="Times New Roman"/>
        </w:rPr>
        <w:t xml:space="preserve"> increase in Accounts Payable (14.87%) and Other Current Liabilities (12.54%)</w:t>
      </w:r>
      <w:r w:rsidR="000905C6">
        <w:rPr>
          <w:rFonts w:ascii="Times New Roman" w:hAnsi="Times New Roman" w:cs="Times New Roman"/>
        </w:rPr>
        <w:t xml:space="preserve">, </w:t>
      </w:r>
      <w:r>
        <w:rPr>
          <w:rFonts w:ascii="Times New Roman" w:hAnsi="Times New Roman" w:cs="Times New Roman"/>
        </w:rPr>
        <w:t>increasing Total Current Liabilities which is outpacing Total Current Assets, lowering the current ratio year-over-year.</w:t>
      </w:r>
    </w:p>
    <w:p w14:paraId="0257C6CD" w14:textId="41DA566A" w:rsidR="008E7559" w:rsidRDefault="008E7559" w:rsidP="0034054D">
      <w:pPr>
        <w:spacing w:line="360" w:lineRule="auto"/>
        <w:rPr>
          <w:rFonts w:ascii="Times New Roman" w:hAnsi="Times New Roman" w:cs="Times New Roman"/>
          <w:caps/>
        </w:rPr>
      </w:pPr>
    </w:p>
    <w:p w14:paraId="4A8BA0EA" w14:textId="2E601554" w:rsidR="008E7559" w:rsidRDefault="008E7559" w:rsidP="0034054D">
      <w:pPr>
        <w:spacing w:line="360" w:lineRule="auto"/>
        <w:rPr>
          <w:rFonts w:ascii="Times New Roman" w:hAnsi="Times New Roman" w:cs="Times New Roman"/>
        </w:rPr>
      </w:pPr>
      <w:r>
        <w:rPr>
          <w:rFonts w:ascii="Times New Roman" w:hAnsi="Times New Roman" w:cs="Times New Roman"/>
        </w:rPr>
        <w:t xml:space="preserve">The quick ratio mostly stays in line with the movement of the current ratio as inventory does not play a significant role in Total Current Assets. </w:t>
      </w:r>
      <w:r w:rsidR="000A671A">
        <w:rPr>
          <w:rFonts w:ascii="Times New Roman" w:hAnsi="Times New Roman" w:cs="Times New Roman"/>
        </w:rPr>
        <w:t xml:space="preserve">The cash ratio has been decreasing mostly because of a combination of increasingly larger share repurchases ($72.4 million in 2020, $86 million in 2021, $89.4 million in 2022), and </w:t>
      </w:r>
      <w:r w:rsidR="00585DA8">
        <w:rPr>
          <w:rFonts w:ascii="Times New Roman" w:hAnsi="Times New Roman" w:cs="Times New Roman"/>
        </w:rPr>
        <w:t xml:space="preserve">less income from maturing/selling marketable securities. While marketable security purchases have gone down ($114.9 million in 2020 to $76.9 million in 2022), </w:t>
      </w:r>
      <w:r w:rsidR="0034054D">
        <w:rPr>
          <w:rFonts w:ascii="Times New Roman" w:hAnsi="Times New Roman" w:cs="Times New Roman"/>
        </w:rPr>
        <w:t xml:space="preserve">the </w:t>
      </w:r>
      <w:r w:rsidR="00585DA8">
        <w:rPr>
          <w:rFonts w:ascii="Times New Roman" w:hAnsi="Times New Roman" w:cs="Times New Roman"/>
        </w:rPr>
        <w:t>income from maturing securities as well as the ability to sell them if need be</w:t>
      </w:r>
      <w:r w:rsidR="0034054D">
        <w:rPr>
          <w:rFonts w:ascii="Times New Roman" w:hAnsi="Times New Roman" w:cs="Times New Roman"/>
        </w:rPr>
        <w:t>,</w:t>
      </w:r>
      <w:r w:rsidR="00585DA8">
        <w:rPr>
          <w:rFonts w:ascii="Times New Roman" w:hAnsi="Times New Roman" w:cs="Times New Roman"/>
        </w:rPr>
        <w:t xml:space="preserve"> </w:t>
      </w:r>
      <w:r w:rsidR="0034054D">
        <w:rPr>
          <w:rFonts w:ascii="Times New Roman" w:hAnsi="Times New Roman" w:cs="Times New Roman"/>
        </w:rPr>
        <w:t xml:space="preserve">has decreased by a larger margin which has decreased cash flow overall. These ratios seem to indicate; One, Apple has spent large amounts of cash trying to possibly boost its stock price back </w:t>
      </w:r>
      <w:r w:rsidR="0034054D">
        <w:rPr>
          <w:rFonts w:ascii="Times New Roman" w:hAnsi="Times New Roman" w:cs="Times New Roman"/>
        </w:rPr>
        <w:lastRenderedPageBreak/>
        <w:t xml:space="preserve">to pre-pandemic levels through share repurchases. Two, marketable securities play a large role in Current Assets </w:t>
      </w:r>
      <w:r w:rsidR="00286061">
        <w:rPr>
          <w:rFonts w:ascii="Times New Roman" w:hAnsi="Times New Roman" w:cs="Times New Roman"/>
        </w:rPr>
        <w:t xml:space="preserve">which, as fewer securities are purchased, maturity income and the capacity to sell is reduced which is substantially affecting all three ratios resulting in a downward trend. Apple’s ability to cover short-term liabilities and day-to-day operations is decreasing as it struggles to recover from 2020. </w:t>
      </w:r>
    </w:p>
    <w:p w14:paraId="62692B00" w14:textId="21105070" w:rsidR="00286061" w:rsidRDefault="0063387B" w:rsidP="0034054D">
      <w:pPr>
        <w:spacing w:line="360" w:lineRule="auto"/>
        <w:rPr>
          <w:rFonts w:ascii="Times New Roman" w:hAnsi="Times New Roman" w:cs="Times New Roman"/>
          <w:b/>
          <w:bCs/>
        </w:rPr>
      </w:pPr>
      <w:r w:rsidRPr="0063387B">
        <w:rPr>
          <w:rFonts w:ascii="Times New Roman" w:hAnsi="Times New Roman" w:cs="Times New Roman"/>
          <w:b/>
          <w:bCs/>
          <w:noProof/>
        </w:rPr>
        <w:drawing>
          <wp:anchor distT="0" distB="0" distL="114300" distR="114300" simplePos="0" relativeHeight="251659264" behindDoc="0" locked="0" layoutInCell="1" allowOverlap="1" wp14:anchorId="1007B4D8" wp14:editId="3DCA0327">
            <wp:simplePos x="0" y="0"/>
            <wp:positionH relativeFrom="margin">
              <wp:align>center</wp:align>
            </wp:positionH>
            <wp:positionV relativeFrom="paragraph">
              <wp:posOffset>1109073</wp:posOffset>
            </wp:positionV>
            <wp:extent cx="5268595" cy="3166745"/>
            <wp:effectExtent l="0" t="0" r="8255" b="0"/>
            <wp:wrapTopAndBottom/>
            <wp:docPr id="835895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595" cy="3166745"/>
                    </a:xfrm>
                    <a:prstGeom prst="rect">
                      <a:avLst/>
                    </a:prstGeom>
                    <a:noFill/>
                  </pic:spPr>
                </pic:pic>
              </a:graphicData>
            </a:graphic>
            <wp14:sizeRelH relativeFrom="margin">
              <wp14:pctWidth>0</wp14:pctWidth>
            </wp14:sizeRelH>
            <wp14:sizeRelV relativeFrom="margin">
              <wp14:pctHeight>0</wp14:pctHeight>
            </wp14:sizeRelV>
          </wp:anchor>
        </w:drawing>
      </w:r>
      <w:r w:rsidRPr="0063387B">
        <w:rPr>
          <w:rFonts w:ascii="Times New Roman" w:hAnsi="Times New Roman" w:cs="Times New Roman"/>
          <w:b/>
          <w:bCs/>
        </w:rPr>
        <w:t>Inv</w:t>
      </w:r>
      <w:r>
        <w:rPr>
          <w:rFonts w:ascii="Times New Roman" w:hAnsi="Times New Roman" w:cs="Times New Roman"/>
          <w:b/>
          <w:bCs/>
        </w:rPr>
        <w:t xml:space="preserve">entory, Payable, Receivable </w:t>
      </w:r>
      <w:r w:rsidRPr="0063387B">
        <w:rPr>
          <w:rFonts w:ascii="Times New Roman" w:hAnsi="Times New Roman" w:cs="Times New Roman"/>
          <w:b/>
          <w:bCs/>
        </w:rPr>
        <w:t>Days, Cash Conversion Cycle</w:t>
      </w:r>
      <w:r w:rsidR="000E5EC3">
        <w:rPr>
          <w:rFonts w:ascii="Times New Roman" w:hAnsi="Times New Roman" w:cs="Times New Roman"/>
          <w:b/>
          <w:bCs/>
        </w:rPr>
        <w:t>, and Defense Interval</w:t>
      </w:r>
      <w:r>
        <w:rPr>
          <w:rFonts w:ascii="Times New Roman" w:hAnsi="Times New Roman" w:cs="Times New Roman"/>
          <w:b/>
          <w:bCs/>
        </w:rPr>
        <w:t xml:space="preserve"> Ratios</w:t>
      </w:r>
    </w:p>
    <w:p w14:paraId="30B90826" w14:textId="258E56DA" w:rsidR="0063387B" w:rsidRDefault="0063387B" w:rsidP="0034054D">
      <w:pPr>
        <w:spacing w:line="360" w:lineRule="auto"/>
        <w:rPr>
          <w:rFonts w:ascii="Times New Roman" w:hAnsi="Times New Roman" w:cs="Times New Roman"/>
        </w:rPr>
      </w:pPr>
      <w:r>
        <w:rPr>
          <w:rFonts w:ascii="Times New Roman" w:hAnsi="Times New Roman" w:cs="Times New Roman"/>
        </w:rPr>
        <w:t>The only significant change in the cash conversion cycle (CCC) ratios was the change in Payable Days in 2021 from 94 days to 105 days in 2022. This has a positive effect on the CCC, changing CCC from negative 56 days in 2021 to negative 71 days in 2022</w:t>
      </w:r>
      <w:r w:rsidR="000E5EC3">
        <w:rPr>
          <w:rFonts w:ascii="Times New Roman" w:hAnsi="Times New Roman" w:cs="Times New Roman"/>
        </w:rPr>
        <w:t xml:space="preserve"> which is beneficial to Apple</w:t>
      </w:r>
      <w:r>
        <w:rPr>
          <w:rFonts w:ascii="Times New Roman" w:hAnsi="Times New Roman" w:cs="Times New Roman"/>
        </w:rPr>
        <w:t xml:space="preserve">. </w:t>
      </w:r>
    </w:p>
    <w:p w14:paraId="436D3FAA" w14:textId="77777777" w:rsidR="0063387B" w:rsidRDefault="0063387B" w:rsidP="0034054D">
      <w:pPr>
        <w:spacing w:line="360" w:lineRule="auto"/>
        <w:rPr>
          <w:rFonts w:ascii="Times New Roman" w:hAnsi="Times New Roman" w:cs="Times New Roman"/>
        </w:rPr>
      </w:pPr>
    </w:p>
    <w:p w14:paraId="441E0110" w14:textId="28FDCC2C" w:rsidR="0063387B" w:rsidRDefault="0063387B" w:rsidP="0034054D">
      <w:pPr>
        <w:spacing w:line="360" w:lineRule="auto"/>
        <w:rPr>
          <w:rFonts w:ascii="Times New Roman" w:hAnsi="Times New Roman" w:cs="Times New Roman"/>
        </w:rPr>
      </w:pPr>
      <w:r>
        <w:rPr>
          <w:rFonts w:ascii="Times New Roman" w:hAnsi="Times New Roman" w:cs="Times New Roman"/>
        </w:rPr>
        <w:t xml:space="preserve">This indicates that Apple is taking longer to </w:t>
      </w:r>
      <w:r w:rsidR="000E5EC3">
        <w:rPr>
          <w:rFonts w:ascii="Times New Roman" w:hAnsi="Times New Roman" w:cs="Times New Roman"/>
        </w:rPr>
        <w:t>pay</w:t>
      </w:r>
      <w:r>
        <w:rPr>
          <w:rFonts w:ascii="Times New Roman" w:hAnsi="Times New Roman" w:cs="Times New Roman"/>
        </w:rPr>
        <w:t xml:space="preserve"> its suppliers which means cash is being retained longer. </w:t>
      </w:r>
      <w:r w:rsidR="000E5EC3">
        <w:rPr>
          <w:rFonts w:ascii="Times New Roman" w:hAnsi="Times New Roman" w:cs="Times New Roman"/>
        </w:rPr>
        <w:t>This change could be due to new supplier negotiations as Apple is seemingly able to increase Accounts Payable year-over-year by an estimated average of 14-15%. While CCC is improving, overall liquidity is still decreasing as indicated by the defense interval ratio among other factors. The defense interval decreased from 990 days in 2020 to 547 days in 2022 which indicates that Apple is less able to pay current liabilities with current</w:t>
      </w:r>
      <w:r w:rsidR="00FC0108">
        <w:rPr>
          <w:rFonts w:ascii="Times New Roman" w:hAnsi="Times New Roman" w:cs="Times New Roman"/>
        </w:rPr>
        <w:t xml:space="preserve"> liquid</w:t>
      </w:r>
      <w:r w:rsidR="000E5EC3">
        <w:rPr>
          <w:rFonts w:ascii="Times New Roman" w:hAnsi="Times New Roman" w:cs="Times New Roman"/>
        </w:rPr>
        <w:t xml:space="preserve"> assets</w:t>
      </w:r>
      <w:r w:rsidR="00FC0108">
        <w:rPr>
          <w:rFonts w:ascii="Times New Roman" w:hAnsi="Times New Roman" w:cs="Times New Roman"/>
        </w:rPr>
        <w:t xml:space="preserve"> such as cash, marketable securities, and accounts receivable. </w:t>
      </w:r>
      <w:r w:rsidR="000E5EC3">
        <w:rPr>
          <w:rFonts w:ascii="Times New Roman" w:hAnsi="Times New Roman" w:cs="Times New Roman"/>
        </w:rPr>
        <w:t xml:space="preserve">  </w:t>
      </w:r>
    </w:p>
    <w:p w14:paraId="13D5D801" w14:textId="77777777" w:rsidR="00FC0108" w:rsidRDefault="00FC0108" w:rsidP="0034054D">
      <w:pPr>
        <w:spacing w:line="360" w:lineRule="auto"/>
        <w:rPr>
          <w:rFonts w:ascii="Times New Roman" w:hAnsi="Times New Roman" w:cs="Times New Roman"/>
        </w:rPr>
      </w:pPr>
    </w:p>
    <w:p w14:paraId="75CF1FC8" w14:textId="0B5CB040" w:rsidR="00FC0108" w:rsidRPr="00FC0108" w:rsidRDefault="00FC0108" w:rsidP="0034054D">
      <w:pPr>
        <w:spacing w:line="360" w:lineRule="auto"/>
        <w:rPr>
          <w:rFonts w:ascii="Times New Roman" w:hAnsi="Times New Roman" w:cs="Times New Roman"/>
          <w:b/>
          <w:bCs/>
          <w:sz w:val="32"/>
          <w:szCs w:val="32"/>
        </w:rPr>
      </w:pPr>
      <w:r w:rsidRPr="00FC0108">
        <w:rPr>
          <w:rFonts w:ascii="Times New Roman" w:hAnsi="Times New Roman" w:cs="Times New Roman"/>
          <w:b/>
          <w:bCs/>
          <w:sz w:val="32"/>
          <w:szCs w:val="32"/>
        </w:rPr>
        <w:lastRenderedPageBreak/>
        <w:t xml:space="preserve">Profitability Ratios: </w:t>
      </w:r>
    </w:p>
    <w:p w14:paraId="721BA4C3" w14:textId="1B945A1D" w:rsidR="000E5EC3" w:rsidRPr="00FC0108" w:rsidRDefault="00FC0108" w:rsidP="0034054D">
      <w:pPr>
        <w:spacing w:line="360" w:lineRule="auto"/>
        <w:rPr>
          <w:rFonts w:ascii="Times New Roman" w:hAnsi="Times New Roman" w:cs="Times New Roman"/>
          <w:b/>
          <w:bCs/>
        </w:rPr>
      </w:pPr>
      <w:r w:rsidRPr="00FC0108">
        <w:rPr>
          <w:rFonts w:ascii="Times New Roman" w:hAnsi="Times New Roman" w:cs="Times New Roman"/>
          <w:b/>
          <w:bCs/>
        </w:rPr>
        <w:t>Gross, EBITDA, EBIT, and Net Margin Ratios</w:t>
      </w:r>
    </w:p>
    <w:p w14:paraId="17E108D4" w14:textId="71C0F523" w:rsidR="00FC0108" w:rsidRDefault="000D2378" w:rsidP="0034054D">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42A0D656" wp14:editId="426BC431">
            <wp:simplePos x="0" y="0"/>
            <wp:positionH relativeFrom="margin">
              <wp:posOffset>153760</wp:posOffset>
            </wp:positionH>
            <wp:positionV relativeFrom="paragraph">
              <wp:posOffset>588555</wp:posOffset>
            </wp:positionV>
            <wp:extent cx="5196840" cy="3124200"/>
            <wp:effectExtent l="0" t="0" r="3810" b="0"/>
            <wp:wrapTopAndBottom/>
            <wp:docPr id="154243696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6840" cy="31242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Apple compared to its 2020 numbers is improving its profitability in </w:t>
      </w:r>
      <w:proofErr w:type="gramStart"/>
      <w:r>
        <w:rPr>
          <w:rFonts w:ascii="Times New Roman" w:hAnsi="Times New Roman" w:cs="Times New Roman"/>
        </w:rPr>
        <w:t>all of</w:t>
      </w:r>
      <w:proofErr w:type="gramEnd"/>
      <w:r>
        <w:rPr>
          <w:rFonts w:ascii="Times New Roman" w:hAnsi="Times New Roman" w:cs="Times New Roman"/>
        </w:rPr>
        <w:t xml:space="preserve"> the margin calculations done below with a 5.08% increase in gross margin alone.</w:t>
      </w:r>
    </w:p>
    <w:p w14:paraId="172BECDB" w14:textId="63D7DC31" w:rsidR="000E5EC3" w:rsidRDefault="000E5EC3" w:rsidP="0034054D">
      <w:pPr>
        <w:spacing w:line="360" w:lineRule="auto"/>
        <w:rPr>
          <w:rFonts w:ascii="Times New Roman" w:hAnsi="Times New Roman" w:cs="Times New Roman"/>
        </w:rPr>
      </w:pPr>
    </w:p>
    <w:p w14:paraId="3D495288" w14:textId="193FFD16" w:rsidR="00547782" w:rsidRDefault="000D2378" w:rsidP="0034054D">
      <w:pPr>
        <w:spacing w:line="360" w:lineRule="auto"/>
        <w:rPr>
          <w:rFonts w:ascii="Times New Roman" w:hAnsi="Times New Roman" w:cs="Times New Roman"/>
        </w:rPr>
      </w:pPr>
      <w:r>
        <w:rPr>
          <w:rFonts w:ascii="Times New Roman" w:hAnsi="Times New Roman" w:cs="Times New Roman"/>
        </w:rPr>
        <w:t xml:space="preserve">However, this may not be due to anything </w:t>
      </w:r>
      <w:proofErr w:type="gramStart"/>
      <w:r>
        <w:rPr>
          <w:rFonts w:ascii="Times New Roman" w:hAnsi="Times New Roman" w:cs="Times New Roman"/>
        </w:rPr>
        <w:t>in particular that</w:t>
      </w:r>
      <w:proofErr w:type="gramEnd"/>
      <w:r>
        <w:rPr>
          <w:rFonts w:ascii="Times New Roman" w:hAnsi="Times New Roman" w:cs="Times New Roman"/>
        </w:rPr>
        <w:t xml:space="preserve"> Apple has done to improve itself. Most of Apple’s sales were due to increases in product sales aka iPhones, iPads, iPods etc. A higher gross margin means a lower COGS </w:t>
      </w:r>
      <w:r w:rsidR="00547782">
        <w:rPr>
          <w:rFonts w:ascii="Times New Roman" w:hAnsi="Times New Roman" w:cs="Times New Roman"/>
        </w:rPr>
        <w:t>which could be linked entirely to economies of scale as it becomes cheaper to mass produce Apple products. The jump in all profitability margins from 2020 to 2021 and onward is mo</w:t>
      </w:r>
      <w:r w:rsidR="00C3491F">
        <w:rPr>
          <w:rFonts w:ascii="Times New Roman" w:hAnsi="Times New Roman" w:cs="Times New Roman"/>
        </w:rPr>
        <w:t>re</w:t>
      </w:r>
      <w:r w:rsidR="00547782">
        <w:rPr>
          <w:rFonts w:ascii="Times New Roman" w:hAnsi="Times New Roman" w:cs="Times New Roman"/>
        </w:rPr>
        <w:t xml:space="preserve"> likely because of </w:t>
      </w:r>
      <w:r w:rsidR="008A1B5A">
        <w:rPr>
          <w:rFonts w:ascii="Times New Roman" w:hAnsi="Times New Roman" w:cs="Times New Roman"/>
        </w:rPr>
        <w:t xml:space="preserve">increased efficiency </w:t>
      </w:r>
      <w:r w:rsidR="000A70E9">
        <w:rPr>
          <w:rFonts w:ascii="Times New Roman" w:hAnsi="Times New Roman" w:cs="Times New Roman"/>
        </w:rPr>
        <w:t xml:space="preserve">due to </w:t>
      </w:r>
      <w:r w:rsidR="00547782">
        <w:rPr>
          <w:rFonts w:ascii="Times New Roman" w:hAnsi="Times New Roman" w:cs="Times New Roman"/>
        </w:rPr>
        <w:t>economies of scale and not</w:t>
      </w:r>
      <w:r w:rsidR="00687733">
        <w:rPr>
          <w:rFonts w:ascii="Times New Roman" w:hAnsi="Times New Roman" w:cs="Times New Roman"/>
        </w:rPr>
        <w:t xml:space="preserve"> </w:t>
      </w:r>
      <w:r w:rsidR="007970DA">
        <w:rPr>
          <w:rFonts w:ascii="Times New Roman" w:hAnsi="Times New Roman" w:cs="Times New Roman"/>
        </w:rPr>
        <w:t>improvements in ROA</w:t>
      </w:r>
      <w:r w:rsidR="001925FC">
        <w:rPr>
          <w:rFonts w:ascii="Times New Roman" w:hAnsi="Times New Roman" w:cs="Times New Roman"/>
        </w:rPr>
        <w:t xml:space="preserve"> or other accounts</w:t>
      </w:r>
      <w:r w:rsidR="00547782">
        <w:rPr>
          <w:rFonts w:ascii="Times New Roman" w:hAnsi="Times New Roman" w:cs="Times New Roman"/>
        </w:rPr>
        <w:t xml:space="preserve">. </w:t>
      </w:r>
    </w:p>
    <w:p w14:paraId="28CF0D01" w14:textId="77777777" w:rsidR="00547782" w:rsidRPr="00547782" w:rsidRDefault="00547782" w:rsidP="0034054D">
      <w:pPr>
        <w:spacing w:line="360" w:lineRule="auto"/>
        <w:rPr>
          <w:rFonts w:ascii="Times New Roman" w:hAnsi="Times New Roman" w:cs="Times New Roman"/>
          <w:b/>
          <w:bCs/>
          <w:sz w:val="32"/>
          <w:szCs w:val="32"/>
        </w:rPr>
      </w:pPr>
      <w:r w:rsidRPr="00547782">
        <w:rPr>
          <w:rFonts w:ascii="Times New Roman" w:hAnsi="Times New Roman" w:cs="Times New Roman"/>
          <w:b/>
          <w:bCs/>
          <w:sz w:val="32"/>
          <w:szCs w:val="32"/>
        </w:rPr>
        <w:t>Solvency Ratios:</w:t>
      </w:r>
    </w:p>
    <w:p w14:paraId="01EC60D6" w14:textId="725D5249" w:rsidR="000D2378" w:rsidRDefault="00547782" w:rsidP="0034054D">
      <w:pPr>
        <w:spacing w:line="360" w:lineRule="auto"/>
        <w:rPr>
          <w:rFonts w:ascii="Times New Roman" w:hAnsi="Times New Roman" w:cs="Times New Roman"/>
          <w:b/>
          <w:bCs/>
        </w:rPr>
      </w:pPr>
      <w:r>
        <w:rPr>
          <w:rFonts w:ascii="Times New Roman" w:hAnsi="Times New Roman" w:cs="Times New Roman"/>
        </w:rPr>
        <w:t xml:space="preserve"> </w:t>
      </w:r>
      <w:r w:rsidRPr="00547782">
        <w:rPr>
          <w:rFonts w:ascii="Times New Roman" w:hAnsi="Times New Roman" w:cs="Times New Roman"/>
          <w:b/>
          <w:bCs/>
        </w:rPr>
        <w:t xml:space="preserve">Debt/Equity, Debt/Total Assets, </w:t>
      </w:r>
      <w:r w:rsidR="003B6910">
        <w:rPr>
          <w:rFonts w:ascii="Times New Roman" w:hAnsi="Times New Roman" w:cs="Times New Roman"/>
          <w:b/>
          <w:bCs/>
        </w:rPr>
        <w:t xml:space="preserve">and Long-term Debt/Capital </w:t>
      </w:r>
      <w:r w:rsidR="00BC60E3">
        <w:rPr>
          <w:rFonts w:ascii="Times New Roman" w:hAnsi="Times New Roman" w:cs="Times New Roman"/>
          <w:b/>
          <w:bCs/>
        </w:rPr>
        <w:t>Ratios</w:t>
      </w:r>
    </w:p>
    <w:p w14:paraId="173755E5" w14:textId="4FF78DEB" w:rsidR="00576DB3" w:rsidRPr="00576DB3" w:rsidRDefault="00C11CF6" w:rsidP="0034054D">
      <w:pPr>
        <w:spacing w:line="360" w:lineRule="auto"/>
        <w:rPr>
          <w:rFonts w:ascii="Times New Roman" w:hAnsi="Times New Roman" w:cs="Times New Roman"/>
        </w:rPr>
      </w:pPr>
      <w:r>
        <w:rPr>
          <w:rFonts w:ascii="Times New Roman" w:hAnsi="Times New Roman" w:cs="Times New Roman"/>
        </w:rPr>
        <w:t xml:space="preserve">As shown in the graph below, </w:t>
      </w:r>
      <w:r w:rsidR="0044772E">
        <w:rPr>
          <w:rFonts w:ascii="Times New Roman" w:hAnsi="Times New Roman" w:cs="Times New Roman"/>
        </w:rPr>
        <w:t xml:space="preserve">debt as compared to equity, assets, and </w:t>
      </w:r>
      <w:r w:rsidR="00CF797B">
        <w:rPr>
          <w:rFonts w:ascii="Times New Roman" w:hAnsi="Times New Roman" w:cs="Times New Roman"/>
        </w:rPr>
        <w:t xml:space="preserve">available capital </w:t>
      </w:r>
      <w:r w:rsidR="00C22D41">
        <w:rPr>
          <w:rFonts w:ascii="Times New Roman" w:hAnsi="Times New Roman" w:cs="Times New Roman"/>
        </w:rPr>
        <w:t xml:space="preserve">is growing. </w:t>
      </w:r>
      <w:r w:rsidR="005427C6">
        <w:rPr>
          <w:rFonts w:ascii="Times New Roman" w:hAnsi="Times New Roman" w:cs="Times New Roman"/>
        </w:rPr>
        <w:t xml:space="preserve">While </w:t>
      </w:r>
      <w:r w:rsidR="00F941B2">
        <w:rPr>
          <w:rFonts w:ascii="Times New Roman" w:hAnsi="Times New Roman" w:cs="Times New Roman"/>
        </w:rPr>
        <w:t xml:space="preserve">the use of debt is growing at a faster rate than the rate at which assets are </w:t>
      </w:r>
      <w:r w:rsidR="00F941B2">
        <w:rPr>
          <w:rFonts w:ascii="Times New Roman" w:hAnsi="Times New Roman" w:cs="Times New Roman"/>
        </w:rPr>
        <w:lastRenderedPageBreak/>
        <w:t xml:space="preserve">growing, Accumulated Other Comprehensive Income (AOCI) </w:t>
      </w:r>
      <w:r w:rsidR="00ED4941">
        <w:rPr>
          <w:rFonts w:ascii="Times New Roman" w:hAnsi="Times New Roman" w:cs="Times New Roman"/>
        </w:rPr>
        <w:t xml:space="preserve">is the main cause for the drop in </w:t>
      </w:r>
      <w:r w:rsidR="00ED4941">
        <w:rPr>
          <w:rFonts w:ascii="Times New Roman" w:hAnsi="Times New Roman" w:cs="Times New Roman"/>
          <w:noProof/>
        </w:rPr>
        <w:drawing>
          <wp:anchor distT="0" distB="0" distL="114300" distR="114300" simplePos="0" relativeHeight="251661312" behindDoc="0" locked="0" layoutInCell="1" allowOverlap="1" wp14:anchorId="2A3689F4" wp14:editId="670C45A3">
            <wp:simplePos x="0" y="0"/>
            <wp:positionH relativeFrom="margin">
              <wp:align>center</wp:align>
            </wp:positionH>
            <wp:positionV relativeFrom="paragraph">
              <wp:posOffset>594723</wp:posOffset>
            </wp:positionV>
            <wp:extent cx="5105400" cy="3074670"/>
            <wp:effectExtent l="0" t="0" r="0" b="0"/>
            <wp:wrapTopAndBottom/>
            <wp:docPr id="61367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3074670"/>
                    </a:xfrm>
                    <a:prstGeom prst="rect">
                      <a:avLst/>
                    </a:prstGeom>
                    <a:noFill/>
                  </pic:spPr>
                </pic:pic>
              </a:graphicData>
            </a:graphic>
            <wp14:sizeRelH relativeFrom="margin">
              <wp14:pctWidth>0</wp14:pctWidth>
            </wp14:sizeRelH>
            <wp14:sizeRelV relativeFrom="margin">
              <wp14:pctHeight>0</wp14:pctHeight>
            </wp14:sizeRelV>
          </wp:anchor>
        </w:drawing>
      </w:r>
      <w:r w:rsidR="00ED4941">
        <w:rPr>
          <w:rFonts w:ascii="Times New Roman" w:hAnsi="Times New Roman" w:cs="Times New Roman"/>
        </w:rPr>
        <w:t xml:space="preserve">the equity section of the balance sheet. </w:t>
      </w:r>
    </w:p>
    <w:p w14:paraId="1C0C22D0" w14:textId="77777777" w:rsidR="00D87543" w:rsidRDefault="00D87543" w:rsidP="0034054D">
      <w:pPr>
        <w:spacing w:line="360" w:lineRule="auto"/>
        <w:rPr>
          <w:rFonts w:ascii="Times New Roman" w:hAnsi="Times New Roman" w:cs="Times New Roman"/>
        </w:rPr>
      </w:pPr>
    </w:p>
    <w:p w14:paraId="5E52E813" w14:textId="4D4CAD00" w:rsidR="00BC60E3" w:rsidRDefault="00682AA6" w:rsidP="0034054D">
      <w:pPr>
        <w:spacing w:line="360" w:lineRule="auto"/>
        <w:rPr>
          <w:rFonts w:ascii="Times New Roman" w:hAnsi="Times New Roman" w:cs="Times New Roman"/>
        </w:rPr>
      </w:pPr>
      <w:r>
        <w:rPr>
          <w:rFonts w:ascii="Times New Roman" w:hAnsi="Times New Roman" w:cs="Times New Roman"/>
        </w:rPr>
        <w:t xml:space="preserve">Since AOCI </w:t>
      </w:r>
      <w:r w:rsidR="00EF4623">
        <w:rPr>
          <w:rFonts w:ascii="Times New Roman" w:hAnsi="Times New Roman" w:cs="Times New Roman"/>
        </w:rPr>
        <w:t>is accounting for unrealized gains/losses, it may or may not be</w:t>
      </w:r>
      <w:r w:rsidR="0014324F">
        <w:rPr>
          <w:rFonts w:ascii="Times New Roman" w:hAnsi="Times New Roman" w:cs="Times New Roman"/>
        </w:rPr>
        <w:t xml:space="preserve"> significantly</w:t>
      </w:r>
      <w:r w:rsidR="00EF4623">
        <w:rPr>
          <w:rFonts w:ascii="Times New Roman" w:hAnsi="Times New Roman" w:cs="Times New Roman"/>
        </w:rPr>
        <w:t xml:space="preserve"> important depending on what </w:t>
      </w:r>
      <w:r w:rsidR="0014324F">
        <w:rPr>
          <w:rFonts w:ascii="Times New Roman" w:hAnsi="Times New Roman" w:cs="Times New Roman"/>
        </w:rPr>
        <w:t xml:space="preserve">type of AOCI Apple has. Apple may have unrealized losses due to </w:t>
      </w:r>
      <w:r w:rsidR="00FC6C48">
        <w:rPr>
          <w:rFonts w:ascii="Times New Roman" w:hAnsi="Times New Roman" w:cs="Times New Roman"/>
        </w:rPr>
        <w:t xml:space="preserve">hedging </w:t>
      </w:r>
      <w:r w:rsidR="0014324F">
        <w:rPr>
          <w:rFonts w:ascii="Times New Roman" w:hAnsi="Times New Roman" w:cs="Times New Roman"/>
        </w:rPr>
        <w:t xml:space="preserve">currency </w:t>
      </w:r>
      <w:r w:rsidR="00721B17">
        <w:rPr>
          <w:rFonts w:ascii="Times New Roman" w:hAnsi="Times New Roman" w:cs="Times New Roman"/>
        </w:rPr>
        <w:t>risk</w:t>
      </w:r>
      <w:r w:rsidR="0014324F">
        <w:rPr>
          <w:rFonts w:ascii="Times New Roman" w:hAnsi="Times New Roman" w:cs="Times New Roman"/>
        </w:rPr>
        <w:t xml:space="preserve"> </w:t>
      </w:r>
      <w:r w:rsidR="00AF2524">
        <w:rPr>
          <w:rFonts w:ascii="Times New Roman" w:hAnsi="Times New Roman" w:cs="Times New Roman"/>
        </w:rPr>
        <w:t xml:space="preserve">as many if not </w:t>
      </w:r>
      <w:r w:rsidR="00D87543">
        <w:rPr>
          <w:rFonts w:ascii="Times New Roman" w:hAnsi="Times New Roman" w:cs="Times New Roman"/>
        </w:rPr>
        <w:t>all</w:t>
      </w:r>
      <w:r w:rsidR="00AF2524">
        <w:rPr>
          <w:rFonts w:ascii="Times New Roman" w:hAnsi="Times New Roman" w:cs="Times New Roman"/>
        </w:rPr>
        <w:t xml:space="preserve"> its products are made overseas </w:t>
      </w:r>
      <w:r w:rsidR="002D2909">
        <w:rPr>
          <w:rFonts w:ascii="Times New Roman" w:hAnsi="Times New Roman" w:cs="Times New Roman"/>
        </w:rPr>
        <w:t>and require currency transactions for materials, shipping etc.</w:t>
      </w:r>
      <w:r w:rsidR="00412EA5">
        <w:rPr>
          <w:rFonts w:ascii="Times New Roman" w:hAnsi="Times New Roman" w:cs="Times New Roman"/>
        </w:rPr>
        <w:t xml:space="preserve"> </w:t>
      </w:r>
      <w:r w:rsidR="001140EF">
        <w:rPr>
          <w:rFonts w:ascii="Times New Roman" w:hAnsi="Times New Roman" w:cs="Times New Roman"/>
        </w:rPr>
        <w:t xml:space="preserve">While the negative $11.1 million unrealized loss in 2022 </w:t>
      </w:r>
      <w:r w:rsidR="00472F86">
        <w:rPr>
          <w:rFonts w:ascii="Times New Roman" w:hAnsi="Times New Roman" w:cs="Times New Roman"/>
        </w:rPr>
        <w:t xml:space="preserve">will be detrimental if realized, </w:t>
      </w:r>
      <w:r w:rsidR="0051111E">
        <w:rPr>
          <w:rFonts w:ascii="Times New Roman" w:hAnsi="Times New Roman" w:cs="Times New Roman"/>
        </w:rPr>
        <w:t xml:space="preserve">this loss does not seem to follow a negative trend </w:t>
      </w:r>
      <w:r w:rsidR="00FE1881">
        <w:rPr>
          <w:rFonts w:ascii="Times New Roman" w:hAnsi="Times New Roman" w:cs="Times New Roman"/>
        </w:rPr>
        <w:t>as 2021</w:t>
      </w:r>
      <w:r w:rsidR="00ED26BC">
        <w:rPr>
          <w:rFonts w:ascii="Times New Roman" w:hAnsi="Times New Roman" w:cs="Times New Roman"/>
        </w:rPr>
        <w:t xml:space="preserve"> ($1.6 million)</w:t>
      </w:r>
      <w:r w:rsidR="00FE1881">
        <w:rPr>
          <w:rFonts w:ascii="Times New Roman" w:hAnsi="Times New Roman" w:cs="Times New Roman"/>
        </w:rPr>
        <w:t xml:space="preserve"> and 2020</w:t>
      </w:r>
      <w:r w:rsidR="00ED26BC">
        <w:rPr>
          <w:rFonts w:ascii="Times New Roman" w:hAnsi="Times New Roman" w:cs="Times New Roman"/>
        </w:rPr>
        <w:t xml:space="preserve"> (negative $4.06 million)</w:t>
      </w:r>
      <w:r w:rsidR="00FE1881">
        <w:rPr>
          <w:rFonts w:ascii="Times New Roman" w:hAnsi="Times New Roman" w:cs="Times New Roman"/>
        </w:rPr>
        <w:t xml:space="preserve"> do not follow this pattern.</w:t>
      </w:r>
      <w:r w:rsidR="00B726B2">
        <w:rPr>
          <w:rFonts w:ascii="Times New Roman" w:hAnsi="Times New Roman" w:cs="Times New Roman"/>
        </w:rPr>
        <w:t xml:space="preserve"> Overall, debt</w:t>
      </w:r>
      <w:r w:rsidR="001E72FA">
        <w:rPr>
          <w:rFonts w:ascii="Times New Roman" w:hAnsi="Times New Roman" w:cs="Times New Roman"/>
        </w:rPr>
        <w:t xml:space="preserve"> accumulation is increasing faster than asset and equity growth</w:t>
      </w:r>
      <w:r w:rsidR="008E566E">
        <w:rPr>
          <w:rFonts w:ascii="Times New Roman" w:hAnsi="Times New Roman" w:cs="Times New Roman"/>
        </w:rPr>
        <w:t xml:space="preserve">, but AOCI </w:t>
      </w:r>
      <w:r w:rsidR="003C069A">
        <w:rPr>
          <w:rFonts w:ascii="Times New Roman" w:hAnsi="Times New Roman" w:cs="Times New Roman"/>
        </w:rPr>
        <w:t>is only</w:t>
      </w:r>
      <w:r w:rsidR="008B4C50">
        <w:rPr>
          <w:rFonts w:ascii="Times New Roman" w:hAnsi="Times New Roman" w:cs="Times New Roman"/>
        </w:rPr>
        <w:t xml:space="preserve"> temporarily decreasing equity</w:t>
      </w:r>
      <w:r w:rsidR="00884634">
        <w:rPr>
          <w:rFonts w:ascii="Times New Roman" w:hAnsi="Times New Roman" w:cs="Times New Roman"/>
        </w:rPr>
        <w:t xml:space="preserve"> making </w:t>
      </w:r>
      <w:r w:rsidR="00E40888">
        <w:rPr>
          <w:rFonts w:ascii="Times New Roman" w:hAnsi="Times New Roman" w:cs="Times New Roman"/>
        </w:rPr>
        <w:t>the</w:t>
      </w:r>
      <w:r w:rsidR="003C069A">
        <w:rPr>
          <w:rFonts w:ascii="Times New Roman" w:hAnsi="Times New Roman" w:cs="Times New Roman"/>
        </w:rPr>
        <w:t xml:space="preserve"> growth seem larger than what it </w:t>
      </w:r>
      <w:proofErr w:type="gramStart"/>
      <w:r w:rsidR="003C069A">
        <w:rPr>
          <w:rFonts w:ascii="Times New Roman" w:hAnsi="Times New Roman" w:cs="Times New Roman"/>
        </w:rPr>
        <w:t>actually is</w:t>
      </w:r>
      <w:proofErr w:type="gramEnd"/>
      <w:r w:rsidR="00884634">
        <w:rPr>
          <w:rFonts w:ascii="Times New Roman" w:hAnsi="Times New Roman" w:cs="Times New Roman"/>
        </w:rPr>
        <w:t xml:space="preserve">. </w:t>
      </w:r>
      <w:r w:rsidR="00F44A60">
        <w:rPr>
          <w:rFonts w:ascii="Times New Roman" w:hAnsi="Times New Roman" w:cs="Times New Roman"/>
        </w:rPr>
        <w:t xml:space="preserve">A problem may exist however in Apple’s </w:t>
      </w:r>
      <w:r w:rsidR="00D107F6">
        <w:rPr>
          <w:rFonts w:ascii="Times New Roman" w:hAnsi="Times New Roman" w:cs="Times New Roman"/>
        </w:rPr>
        <w:t xml:space="preserve">investing/hedging strategies </w:t>
      </w:r>
      <w:r w:rsidR="002128FE">
        <w:rPr>
          <w:rFonts w:ascii="Times New Roman" w:hAnsi="Times New Roman" w:cs="Times New Roman"/>
        </w:rPr>
        <w:t xml:space="preserve">as markets are still </w:t>
      </w:r>
      <w:r w:rsidR="00640964">
        <w:rPr>
          <w:rFonts w:ascii="Times New Roman" w:hAnsi="Times New Roman" w:cs="Times New Roman"/>
        </w:rPr>
        <w:t xml:space="preserve">highly volatile as compared to </w:t>
      </w:r>
      <w:r w:rsidR="00321A00">
        <w:rPr>
          <w:rFonts w:ascii="Times New Roman" w:hAnsi="Times New Roman" w:cs="Times New Roman"/>
        </w:rPr>
        <w:t>pre-2020</w:t>
      </w:r>
      <w:r w:rsidR="00640964">
        <w:rPr>
          <w:rFonts w:ascii="Times New Roman" w:hAnsi="Times New Roman" w:cs="Times New Roman"/>
        </w:rPr>
        <w:t xml:space="preserve">. </w:t>
      </w:r>
    </w:p>
    <w:p w14:paraId="1385274C" w14:textId="0BB38D8C" w:rsidR="00535F77" w:rsidRDefault="00535F77" w:rsidP="0034054D">
      <w:pPr>
        <w:spacing w:line="360" w:lineRule="auto"/>
        <w:rPr>
          <w:rFonts w:ascii="Times New Roman" w:hAnsi="Times New Roman" w:cs="Times New Roman"/>
          <w:b/>
          <w:bCs/>
        </w:rPr>
      </w:pPr>
      <w:r w:rsidRPr="00321A00">
        <w:rPr>
          <w:rFonts w:ascii="Times New Roman" w:hAnsi="Times New Roman" w:cs="Times New Roman"/>
          <w:b/>
          <w:bCs/>
        </w:rPr>
        <w:t xml:space="preserve">Times Interest Earned, </w:t>
      </w:r>
      <w:r w:rsidR="00321A00" w:rsidRPr="00321A00">
        <w:rPr>
          <w:rFonts w:ascii="Times New Roman" w:hAnsi="Times New Roman" w:cs="Times New Roman"/>
          <w:b/>
          <w:bCs/>
        </w:rPr>
        <w:t>Debt Coverage, and Free Cash Flow Ratios</w:t>
      </w:r>
    </w:p>
    <w:p w14:paraId="18D4AB89" w14:textId="5134BF8B" w:rsidR="00FD52EB" w:rsidRPr="00DB1CBA" w:rsidRDefault="00DB1CBA" w:rsidP="0034054D">
      <w:pPr>
        <w:spacing w:line="360" w:lineRule="auto"/>
        <w:rPr>
          <w:rFonts w:ascii="Times New Roman" w:hAnsi="Times New Roman" w:cs="Times New Roman"/>
        </w:rPr>
      </w:pPr>
      <w:r>
        <w:rPr>
          <w:rFonts w:ascii="Times New Roman" w:hAnsi="Times New Roman" w:cs="Times New Roman"/>
        </w:rPr>
        <w:t xml:space="preserve">There are </w:t>
      </w:r>
      <w:r w:rsidR="00B209E0">
        <w:rPr>
          <w:rFonts w:ascii="Times New Roman" w:hAnsi="Times New Roman" w:cs="Times New Roman"/>
        </w:rPr>
        <w:t xml:space="preserve">a few notable changes from 2020 to 2021 as Apple is rebounding from </w:t>
      </w:r>
      <w:r w:rsidR="00985133">
        <w:rPr>
          <w:rFonts w:ascii="Times New Roman" w:hAnsi="Times New Roman" w:cs="Times New Roman"/>
        </w:rPr>
        <w:t>its 2020 losses such as times interest earned ju</w:t>
      </w:r>
      <w:r w:rsidR="00251D04">
        <w:rPr>
          <w:rFonts w:ascii="Times New Roman" w:hAnsi="Times New Roman" w:cs="Times New Roman"/>
        </w:rPr>
        <w:t xml:space="preserve">mping from 22.08 in 2020 to 40.55 in 2021. </w:t>
      </w:r>
      <w:r w:rsidR="00F52072">
        <w:rPr>
          <w:rFonts w:ascii="Times New Roman" w:hAnsi="Times New Roman" w:cs="Times New Roman"/>
        </w:rPr>
        <w:t xml:space="preserve">However, as </w:t>
      </w:r>
      <w:r w:rsidR="0019356D">
        <w:rPr>
          <w:rFonts w:ascii="Times New Roman" w:hAnsi="Times New Roman" w:cs="Times New Roman"/>
        </w:rPr>
        <w:t>discussed above, while 2020 to 2021 increases/decreases in different accounts are valuable</w:t>
      </w:r>
      <w:r w:rsidR="004D0084">
        <w:rPr>
          <w:rFonts w:ascii="Times New Roman" w:hAnsi="Times New Roman" w:cs="Times New Roman"/>
        </w:rPr>
        <w:t>,</w:t>
      </w:r>
      <w:r w:rsidR="0019356D">
        <w:rPr>
          <w:rFonts w:ascii="Times New Roman" w:hAnsi="Times New Roman" w:cs="Times New Roman"/>
        </w:rPr>
        <w:t xml:space="preserve"> </w:t>
      </w:r>
      <w:r w:rsidR="00892371">
        <w:rPr>
          <w:rFonts w:ascii="Times New Roman" w:hAnsi="Times New Roman" w:cs="Times New Roman"/>
        </w:rPr>
        <w:t xml:space="preserve">they do not accurately measure performance as 2020 losses were an </w:t>
      </w:r>
      <w:r w:rsidR="006A3D8D">
        <w:rPr>
          <w:rFonts w:ascii="Times New Roman" w:hAnsi="Times New Roman" w:cs="Times New Roman"/>
        </w:rPr>
        <w:t xml:space="preserve">anomaly when compared to </w:t>
      </w:r>
      <w:r w:rsidR="006A3D8D">
        <w:rPr>
          <w:rFonts w:ascii="Times New Roman" w:hAnsi="Times New Roman" w:cs="Times New Roman"/>
        </w:rPr>
        <w:lastRenderedPageBreak/>
        <w:t>Apple’s histo</w:t>
      </w:r>
      <w:r w:rsidR="00495B1A">
        <w:rPr>
          <w:rFonts w:ascii="Times New Roman" w:hAnsi="Times New Roman" w:cs="Times New Roman"/>
        </w:rPr>
        <w:t xml:space="preserve">rical performance. </w:t>
      </w:r>
      <w:r w:rsidR="001D7180">
        <w:rPr>
          <w:rFonts w:ascii="Times New Roman" w:hAnsi="Times New Roman" w:cs="Times New Roman"/>
        </w:rPr>
        <w:t xml:space="preserve">The changes in debt coverage and free cash flow per share (FCFE) from 2021 to 2022 </w:t>
      </w:r>
      <w:r w:rsidR="001C5278">
        <w:rPr>
          <w:rFonts w:ascii="Times New Roman" w:hAnsi="Times New Roman" w:cs="Times New Roman"/>
        </w:rPr>
        <w:t xml:space="preserve">however </w:t>
      </w:r>
      <w:r w:rsidR="001D7180">
        <w:rPr>
          <w:rFonts w:ascii="Times New Roman" w:hAnsi="Times New Roman" w:cs="Times New Roman"/>
        </w:rPr>
        <w:t>are significant</w:t>
      </w:r>
      <w:r w:rsidR="001C5278">
        <w:rPr>
          <w:rFonts w:ascii="Times New Roman" w:hAnsi="Times New Roman" w:cs="Times New Roman"/>
        </w:rPr>
        <w:t xml:space="preserve">. </w:t>
      </w:r>
    </w:p>
    <w:tbl>
      <w:tblPr>
        <w:tblStyle w:val="TableGrid"/>
        <w:tblpPr w:leftFromText="180" w:rightFromText="180" w:vertAnchor="text" w:horzAnchor="margin" w:tblpXSpec="center" w:tblpY="43"/>
        <w:tblW w:w="0" w:type="auto"/>
        <w:tblLook w:val="04A0" w:firstRow="1" w:lastRow="0" w:firstColumn="1" w:lastColumn="0" w:noHBand="0" w:noVBand="1"/>
      </w:tblPr>
      <w:tblGrid>
        <w:gridCol w:w="3960"/>
        <w:gridCol w:w="1200"/>
        <w:gridCol w:w="1200"/>
        <w:gridCol w:w="1200"/>
      </w:tblGrid>
      <w:tr w:rsidR="00BE6252" w:rsidRPr="00FD52EB" w14:paraId="47B22423" w14:textId="77777777" w:rsidTr="00BE6252">
        <w:trPr>
          <w:trHeight w:val="288"/>
        </w:trPr>
        <w:tc>
          <w:tcPr>
            <w:tcW w:w="3960" w:type="dxa"/>
            <w:noWrap/>
          </w:tcPr>
          <w:p w14:paraId="59FEE9A9" w14:textId="77777777" w:rsidR="00BE6252" w:rsidRPr="00FD52EB" w:rsidRDefault="00BE6252" w:rsidP="00BE6252">
            <w:pPr>
              <w:tabs>
                <w:tab w:val="left" w:pos="2983"/>
              </w:tabs>
              <w:spacing w:line="360" w:lineRule="auto"/>
              <w:rPr>
                <w:rFonts w:ascii="Calibri" w:hAnsi="Calibri" w:cs="Calibri"/>
                <w:b/>
                <w:bCs/>
              </w:rPr>
            </w:pPr>
          </w:p>
        </w:tc>
        <w:tc>
          <w:tcPr>
            <w:tcW w:w="1200" w:type="dxa"/>
            <w:noWrap/>
          </w:tcPr>
          <w:p w14:paraId="2356D143" w14:textId="77777777" w:rsidR="00BE6252" w:rsidRPr="00FD52EB" w:rsidRDefault="00BE6252" w:rsidP="00BE6252">
            <w:pPr>
              <w:spacing w:line="360" w:lineRule="auto"/>
              <w:jc w:val="center"/>
              <w:rPr>
                <w:rFonts w:ascii="Calibri" w:hAnsi="Calibri" w:cs="Calibri"/>
                <w:b/>
                <w:bCs/>
                <w:sz w:val="28"/>
                <w:szCs w:val="28"/>
              </w:rPr>
            </w:pPr>
            <w:r w:rsidRPr="00FD52EB">
              <w:rPr>
                <w:rFonts w:ascii="Calibri" w:hAnsi="Calibri" w:cs="Calibri"/>
                <w:b/>
                <w:bCs/>
                <w:sz w:val="28"/>
                <w:szCs w:val="28"/>
              </w:rPr>
              <w:t>2022</w:t>
            </w:r>
          </w:p>
        </w:tc>
        <w:tc>
          <w:tcPr>
            <w:tcW w:w="1200" w:type="dxa"/>
            <w:noWrap/>
          </w:tcPr>
          <w:p w14:paraId="54A6BB26" w14:textId="77777777" w:rsidR="00BE6252" w:rsidRPr="00FD52EB" w:rsidRDefault="00BE6252" w:rsidP="00BE6252">
            <w:pPr>
              <w:spacing w:line="360" w:lineRule="auto"/>
              <w:jc w:val="center"/>
              <w:rPr>
                <w:rFonts w:ascii="Calibri" w:hAnsi="Calibri" w:cs="Calibri"/>
                <w:b/>
                <w:bCs/>
                <w:sz w:val="28"/>
                <w:szCs w:val="28"/>
              </w:rPr>
            </w:pPr>
            <w:r w:rsidRPr="00FD52EB">
              <w:rPr>
                <w:rFonts w:ascii="Calibri" w:hAnsi="Calibri" w:cs="Calibri"/>
                <w:b/>
                <w:bCs/>
                <w:sz w:val="28"/>
                <w:szCs w:val="28"/>
              </w:rPr>
              <w:t>2021</w:t>
            </w:r>
          </w:p>
        </w:tc>
        <w:tc>
          <w:tcPr>
            <w:tcW w:w="1200" w:type="dxa"/>
            <w:noWrap/>
          </w:tcPr>
          <w:p w14:paraId="1B668968" w14:textId="77777777" w:rsidR="00BE6252" w:rsidRPr="00FD52EB" w:rsidRDefault="00BE6252" w:rsidP="00BE6252">
            <w:pPr>
              <w:spacing w:line="360" w:lineRule="auto"/>
              <w:jc w:val="center"/>
              <w:rPr>
                <w:rFonts w:ascii="Calibri" w:hAnsi="Calibri" w:cs="Calibri"/>
                <w:b/>
                <w:bCs/>
                <w:sz w:val="28"/>
                <w:szCs w:val="28"/>
              </w:rPr>
            </w:pPr>
            <w:r w:rsidRPr="00FD52EB">
              <w:rPr>
                <w:rFonts w:ascii="Calibri" w:hAnsi="Calibri" w:cs="Calibri"/>
                <w:b/>
                <w:bCs/>
                <w:sz w:val="28"/>
                <w:szCs w:val="28"/>
              </w:rPr>
              <w:t>2020</w:t>
            </w:r>
          </w:p>
        </w:tc>
      </w:tr>
      <w:tr w:rsidR="00BE6252" w:rsidRPr="00FD52EB" w14:paraId="072BF0DE" w14:textId="77777777" w:rsidTr="00BE6252">
        <w:trPr>
          <w:trHeight w:val="288"/>
        </w:trPr>
        <w:tc>
          <w:tcPr>
            <w:tcW w:w="3960" w:type="dxa"/>
            <w:noWrap/>
            <w:hideMark/>
          </w:tcPr>
          <w:p w14:paraId="182125E3" w14:textId="77777777" w:rsidR="00BE6252" w:rsidRPr="00FD52EB" w:rsidRDefault="00BE6252" w:rsidP="00BE6252">
            <w:pPr>
              <w:tabs>
                <w:tab w:val="left" w:pos="2983"/>
              </w:tabs>
              <w:spacing w:line="360" w:lineRule="auto"/>
              <w:rPr>
                <w:rFonts w:ascii="Calibri" w:hAnsi="Calibri" w:cs="Calibri"/>
                <w:b/>
                <w:bCs/>
              </w:rPr>
            </w:pPr>
            <w:r w:rsidRPr="00FD52EB">
              <w:rPr>
                <w:rFonts w:ascii="Calibri" w:hAnsi="Calibri" w:cs="Calibri"/>
                <w:b/>
                <w:bCs/>
              </w:rPr>
              <w:t>Times interest earned</w:t>
            </w:r>
            <w:r>
              <w:rPr>
                <w:rFonts w:ascii="Calibri" w:hAnsi="Calibri" w:cs="Calibri"/>
                <w:b/>
                <w:bCs/>
              </w:rPr>
              <w:tab/>
            </w:r>
          </w:p>
        </w:tc>
        <w:tc>
          <w:tcPr>
            <w:tcW w:w="1200" w:type="dxa"/>
            <w:noWrap/>
            <w:hideMark/>
          </w:tcPr>
          <w:p w14:paraId="4AB740C4"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41.688</w:t>
            </w:r>
          </w:p>
        </w:tc>
        <w:tc>
          <w:tcPr>
            <w:tcW w:w="1200" w:type="dxa"/>
            <w:noWrap/>
            <w:hideMark/>
          </w:tcPr>
          <w:p w14:paraId="733C8E18"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40.547</w:t>
            </w:r>
          </w:p>
        </w:tc>
        <w:tc>
          <w:tcPr>
            <w:tcW w:w="1200" w:type="dxa"/>
            <w:noWrap/>
            <w:hideMark/>
          </w:tcPr>
          <w:p w14:paraId="75242853"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22.081</w:t>
            </w:r>
          </w:p>
        </w:tc>
      </w:tr>
      <w:tr w:rsidR="00BE6252" w:rsidRPr="00FD52EB" w14:paraId="72FF49EB" w14:textId="77777777" w:rsidTr="00BE6252">
        <w:trPr>
          <w:trHeight w:val="288"/>
        </w:trPr>
        <w:tc>
          <w:tcPr>
            <w:tcW w:w="3960" w:type="dxa"/>
            <w:noWrap/>
            <w:hideMark/>
          </w:tcPr>
          <w:p w14:paraId="3BC419BD" w14:textId="77777777" w:rsidR="00BE6252" w:rsidRPr="00FD52EB" w:rsidRDefault="00BE6252" w:rsidP="00BE6252">
            <w:pPr>
              <w:spacing w:line="360" w:lineRule="auto"/>
              <w:rPr>
                <w:rFonts w:ascii="Calibri" w:hAnsi="Calibri" w:cs="Calibri"/>
                <w:b/>
                <w:bCs/>
              </w:rPr>
            </w:pPr>
            <w:r w:rsidRPr="00FD52EB">
              <w:rPr>
                <w:rFonts w:ascii="Calibri" w:hAnsi="Calibri" w:cs="Calibri"/>
                <w:b/>
                <w:bCs/>
              </w:rPr>
              <w:t>Debt coverage</w:t>
            </w:r>
          </w:p>
        </w:tc>
        <w:tc>
          <w:tcPr>
            <w:tcW w:w="1200" w:type="dxa"/>
            <w:noWrap/>
            <w:hideMark/>
          </w:tcPr>
          <w:p w14:paraId="6D1C3E20"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0.776</w:t>
            </w:r>
          </w:p>
        </w:tc>
        <w:tc>
          <w:tcPr>
            <w:tcW w:w="1200" w:type="dxa"/>
            <w:noWrap/>
            <w:hideMark/>
          </w:tcPr>
          <w:p w14:paraId="6F8842FD"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0.868</w:t>
            </w:r>
          </w:p>
        </w:tc>
        <w:tc>
          <w:tcPr>
            <w:tcW w:w="1200" w:type="dxa"/>
            <w:noWrap/>
            <w:hideMark/>
          </w:tcPr>
          <w:p w14:paraId="597EDD5E"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0.629</w:t>
            </w:r>
          </w:p>
        </w:tc>
      </w:tr>
      <w:tr w:rsidR="00BE6252" w:rsidRPr="00FD52EB" w14:paraId="24BA9416" w14:textId="77777777" w:rsidTr="00BE6252">
        <w:trPr>
          <w:trHeight w:val="521"/>
        </w:trPr>
        <w:tc>
          <w:tcPr>
            <w:tcW w:w="3960" w:type="dxa"/>
            <w:noWrap/>
            <w:hideMark/>
          </w:tcPr>
          <w:p w14:paraId="46C3B65B" w14:textId="77777777" w:rsidR="00BE6252" w:rsidRPr="00FD52EB" w:rsidRDefault="00BE6252" w:rsidP="00BE6252">
            <w:pPr>
              <w:spacing w:line="360" w:lineRule="auto"/>
              <w:rPr>
                <w:rFonts w:ascii="Calibri" w:hAnsi="Calibri" w:cs="Calibri"/>
                <w:b/>
                <w:bCs/>
              </w:rPr>
            </w:pPr>
            <w:r w:rsidRPr="00FD52EB">
              <w:rPr>
                <w:rFonts w:ascii="Calibri" w:hAnsi="Calibri" w:cs="Calibri"/>
                <w:b/>
                <w:bCs/>
              </w:rPr>
              <w:t>Free cash flow (FCFE) per share</w:t>
            </w:r>
          </w:p>
        </w:tc>
        <w:tc>
          <w:tcPr>
            <w:tcW w:w="1200" w:type="dxa"/>
            <w:noWrap/>
            <w:hideMark/>
          </w:tcPr>
          <w:p w14:paraId="5D378FCF"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1.540</w:t>
            </w:r>
          </w:p>
        </w:tc>
        <w:tc>
          <w:tcPr>
            <w:tcW w:w="1200" w:type="dxa"/>
            <w:noWrap/>
            <w:hideMark/>
          </w:tcPr>
          <w:p w14:paraId="3794CE5E"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2.151</w:t>
            </w:r>
          </w:p>
        </w:tc>
        <w:tc>
          <w:tcPr>
            <w:tcW w:w="1200" w:type="dxa"/>
            <w:noWrap/>
            <w:hideMark/>
          </w:tcPr>
          <w:p w14:paraId="62BDC1A4" w14:textId="77777777" w:rsidR="00BE6252" w:rsidRPr="00FD52EB" w:rsidRDefault="00BE6252" w:rsidP="00BE6252">
            <w:pPr>
              <w:spacing w:line="360" w:lineRule="auto"/>
              <w:jc w:val="center"/>
              <w:rPr>
                <w:rFonts w:ascii="Calibri" w:hAnsi="Calibri" w:cs="Calibri"/>
              </w:rPr>
            </w:pPr>
            <w:r w:rsidRPr="00FD52EB">
              <w:rPr>
                <w:rFonts w:ascii="Calibri" w:hAnsi="Calibri" w:cs="Calibri"/>
              </w:rPr>
              <w:t>2.293</w:t>
            </w:r>
          </w:p>
        </w:tc>
      </w:tr>
    </w:tbl>
    <w:p w14:paraId="7B7A30AD" w14:textId="77777777" w:rsidR="00FD52EB" w:rsidRDefault="00FD52EB" w:rsidP="0034054D">
      <w:pPr>
        <w:spacing w:line="360" w:lineRule="auto"/>
        <w:rPr>
          <w:rFonts w:ascii="Times New Roman" w:hAnsi="Times New Roman" w:cs="Times New Roman"/>
          <w:b/>
          <w:bCs/>
        </w:rPr>
      </w:pPr>
    </w:p>
    <w:p w14:paraId="36679CFD" w14:textId="77777777" w:rsidR="00FD52EB" w:rsidRPr="00321A00" w:rsidRDefault="00FD52EB" w:rsidP="0034054D">
      <w:pPr>
        <w:spacing w:line="360" w:lineRule="auto"/>
        <w:rPr>
          <w:rFonts w:ascii="Times New Roman" w:hAnsi="Times New Roman" w:cs="Times New Roman"/>
          <w:b/>
          <w:bCs/>
        </w:rPr>
      </w:pPr>
    </w:p>
    <w:p w14:paraId="6B7B5A89" w14:textId="77777777" w:rsidR="00321A00" w:rsidRDefault="00321A00" w:rsidP="0034054D">
      <w:pPr>
        <w:spacing w:line="360" w:lineRule="auto"/>
        <w:rPr>
          <w:rFonts w:ascii="Times New Roman" w:hAnsi="Times New Roman" w:cs="Times New Roman"/>
        </w:rPr>
      </w:pPr>
    </w:p>
    <w:p w14:paraId="087B1CFE" w14:textId="77777777" w:rsidR="001C5278" w:rsidRDefault="001C5278" w:rsidP="0034054D">
      <w:pPr>
        <w:spacing w:line="360" w:lineRule="auto"/>
        <w:rPr>
          <w:rFonts w:ascii="Times New Roman" w:hAnsi="Times New Roman" w:cs="Times New Roman"/>
        </w:rPr>
      </w:pPr>
    </w:p>
    <w:p w14:paraId="73ED40EC" w14:textId="04B89D2E" w:rsidR="001C5278" w:rsidRDefault="00D45C80" w:rsidP="0034054D">
      <w:pPr>
        <w:spacing w:line="360" w:lineRule="auto"/>
        <w:rPr>
          <w:rFonts w:ascii="Times New Roman" w:hAnsi="Times New Roman" w:cs="Times New Roman"/>
        </w:rPr>
      </w:pPr>
      <w:r>
        <w:rPr>
          <w:rFonts w:ascii="Times New Roman" w:hAnsi="Times New Roman" w:cs="Times New Roman"/>
        </w:rPr>
        <w:t xml:space="preserve">Debt coverage goes down to 0.78 in 2022 even though </w:t>
      </w:r>
      <w:r w:rsidR="00CE70BA">
        <w:rPr>
          <w:rFonts w:ascii="Times New Roman" w:hAnsi="Times New Roman" w:cs="Times New Roman"/>
        </w:rPr>
        <w:t xml:space="preserve">EBIT increases. This is another ratio that shows Apple’s debt growth </w:t>
      </w:r>
      <w:r w:rsidR="005A653F">
        <w:rPr>
          <w:rFonts w:ascii="Times New Roman" w:hAnsi="Times New Roman" w:cs="Times New Roman"/>
        </w:rPr>
        <w:t>is outpacing asset growth</w:t>
      </w:r>
      <w:r w:rsidR="004C257E">
        <w:rPr>
          <w:rFonts w:ascii="Times New Roman" w:hAnsi="Times New Roman" w:cs="Times New Roman"/>
        </w:rPr>
        <w:t xml:space="preserve">. </w:t>
      </w:r>
      <w:r w:rsidR="0089379B">
        <w:rPr>
          <w:rFonts w:ascii="Times New Roman" w:hAnsi="Times New Roman" w:cs="Times New Roman"/>
        </w:rPr>
        <w:t xml:space="preserve">Accounts payable and other current liabilities, not term debt </w:t>
      </w:r>
      <w:r w:rsidR="004E6B9E">
        <w:rPr>
          <w:rFonts w:ascii="Times New Roman" w:hAnsi="Times New Roman" w:cs="Times New Roman"/>
        </w:rPr>
        <w:t>or interest payments, seem to be the main cause of debt coverag</w:t>
      </w:r>
      <w:r w:rsidR="008D195A">
        <w:rPr>
          <w:rFonts w:ascii="Times New Roman" w:hAnsi="Times New Roman" w:cs="Times New Roman"/>
        </w:rPr>
        <w:t xml:space="preserve">e </w:t>
      </w:r>
      <w:r w:rsidR="004E6B9E">
        <w:rPr>
          <w:rFonts w:ascii="Times New Roman" w:hAnsi="Times New Roman" w:cs="Times New Roman"/>
        </w:rPr>
        <w:t>decreasing.</w:t>
      </w:r>
      <w:r w:rsidR="009377E6">
        <w:rPr>
          <w:rFonts w:ascii="Times New Roman" w:hAnsi="Times New Roman" w:cs="Times New Roman"/>
        </w:rPr>
        <w:t xml:space="preserve"> FCFE is affected by this trend although not as much so as </w:t>
      </w:r>
      <w:r w:rsidR="002456CC">
        <w:rPr>
          <w:rFonts w:ascii="Times New Roman" w:hAnsi="Times New Roman" w:cs="Times New Roman"/>
        </w:rPr>
        <w:t xml:space="preserve">the effects of marketable securities as discussed in the </w:t>
      </w:r>
      <w:r w:rsidR="00C97B75">
        <w:rPr>
          <w:rFonts w:ascii="Times New Roman" w:hAnsi="Times New Roman" w:cs="Times New Roman"/>
        </w:rPr>
        <w:t xml:space="preserve">liquidity section. FCFE is also affected by the </w:t>
      </w:r>
      <w:r w:rsidR="000F7FFB">
        <w:rPr>
          <w:rFonts w:ascii="Times New Roman" w:hAnsi="Times New Roman" w:cs="Times New Roman"/>
        </w:rPr>
        <w:t xml:space="preserve">number of shares outstanding which </w:t>
      </w:r>
      <w:r w:rsidR="00673E12">
        <w:rPr>
          <w:rFonts w:ascii="Times New Roman" w:hAnsi="Times New Roman" w:cs="Times New Roman"/>
        </w:rPr>
        <w:t>is affected by Apple’s share repurchases ($89</w:t>
      </w:r>
      <w:r w:rsidR="00F1072E">
        <w:rPr>
          <w:rFonts w:ascii="Times New Roman" w:hAnsi="Times New Roman" w:cs="Times New Roman"/>
        </w:rPr>
        <w:t>.4 million in 2022</w:t>
      </w:r>
      <w:proofErr w:type="gramStart"/>
      <w:r w:rsidR="00F1072E">
        <w:rPr>
          <w:rFonts w:ascii="Times New Roman" w:hAnsi="Times New Roman" w:cs="Times New Roman"/>
        </w:rPr>
        <w:t>)</w:t>
      </w:r>
      <w:proofErr w:type="gramEnd"/>
      <w:r w:rsidR="00F1072E">
        <w:rPr>
          <w:rFonts w:ascii="Times New Roman" w:hAnsi="Times New Roman" w:cs="Times New Roman"/>
        </w:rPr>
        <w:t xml:space="preserve"> but this has not </w:t>
      </w:r>
      <w:r w:rsidR="00B54BAE">
        <w:rPr>
          <w:rFonts w:ascii="Times New Roman" w:hAnsi="Times New Roman" w:cs="Times New Roman"/>
        </w:rPr>
        <w:t xml:space="preserve">led to improving FCFE </w:t>
      </w:r>
      <w:r w:rsidR="000F531D">
        <w:rPr>
          <w:rFonts w:ascii="Times New Roman" w:hAnsi="Times New Roman" w:cs="Times New Roman"/>
        </w:rPr>
        <w:t>as cash flow continues to decrease.</w:t>
      </w:r>
      <w:r w:rsidR="00642673">
        <w:rPr>
          <w:rFonts w:ascii="Times New Roman" w:hAnsi="Times New Roman" w:cs="Times New Roman"/>
        </w:rPr>
        <w:t xml:space="preserve"> Other factors include </w:t>
      </w:r>
      <w:r w:rsidR="003B1510">
        <w:rPr>
          <w:rFonts w:ascii="Times New Roman" w:hAnsi="Times New Roman" w:cs="Times New Roman"/>
        </w:rPr>
        <w:t xml:space="preserve">deferred payments from 2020 and 2021 </w:t>
      </w:r>
      <w:r w:rsidR="00543BC1">
        <w:rPr>
          <w:rFonts w:ascii="Times New Roman" w:hAnsi="Times New Roman" w:cs="Times New Roman"/>
        </w:rPr>
        <w:t>maturing in 2022 (</w:t>
      </w:r>
      <w:r w:rsidR="002A55D4">
        <w:rPr>
          <w:rFonts w:ascii="Times New Roman" w:hAnsi="Times New Roman" w:cs="Times New Roman"/>
        </w:rPr>
        <w:t>deferred income taxes</w:t>
      </w:r>
      <w:r w:rsidR="00632306">
        <w:rPr>
          <w:rFonts w:ascii="Times New Roman" w:hAnsi="Times New Roman" w:cs="Times New Roman"/>
        </w:rPr>
        <w:t xml:space="preserve">, commercial paper etc.) which also </w:t>
      </w:r>
      <w:proofErr w:type="gramStart"/>
      <w:r w:rsidR="00632306">
        <w:rPr>
          <w:rFonts w:ascii="Times New Roman" w:hAnsi="Times New Roman" w:cs="Times New Roman"/>
        </w:rPr>
        <w:t>contributes</w:t>
      </w:r>
      <w:proofErr w:type="gramEnd"/>
      <w:r w:rsidR="00632306">
        <w:rPr>
          <w:rFonts w:ascii="Times New Roman" w:hAnsi="Times New Roman" w:cs="Times New Roman"/>
        </w:rPr>
        <w:t xml:space="preserve"> to less cash flow.</w:t>
      </w:r>
      <w:r w:rsidR="000F531D">
        <w:rPr>
          <w:rFonts w:ascii="Times New Roman" w:hAnsi="Times New Roman" w:cs="Times New Roman"/>
        </w:rPr>
        <w:t xml:space="preserve"> </w:t>
      </w:r>
      <w:r w:rsidR="00054DAE">
        <w:rPr>
          <w:rFonts w:ascii="Times New Roman" w:hAnsi="Times New Roman" w:cs="Times New Roman"/>
        </w:rPr>
        <w:t xml:space="preserve">These solvency ratios further prove that Apple’s ability to cover </w:t>
      </w:r>
      <w:r w:rsidR="004978FD">
        <w:rPr>
          <w:rFonts w:ascii="Times New Roman" w:hAnsi="Times New Roman" w:cs="Times New Roman"/>
        </w:rPr>
        <w:t>current liabilities is decreasing</w:t>
      </w:r>
      <w:r w:rsidR="00FC34BE">
        <w:rPr>
          <w:rFonts w:ascii="Times New Roman" w:hAnsi="Times New Roman" w:cs="Times New Roman"/>
        </w:rPr>
        <w:t>.</w:t>
      </w:r>
    </w:p>
    <w:p w14:paraId="330D1192" w14:textId="77777777" w:rsidR="00FC34BE" w:rsidRDefault="00FC34BE" w:rsidP="0034054D">
      <w:pPr>
        <w:spacing w:line="360" w:lineRule="auto"/>
        <w:rPr>
          <w:rFonts w:ascii="Times New Roman" w:hAnsi="Times New Roman" w:cs="Times New Roman"/>
          <w:b/>
          <w:bCs/>
          <w:sz w:val="32"/>
          <w:szCs w:val="32"/>
        </w:rPr>
      </w:pPr>
      <w:r w:rsidRPr="00FC34BE">
        <w:rPr>
          <w:rFonts w:ascii="Times New Roman" w:hAnsi="Times New Roman" w:cs="Times New Roman"/>
          <w:b/>
          <w:bCs/>
          <w:sz w:val="32"/>
          <w:szCs w:val="32"/>
        </w:rPr>
        <w:t>Asset Utilization</w:t>
      </w:r>
      <w:r>
        <w:rPr>
          <w:rFonts w:ascii="Times New Roman" w:hAnsi="Times New Roman" w:cs="Times New Roman"/>
          <w:b/>
          <w:bCs/>
          <w:sz w:val="32"/>
          <w:szCs w:val="32"/>
        </w:rPr>
        <w:t xml:space="preserve"> Ratios</w:t>
      </w:r>
    </w:p>
    <w:p w14:paraId="7943FB0D" w14:textId="60EF2AD2" w:rsidR="00C2063F" w:rsidRDefault="00C2063F" w:rsidP="0034054D">
      <w:pPr>
        <w:spacing w:line="360" w:lineRule="auto"/>
        <w:rPr>
          <w:rFonts w:ascii="Times New Roman" w:hAnsi="Times New Roman" w:cs="Times New Roman"/>
          <w:b/>
          <w:bCs/>
        </w:rPr>
      </w:pPr>
      <w:r>
        <w:rPr>
          <w:rFonts w:ascii="Times New Roman" w:hAnsi="Times New Roman" w:cs="Times New Roman"/>
          <w:b/>
          <w:bCs/>
        </w:rPr>
        <w:t>Total Asset, Fixed Asset, Inventory Turnover, and ROA</w:t>
      </w:r>
      <w:r w:rsidR="006704C6">
        <w:rPr>
          <w:rFonts w:ascii="Times New Roman" w:hAnsi="Times New Roman" w:cs="Times New Roman"/>
          <w:b/>
          <w:bCs/>
        </w:rPr>
        <w:t xml:space="preserve"> </w:t>
      </w:r>
      <w:r>
        <w:rPr>
          <w:rFonts w:ascii="Times New Roman" w:hAnsi="Times New Roman" w:cs="Times New Roman"/>
          <w:b/>
          <w:bCs/>
        </w:rPr>
        <w:t>Ratios</w:t>
      </w:r>
    </w:p>
    <w:p w14:paraId="53948B20" w14:textId="42ED4441" w:rsidR="005D5F36" w:rsidRPr="0025721F" w:rsidRDefault="00CA0386" w:rsidP="0034054D">
      <w:pPr>
        <w:spacing w:line="360" w:lineRule="auto"/>
        <w:rPr>
          <w:rFonts w:ascii="Times New Roman" w:hAnsi="Times New Roman" w:cs="Times New Roman"/>
        </w:rPr>
      </w:pPr>
      <w:r>
        <w:rPr>
          <w:rFonts w:ascii="Times New Roman" w:hAnsi="Times New Roman" w:cs="Times New Roman"/>
        </w:rPr>
        <w:t xml:space="preserve">Asset </w:t>
      </w:r>
      <w:r w:rsidR="007F2801">
        <w:rPr>
          <w:rFonts w:ascii="Times New Roman" w:hAnsi="Times New Roman" w:cs="Times New Roman"/>
        </w:rPr>
        <w:t>utilization</w:t>
      </w:r>
      <w:r>
        <w:rPr>
          <w:rFonts w:ascii="Times New Roman" w:hAnsi="Times New Roman" w:cs="Times New Roman"/>
        </w:rPr>
        <w:t xml:space="preserve"> </w:t>
      </w:r>
      <w:r w:rsidR="005C6F0F">
        <w:rPr>
          <w:rFonts w:ascii="Times New Roman" w:hAnsi="Times New Roman" w:cs="Times New Roman"/>
        </w:rPr>
        <w:t xml:space="preserve">is improving as Apple reduces spending on assets </w:t>
      </w:r>
      <w:r w:rsidR="007F2801">
        <w:rPr>
          <w:rFonts w:ascii="Times New Roman" w:hAnsi="Times New Roman" w:cs="Times New Roman"/>
        </w:rPr>
        <w:t>while improving</w:t>
      </w:r>
      <w:r w:rsidR="000267BB">
        <w:rPr>
          <w:rFonts w:ascii="Times New Roman" w:hAnsi="Times New Roman" w:cs="Times New Roman"/>
        </w:rPr>
        <w:t xml:space="preserve"> sales and</w:t>
      </w:r>
      <w:r w:rsidR="007F2801">
        <w:rPr>
          <w:rFonts w:ascii="Times New Roman" w:hAnsi="Times New Roman" w:cs="Times New Roman"/>
        </w:rPr>
        <w:t xml:space="preserve"> </w:t>
      </w:r>
      <w:r w:rsidR="000267BB">
        <w:rPr>
          <w:rFonts w:ascii="Times New Roman" w:hAnsi="Times New Roman" w:cs="Times New Roman"/>
        </w:rPr>
        <w:t>net income</w:t>
      </w:r>
      <w:r w:rsidR="007F2801">
        <w:rPr>
          <w:rFonts w:ascii="Times New Roman" w:hAnsi="Times New Roman" w:cs="Times New Roman"/>
        </w:rPr>
        <w:t xml:space="preserve">. </w:t>
      </w:r>
      <w:r w:rsidR="005D5F36">
        <w:rPr>
          <w:rFonts w:ascii="Times New Roman" w:hAnsi="Times New Roman" w:cs="Times New Roman"/>
          <w:b/>
          <w:bCs/>
          <w:sz w:val="32"/>
          <w:szCs w:val="32"/>
        </w:rPr>
        <w:fldChar w:fldCharType="begin"/>
      </w:r>
      <w:r w:rsidR="005D5F36">
        <w:rPr>
          <w:rFonts w:ascii="Times New Roman" w:hAnsi="Times New Roman" w:cs="Times New Roman"/>
          <w:b/>
          <w:bCs/>
          <w:sz w:val="32"/>
          <w:szCs w:val="32"/>
        </w:rPr>
        <w:instrText xml:space="preserve"> LINK Excel.Sheet.12 "https://d.docs.live.net/85228adf12184044/Documents/Quill Training/Task 1 Ratio Calculations.xlsx" "List of Ratios!R36C7:R39C10" \a \f 5 \h  \* MERGEFORMAT </w:instrText>
      </w:r>
      <w:r w:rsidR="005D5F36">
        <w:rPr>
          <w:rFonts w:ascii="Times New Roman" w:hAnsi="Times New Roman" w:cs="Times New Roman"/>
          <w:b/>
          <w:bCs/>
          <w:sz w:val="32"/>
          <w:szCs w:val="32"/>
        </w:rPr>
        <w:fldChar w:fldCharType="separate"/>
      </w:r>
    </w:p>
    <w:tbl>
      <w:tblPr>
        <w:tblStyle w:val="TableGrid"/>
        <w:tblW w:w="7560" w:type="dxa"/>
        <w:tblInd w:w="895" w:type="dxa"/>
        <w:tblLook w:val="04A0" w:firstRow="1" w:lastRow="0" w:firstColumn="1" w:lastColumn="0" w:noHBand="0" w:noVBand="1"/>
      </w:tblPr>
      <w:tblGrid>
        <w:gridCol w:w="3960"/>
        <w:gridCol w:w="1200"/>
        <w:gridCol w:w="1200"/>
        <w:gridCol w:w="1200"/>
      </w:tblGrid>
      <w:tr w:rsidR="005D5F36" w:rsidRPr="005D5F36" w14:paraId="1669A1B4" w14:textId="77777777" w:rsidTr="000267BB">
        <w:trPr>
          <w:trHeight w:val="288"/>
        </w:trPr>
        <w:tc>
          <w:tcPr>
            <w:tcW w:w="3960" w:type="dxa"/>
            <w:noWrap/>
          </w:tcPr>
          <w:p w14:paraId="1C4C0270" w14:textId="77777777" w:rsidR="005D5F36" w:rsidRPr="005D5F36" w:rsidRDefault="005D5F36" w:rsidP="005D5F36">
            <w:pPr>
              <w:spacing w:line="360" w:lineRule="auto"/>
              <w:rPr>
                <w:rFonts w:ascii="Calibri" w:hAnsi="Calibri" w:cs="Calibri"/>
                <w:b/>
                <w:bCs/>
              </w:rPr>
            </w:pPr>
          </w:p>
        </w:tc>
        <w:tc>
          <w:tcPr>
            <w:tcW w:w="1200" w:type="dxa"/>
            <w:noWrap/>
          </w:tcPr>
          <w:p w14:paraId="2B0632F1" w14:textId="7F8A6906" w:rsidR="005D5F36" w:rsidRPr="005D5F36" w:rsidRDefault="005D5F36" w:rsidP="005D5F36">
            <w:pPr>
              <w:spacing w:line="360" w:lineRule="auto"/>
              <w:jc w:val="center"/>
              <w:rPr>
                <w:rFonts w:ascii="Calibri" w:hAnsi="Calibri" w:cs="Calibri"/>
                <w:b/>
                <w:bCs/>
                <w:sz w:val="28"/>
                <w:szCs w:val="28"/>
              </w:rPr>
            </w:pPr>
            <w:r w:rsidRPr="005D5F36">
              <w:rPr>
                <w:rFonts w:ascii="Calibri" w:hAnsi="Calibri" w:cs="Calibri"/>
                <w:b/>
                <w:bCs/>
                <w:sz w:val="28"/>
                <w:szCs w:val="28"/>
              </w:rPr>
              <w:t>2022</w:t>
            </w:r>
          </w:p>
        </w:tc>
        <w:tc>
          <w:tcPr>
            <w:tcW w:w="1200" w:type="dxa"/>
            <w:noWrap/>
          </w:tcPr>
          <w:p w14:paraId="27DD207E" w14:textId="4CAF4972" w:rsidR="005D5F36" w:rsidRPr="005D5F36" w:rsidRDefault="005D5F36" w:rsidP="005D5F36">
            <w:pPr>
              <w:spacing w:line="360" w:lineRule="auto"/>
              <w:jc w:val="center"/>
              <w:rPr>
                <w:rFonts w:ascii="Calibri" w:hAnsi="Calibri" w:cs="Calibri"/>
                <w:b/>
                <w:bCs/>
                <w:sz w:val="28"/>
                <w:szCs w:val="28"/>
              </w:rPr>
            </w:pPr>
            <w:r w:rsidRPr="005D5F36">
              <w:rPr>
                <w:rFonts w:ascii="Calibri" w:hAnsi="Calibri" w:cs="Calibri"/>
                <w:b/>
                <w:bCs/>
                <w:sz w:val="28"/>
                <w:szCs w:val="28"/>
              </w:rPr>
              <w:t>2021</w:t>
            </w:r>
          </w:p>
        </w:tc>
        <w:tc>
          <w:tcPr>
            <w:tcW w:w="1200" w:type="dxa"/>
            <w:noWrap/>
          </w:tcPr>
          <w:p w14:paraId="69344C8D" w14:textId="4D30B840" w:rsidR="005D5F36" w:rsidRPr="005D5F36" w:rsidRDefault="005D5F36" w:rsidP="005D5F36">
            <w:pPr>
              <w:spacing w:line="360" w:lineRule="auto"/>
              <w:jc w:val="center"/>
              <w:rPr>
                <w:rFonts w:ascii="Calibri" w:hAnsi="Calibri" w:cs="Calibri"/>
                <w:b/>
                <w:bCs/>
                <w:sz w:val="28"/>
                <w:szCs w:val="28"/>
              </w:rPr>
            </w:pPr>
            <w:r w:rsidRPr="005D5F36">
              <w:rPr>
                <w:rFonts w:ascii="Calibri" w:hAnsi="Calibri" w:cs="Calibri"/>
                <w:b/>
                <w:bCs/>
                <w:sz w:val="28"/>
                <w:szCs w:val="28"/>
              </w:rPr>
              <w:t>2020</w:t>
            </w:r>
          </w:p>
        </w:tc>
      </w:tr>
      <w:tr w:rsidR="005D5F36" w:rsidRPr="005D5F36" w14:paraId="00F885BB" w14:textId="77777777" w:rsidTr="000267BB">
        <w:trPr>
          <w:trHeight w:val="288"/>
        </w:trPr>
        <w:tc>
          <w:tcPr>
            <w:tcW w:w="3960" w:type="dxa"/>
            <w:noWrap/>
            <w:hideMark/>
          </w:tcPr>
          <w:p w14:paraId="01DE0A41" w14:textId="238F82AA" w:rsidR="005D5F36" w:rsidRPr="005D5F36" w:rsidRDefault="005D5F36" w:rsidP="005D5F36">
            <w:pPr>
              <w:spacing w:line="360" w:lineRule="auto"/>
              <w:rPr>
                <w:rFonts w:ascii="Calibri" w:hAnsi="Calibri" w:cs="Calibri"/>
                <w:b/>
                <w:bCs/>
              </w:rPr>
            </w:pPr>
            <w:r w:rsidRPr="005D5F36">
              <w:rPr>
                <w:rFonts w:ascii="Calibri" w:hAnsi="Calibri" w:cs="Calibri"/>
                <w:b/>
                <w:bCs/>
              </w:rPr>
              <w:t>Total asset turnover</w:t>
            </w:r>
          </w:p>
        </w:tc>
        <w:tc>
          <w:tcPr>
            <w:tcW w:w="1200" w:type="dxa"/>
            <w:noWrap/>
            <w:hideMark/>
          </w:tcPr>
          <w:p w14:paraId="3E3C22C0"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1.118</w:t>
            </w:r>
          </w:p>
        </w:tc>
        <w:tc>
          <w:tcPr>
            <w:tcW w:w="1200" w:type="dxa"/>
            <w:noWrap/>
            <w:hideMark/>
          </w:tcPr>
          <w:p w14:paraId="240DF001"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1.042</w:t>
            </w:r>
          </w:p>
        </w:tc>
        <w:tc>
          <w:tcPr>
            <w:tcW w:w="1200" w:type="dxa"/>
            <w:noWrap/>
            <w:hideMark/>
          </w:tcPr>
          <w:p w14:paraId="45BD0F15"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0.848</w:t>
            </w:r>
          </w:p>
        </w:tc>
      </w:tr>
      <w:tr w:rsidR="006F6121" w:rsidRPr="005D5F36" w14:paraId="1CA51C9C" w14:textId="77777777" w:rsidTr="000267BB">
        <w:trPr>
          <w:trHeight w:val="288"/>
        </w:trPr>
        <w:tc>
          <w:tcPr>
            <w:tcW w:w="3960" w:type="dxa"/>
            <w:noWrap/>
          </w:tcPr>
          <w:p w14:paraId="4A6C619F" w14:textId="4B8EF2CF" w:rsidR="006F6121" w:rsidRPr="005D5F36" w:rsidRDefault="006F6121" w:rsidP="005D5F36">
            <w:pPr>
              <w:spacing w:line="360" w:lineRule="auto"/>
              <w:rPr>
                <w:rFonts w:ascii="Calibri" w:hAnsi="Calibri" w:cs="Calibri"/>
                <w:b/>
                <w:bCs/>
              </w:rPr>
            </w:pPr>
            <w:r>
              <w:rPr>
                <w:rFonts w:ascii="Calibri" w:hAnsi="Calibri" w:cs="Calibri"/>
                <w:b/>
                <w:bCs/>
              </w:rPr>
              <w:t>Current asset turnover</w:t>
            </w:r>
          </w:p>
        </w:tc>
        <w:tc>
          <w:tcPr>
            <w:tcW w:w="1200" w:type="dxa"/>
            <w:noWrap/>
          </w:tcPr>
          <w:p w14:paraId="3AE9FADC" w14:textId="5267A525" w:rsidR="006F6121" w:rsidRPr="005D5F36" w:rsidRDefault="00690FD4" w:rsidP="005D5F36">
            <w:pPr>
              <w:spacing w:line="360" w:lineRule="auto"/>
              <w:jc w:val="center"/>
              <w:rPr>
                <w:rFonts w:ascii="Calibri" w:hAnsi="Calibri" w:cs="Calibri"/>
              </w:rPr>
            </w:pPr>
            <w:r>
              <w:rPr>
                <w:rFonts w:ascii="Calibri" w:hAnsi="Calibri" w:cs="Calibri"/>
              </w:rPr>
              <w:t>2.912</w:t>
            </w:r>
          </w:p>
        </w:tc>
        <w:tc>
          <w:tcPr>
            <w:tcW w:w="1200" w:type="dxa"/>
            <w:noWrap/>
          </w:tcPr>
          <w:p w14:paraId="3D49AB8E" w14:textId="4DE1119A" w:rsidR="006F6121" w:rsidRPr="005D5F36" w:rsidRDefault="00CF0C19" w:rsidP="005D5F36">
            <w:pPr>
              <w:spacing w:line="360" w:lineRule="auto"/>
              <w:jc w:val="center"/>
              <w:rPr>
                <w:rFonts w:ascii="Calibri" w:hAnsi="Calibri" w:cs="Calibri"/>
              </w:rPr>
            </w:pPr>
            <w:r>
              <w:rPr>
                <w:rFonts w:ascii="Calibri" w:hAnsi="Calibri" w:cs="Calibri"/>
              </w:rPr>
              <w:t>2.713</w:t>
            </w:r>
          </w:p>
        </w:tc>
        <w:tc>
          <w:tcPr>
            <w:tcW w:w="1200" w:type="dxa"/>
            <w:noWrap/>
          </w:tcPr>
          <w:p w14:paraId="4E473410" w14:textId="48363DA3" w:rsidR="006F6121" w:rsidRPr="005D5F36" w:rsidRDefault="00CF0C19" w:rsidP="005D5F36">
            <w:pPr>
              <w:spacing w:line="360" w:lineRule="auto"/>
              <w:jc w:val="center"/>
              <w:rPr>
                <w:rFonts w:ascii="Calibri" w:hAnsi="Calibri" w:cs="Calibri"/>
              </w:rPr>
            </w:pPr>
            <w:r>
              <w:rPr>
                <w:rFonts w:ascii="Calibri" w:hAnsi="Calibri" w:cs="Calibri"/>
              </w:rPr>
              <w:t>1.910</w:t>
            </w:r>
          </w:p>
        </w:tc>
      </w:tr>
      <w:tr w:rsidR="005D5F36" w:rsidRPr="005D5F36" w14:paraId="13C24212" w14:textId="77777777" w:rsidTr="000267BB">
        <w:trPr>
          <w:trHeight w:val="288"/>
        </w:trPr>
        <w:tc>
          <w:tcPr>
            <w:tcW w:w="3960" w:type="dxa"/>
            <w:noWrap/>
            <w:hideMark/>
          </w:tcPr>
          <w:p w14:paraId="592EF607" w14:textId="77777777" w:rsidR="005D5F36" w:rsidRPr="005D5F36" w:rsidRDefault="005D5F36" w:rsidP="005D5F36">
            <w:pPr>
              <w:spacing w:line="360" w:lineRule="auto"/>
              <w:rPr>
                <w:rFonts w:ascii="Calibri" w:hAnsi="Calibri" w:cs="Calibri"/>
                <w:b/>
                <w:bCs/>
              </w:rPr>
            </w:pPr>
            <w:r w:rsidRPr="005D5F36">
              <w:rPr>
                <w:rFonts w:ascii="Calibri" w:hAnsi="Calibri" w:cs="Calibri"/>
                <w:b/>
                <w:bCs/>
              </w:rPr>
              <w:t>Fixed asset turnover</w:t>
            </w:r>
          </w:p>
        </w:tc>
        <w:tc>
          <w:tcPr>
            <w:tcW w:w="1200" w:type="dxa"/>
            <w:noWrap/>
            <w:hideMark/>
          </w:tcPr>
          <w:p w14:paraId="79A152FE"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1.814</w:t>
            </w:r>
          </w:p>
        </w:tc>
        <w:tc>
          <w:tcPr>
            <w:tcW w:w="1200" w:type="dxa"/>
            <w:noWrap/>
            <w:hideMark/>
          </w:tcPr>
          <w:p w14:paraId="3CF9C785"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1.692</w:t>
            </w:r>
          </w:p>
        </w:tc>
        <w:tc>
          <w:tcPr>
            <w:tcW w:w="1200" w:type="dxa"/>
            <w:noWrap/>
            <w:hideMark/>
          </w:tcPr>
          <w:p w14:paraId="55680CDC"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1.524</w:t>
            </w:r>
          </w:p>
        </w:tc>
      </w:tr>
      <w:tr w:rsidR="005D5F36" w:rsidRPr="005D5F36" w14:paraId="03865A2E" w14:textId="77777777" w:rsidTr="000267BB">
        <w:trPr>
          <w:trHeight w:val="288"/>
        </w:trPr>
        <w:tc>
          <w:tcPr>
            <w:tcW w:w="3960" w:type="dxa"/>
            <w:noWrap/>
            <w:hideMark/>
          </w:tcPr>
          <w:p w14:paraId="1E6D6077" w14:textId="77777777" w:rsidR="005D5F36" w:rsidRPr="005D5F36" w:rsidRDefault="005D5F36" w:rsidP="005D5F36">
            <w:pPr>
              <w:spacing w:line="360" w:lineRule="auto"/>
              <w:rPr>
                <w:rFonts w:ascii="Calibri" w:hAnsi="Calibri" w:cs="Calibri"/>
                <w:b/>
                <w:bCs/>
              </w:rPr>
            </w:pPr>
            <w:r w:rsidRPr="005D5F36">
              <w:rPr>
                <w:rFonts w:ascii="Calibri" w:hAnsi="Calibri" w:cs="Calibri"/>
                <w:b/>
                <w:bCs/>
              </w:rPr>
              <w:t>Inventory turnover</w:t>
            </w:r>
          </w:p>
        </w:tc>
        <w:tc>
          <w:tcPr>
            <w:tcW w:w="1200" w:type="dxa"/>
            <w:noWrap/>
            <w:hideMark/>
          </w:tcPr>
          <w:p w14:paraId="651A8A59"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45.197</w:t>
            </w:r>
          </w:p>
        </w:tc>
        <w:tc>
          <w:tcPr>
            <w:tcW w:w="1200" w:type="dxa"/>
            <w:noWrap/>
            <w:hideMark/>
          </w:tcPr>
          <w:p w14:paraId="463A5F5C"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32.368</w:t>
            </w:r>
          </w:p>
        </w:tc>
        <w:tc>
          <w:tcPr>
            <w:tcW w:w="1200" w:type="dxa"/>
            <w:noWrap/>
            <w:hideMark/>
          </w:tcPr>
          <w:p w14:paraId="48691CE5"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41.753</w:t>
            </w:r>
          </w:p>
        </w:tc>
      </w:tr>
      <w:tr w:rsidR="005D5F36" w:rsidRPr="005D5F36" w14:paraId="58E12139" w14:textId="77777777" w:rsidTr="000267BB">
        <w:trPr>
          <w:trHeight w:val="288"/>
        </w:trPr>
        <w:tc>
          <w:tcPr>
            <w:tcW w:w="3960" w:type="dxa"/>
            <w:noWrap/>
            <w:hideMark/>
          </w:tcPr>
          <w:p w14:paraId="543E5A25" w14:textId="77777777" w:rsidR="005D5F36" w:rsidRPr="005D5F36" w:rsidRDefault="005D5F36" w:rsidP="005D5F36">
            <w:pPr>
              <w:spacing w:line="360" w:lineRule="auto"/>
              <w:rPr>
                <w:rFonts w:ascii="Calibri" w:hAnsi="Calibri" w:cs="Calibri"/>
                <w:b/>
                <w:bCs/>
              </w:rPr>
            </w:pPr>
            <w:r w:rsidRPr="005D5F36">
              <w:rPr>
                <w:rFonts w:ascii="Calibri" w:hAnsi="Calibri" w:cs="Calibri"/>
                <w:b/>
                <w:bCs/>
              </w:rPr>
              <w:t>Return on assets (ROA)</w:t>
            </w:r>
          </w:p>
        </w:tc>
        <w:tc>
          <w:tcPr>
            <w:tcW w:w="1200" w:type="dxa"/>
            <w:noWrap/>
            <w:hideMark/>
          </w:tcPr>
          <w:p w14:paraId="7715298F"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0.283</w:t>
            </w:r>
          </w:p>
        </w:tc>
        <w:tc>
          <w:tcPr>
            <w:tcW w:w="1200" w:type="dxa"/>
            <w:noWrap/>
            <w:hideMark/>
          </w:tcPr>
          <w:p w14:paraId="01E85747"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0.270</w:t>
            </w:r>
          </w:p>
        </w:tc>
        <w:tc>
          <w:tcPr>
            <w:tcW w:w="1200" w:type="dxa"/>
            <w:noWrap/>
            <w:hideMark/>
          </w:tcPr>
          <w:p w14:paraId="4968E9E0" w14:textId="77777777" w:rsidR="005D5F36" w:rsidRPr="005D5F36" w:rsidRDefault="005D5F36" w:rsidP="005D5F36">
            <w:pPr>
              <w:spacing w:line="360" w:lineRule="auto"/>
              <w:jc w:val="center"/>
              <w:rPr>
                <w:rFonts w:ascii="Calibri" w:hAnsi="Calibri" w:cs="Calibri"/>
              </w:rPr>
            </w:pPr>
            <w:r w:rsidRPr="005D5F36">
              <w:rPr>
                <w:rFonts w:ascii="Calibri" w:hAnsi="Calibri" w:cs="Calibri"/>
              </w:rPr>
              <w:t>0.177</w:t>
            </w:r>
          </w:p>
        </w:tc>
      </w:tr>
    </w:tbl>
    <w:p w14:paraId="1CBA63DE" w14:textId="678F51CF" w:rsidR="003D059B" w:rsidRPr="000753E1" w:rsidRDefault="005D5F36" w:rsidP="0034054D">
      <w:pPr>
        <w:spacing w:line="360" w:lineRule="auto"/>
        <w:rPr>
          <w:rFonts w:ascii="Times New Roman" w:hAnsi="Times New Roman" w:cs="Times New Roman"/>
          <w:b/>
          <w:bCs/>
          <w:sz w:val="32"/>
          <w:szCs w:val="32"/>
        </w:rPr>
      </w:pPr>
      <w:r>
        <w:rPr>
          <w:rFonts w:ascii="Times New Roman" w:hAnsi="Times New Roman" w:cs="Times New Roman"/>
          <w:b/>
          <w:bCs/>
          <w:sz w:val="32"/>
          <w:szCs w:val="32"/>
        </w:rPr>
        <w:lastRenderedPageBreak/>
        <w:fldChar w:fldCharType="end"/>
      </w:r>
      <w:r w:rsidR="0025721F">
        <w:rPr>
          <w:rFonts w:ascii="Times New Roman" w:hAnsi="Times New Roman" w:cs="Times New Roman"/>
        </w:rPr>
        <w:t>These improvements are</w:t>
      </w:r>
      <w:r w:rsidR="00922C9C">
        <w:rPr>
          <w:rFonts w:ascii="Times New Roman" w:hAnsi="Times New Roman" w:cs="Times New Roman"/>
        </w:rPr>
        <w:t xml:space="preserve"> more so</w:t>
      </w:r>
      <w:r w:rsidR="0025721F">
        <w:rPr>
          <w:rFonts w:ascii="Times New Roman" w:hAnsi="Times New Roman" w:cs="Times New Roman"/>
        </w:rPr>
        <w:t xml:space="preserve"> because of Apple’s improved usage of its </w:t>
      </w:r>
      <w:r w:rsidR="00922C9C">
        <w:rPr>
          <w:rFonts w:ascii="Times New Roman" w:hAnsi="Times New Roman" w:cs="Times New Roman"/>
        </w:rPr>
        <w:t xml:space="preserve">current </w:t>
      </w:r>
      <w:r w:rsidR="00682EF9">
        <w:rPr>
          <w:rFonts w:ascii="Times New Roman" w:hAnsi="Times New Roman" w:cs="Times New Roman"/>
        </w:rPr>
        <w:t xml:space="preserve">assets rather than its </w:t>
      </w:r>
      <w:r w:rsidR="00922C9C">
        <w:rPr>
          <w:rFonts w:ascii="Times New Roman" w:hAnsi="Times New Roman" w:cs="Times New Roman"/>
        </w:rPr>
        <w:t>fixed</w:t>
      </w:r>
      <w:r w:rsidR="00682EF9">
        <w:rPr>
          <w:rFonts w:ascii="Times New Roman" w:hAnsi="Times New Roman" w:cs="Times New Roman"/>
        </w:rPr>
        <w:t xml:space="preserve"> assets</w:t>
      </w:r>
      <w:r w:rsidR="00922C9C">
        <w:rPr>
          <w:rFonts w:ascii="Times New Roman" w:hAnsi="Times New Roman" w:cs="Times New Roman"/>
        </w:rPr>
        <w:t xml:space="preserve"> </w:t>
      </w:r>
      <w:r w:rsidR="00CF0C19">
        <w:rPr>
          <w:rFonts w:ascii="Times New Roman" w:hAnsi="Times New Roman" w:cs="Times New Roman"/>
        </w:rPr>
        <w:t>as shown above.</w:t>
      </w:r>
      <w:r w:rsidR="001925FC">
        <w:rPr>
          <w:rFonts w:ascii="Times New Roman" w:hAnsi="Times New Roman" w:cs="Times New Roman"/>
        </w:rPr>
        <w:t xml:space="preserve"> </w:t>
      </w:r>
      <w:r w:rsidR="003F7DF8">
        <w:rPr>
          <w:rFonts w:ascii="Times New Roman" w:hAnsi="Times New Roman" w:cs="Times New Roman"/>
        </w:rPr>
        <w:t xml:space="preserve">Although Apple’s liquidity is decreasing from </w:t>
      </w:r>
      <w:r w:rsidR="00811E1E">
        <w:rPr>
          <w:rFonts w:ascii="Times New Roman" w:hAnsi="Times New Roman" w:cs="Times New Roman"/>
        </w:rPr>
        <w:t xml:space="preserve">selling off </w:t>
      </w:r>
      <w:r w:rsidR="004A0FC4">
        <w:rPr>
          <w:rFonts w:ascii="Times New Roman" w:hAnsi="Times New Roman" w:cs="Times New Roman"/>
        </w:rPr>
        <w:t>marketable securities prior to maturity</w:t>
      </w:r>
      <w:r w:rsidR="00626EF1">
        <w:rPr>
          <w:rFonts w:ascii="Times New Roman" w:hAnsi="Times New Roman" w:cs="Times New Roman"/>
        </w:rPr>
        <w:t xml:space="preserve">, increasing AR, and </w:t>
      </w:r>
      <w:r w:rsidR="00C35C00">
        <w:rPr>
          <w:rFonts w:ascii="Times New Roman" w:hAnsi="Times New Roman" w:cs="Times New Roman"/>
        </w:rPr>
        <w:t>repurchasing larger quantities of stock</w:t>
      </w:r>
      <w:r w:rsidR="00BF31D3">
        <w:rPr>
          <w:rFonts w:ascii="Times New Roman" w:hAnsi="Times New Roman" w:cs="Times New Roman"/>
        </w:rPr>
        <w:t xml:space="preserve">; Apple’s </w:t>
      </w:r>
      <w:r w:rsidR="00592F83">
        <w:rPr>
          <w:rFonts w:ascii="Times New Roman" w:hAnsi="Times New Roman" w:cs="Times New Roman"/>
        </w:rPr>
        <w:t xml:space="preserve">profitability per dollar of assets is increasing despite the loss of liquidity. This </w:t>
      </w:r>
      <w:r w:rsidR="00930F71">
        <w:rPr>
          <w:rFonts w:ascii="Times New Roman" w:hAnsi="Times New Roman" w:cs="Times New Roman"/>
        </w:rPr>
        <w:t xml:space="preserve">is to be expected as Apple is </w:t>
      </w:r>
      <w:r w:rsidR="006B5834">
        <w:rPr>
          <w:rFonts w:ascii="Times New Roman" w:hAnsi="Times New Roman" w:cs="Times New Roman"/>
        </w:rPr>
        <w:t xml:space="preserve">buying fewer assets while simultaneously selling </w:t>
      </w:r>
      <w:r w:rsidR="00690A74">
        <w:rPr>
          <w:rFonts w:ascii="Times New Roman" w:hAnsi="Times New Roman" w:cs="Times New Roman"/>
        </w:rPr>
        <w:t xml:space="preserve">other assets to bring the company back to pre-2020 levels as </w:t>
      </w:r>
      <w:r w:rsidR="00327C5C">
        <w:rPr>
          <w:rFonts w:ascii="Times New Roman" w:hAnsi="Times New Roman" w:cs="Times New Roman"/>
        </w:rPr>
        <w:t>part of its long-term strategy.</w:t>
      </w:r>
      <w:r w:rsidR="00F7722D">
        <w:rPr>
          <w:rFonts w:ascii="Times New Roman" w:hAnsi="Times New Roman" w:cs="Times New Roman"/>
        </w:rPr>
        <w:t xml:space="preserve"> The inventory turnover drop in 2021 was most likely due to </w:t>
      </w:r>
      <w:r w:rsidR="008951B3">
        <w:rPr>
          <w:rFonts w:ascii="Times New Roman" w:hAnsi="Times New Roman" w:cs="Times New Roman"/>
        </w:rPr>
        <w:t>a</w:t>
      </w:r>
      <w:r w:rsidR="003D08BC">
        <w:rPr>
          <w:rFonts w:ascii="Times New Roman" w:hAnsi="Times New Roman" w:cs="Times New Roman"/>
        </w:rPr>
        <w:t xml:space="preserve"> combination of</w:t>
      </w:r>
      <w:r w:rsidR="00F7722D">
        <w:rPr>
          <w:rFonts w:ascii="Times New Roman" w:hAnsi="Times New Roman" w:cs="Times New Roman"/>
        </w:rPr>
        <w:t xml:space="preserve"> </w:t>
      </w:r>
      <w:r w:rsidR="003D08BC">
        <w:rPr>
          <w:rFonts w:ascii="Times New Roman" w:hAnsi="Times New Roman" w:cs="Times New Roman"/>
        </w:rPr>
        <w:t xml:space="preserve">an </w:t>
      </w:r>
      <w:r w:rsidR="00F7722D">
        <w:rPr>
          <w:rFonts w:ascii="Times New Roman" w:hAnsi="Times New Roman" w:cs="Times New Roman"/>
        </w:rPr>
        <w:t>overestimation of demand</w:t>
      </w:r>
      <w:r w:rsidR="003D08BC">
        <w:rPr>
          <w:rFonts w:ascii="Times New Roman" w:hAnsi="Times New Roman" w:cs="Times New Roman"/>
        </w:rPr>
        <w:t xml:space="preserve"> and</w:t>
      </w:r>
      <w:r w:rsidR="006D4C33">
        <w:rPr>
          <w:rFonts w:ascii="Times New Roman" w:hAnsi="Times New Roman" w:cs="Times New Roman"/>
        </w:rPr>
        <w:t xml:space="preserve">/or </w:t>
      </w:r>
      <w:r w:rsidR="00505F6E">
        <w:rPr>
          <w:rFonts w:ascii="Times New Roman" w:hAnsi="Times New Roman" w:cs="Times New Roman"/>
        </w:rPr>
        <w:t>a surplus of older, unsold inventory from 2020</w:t>
      </w:r>
      <w:r w:rsidR="006D7881">
        <w:rPr>
          <w:rFonts w:ascii="Times New Roman" w:hAnsi="Times New Roman" w:cs="Times New Roman"/>
        </w:rPr>
        <w:t xml:space="preserve"> which seems to have been corrected in 2022.</w:t>
      </w:r>
      <w:r w:rsidR="00254DF3">
        <w:rPr>
          <w:rFonts w:ascii="Times New Roman" w:hAnsi="Times New Roman" w:cs="Times New Roman"/>
        </w:rPr>
        <w:t xml:space="preserve"> </w:t>
      </w:r>
      <w:r w:rsidR="009B6F5C">
        <w:rPr>
          <w:rFonts w:ascii="Times New Roman" w:hAnsi="Times New Roman" w:cs="Times New Roman"/>
        </w:rPr>
        <w:t xml:space="preserve">Overall, Apple has successfully </w:t>
      </w:r>
      <w:r w:rsidR="00EA19E2">
        <w:rPr>
          <w:rFonts w:ascii="Times New Roman" w:hAnsi="Times New Roman" w:cs="Times New Roman"/>
        </w:rPr>
        <w:t xml:space="preserve">used fewer assets to generate more profit </w:t>
      </w:r>
      <w:r w:rsidR="006D5487">
        <w:rPr>
          <w:rFonts w:ascii="Times New Roman" w:hAnsi="Times New Roman" w:cs="Times New Roman"/>
        </w:rPr>
        <w:t xml:space="preserve">as asset turnover ratios continue to show positive growth. </w:t>
      </w:r>
      <w:r w:rsidR="00327C5C">
        <w:rPr>
          <w:rFonts w:ascii="Times New Roman" w:hAnsi="Times New Roman" w:cs="Times New Roman"/>
        </w:rPr>
        <w:t xml:space="preserve"> </w:t>
      </w:r>
      <w:r w:rsidR="00CF63D0">
        <w:rPr>
          <w:rFonts w:ascii="Times New Roman" w:hAnsi="Times New Roman" w:cs="Times New Roman"/>
        </w:rPr>
        <w:t xml:space="preserve"> </w:t>
      </w:r>
    </w:p>
    <w:p w14:paraId="11062E60" w14:textId="471077DD" w:rsidR="00FC34BE" w:rsidRPr="004009D1" w:rsidRDefault="004009D1" w:rsidP="0034054D">
      <w:pPr>
        <w:spacing w:line="360" w:lineRule="auto"/>
        <w:rPr>
          <w:rFonts w:ascii="Times New Roman" w:hAnsi="Times New Roman" w:cs="Times New Roman"/>
          <w:b/>
          <w:bCs/>
          <w:sz w:val="32"/>
          <w:szCs w:val="32"/>
        </w:rPr>
      </w:pPr>
      <w:r w:rsidRPr="004009D1">
        <w:rPr>
          <w:rFonts w:ascii="Times New Roman" w:hAnsi="Times New Roman" w:cs="Times New Roman"/>
          <w:b/>
          <w:bCs/>
          <w:sz w:val="32"/>
          <w:szCs w:val="32"/>
        </w:rPr>
        <w:t>Market Ratios:</w:t>
      </w:r>
    </w:p>
    <w:p w14:paraId="2EBFA973" w14:textId="4EE30283" w:rsidR="00FC34BE" w:rsidRDefault="004009D1" w:rsidP="0034054D">
      <w:pPr>
        <w:spacing w:line="360" w:lineRule="auto"/>
        <w:rPr>
          <w:rFonts w:ascii="Times New Roman" w:hAnsi="Times New Roman" w:cs="Times New Roman"/>
          <w:b/>
          <w:bCs/>
        </w:rPr>
      </w:pPr>
      <w:r>
        <w:rPr>
          <w:rFonts w:ascii="Times New Roman" w:hAnsi="Times New Roman" w:cs="Times New Roman"/>
          <w:b/>
          <w:bCs/>
        </w:rPr>
        <w:t xml:space="preserve">Price-to-Equity, </w:t>
      </w:r>
      <w:r w:rsidR="00B57C4F">
        <w:rPr>
          <w:rFonts w:ascii="Times New Roman" w:hAnsi="Times New Roman" w:cs="Times New Roman"/>
          <w:b/>
          <w:bCs/>
        </w:rPr>
        <w:t>Price-to-Book Ratios</w:t>
      </w:r>
    </w:p>
    <w:p w14:paraId="7AB1A899" w14:textId="49E3BDC1" w:rsidR="00B57C4F" w:rsidRPr="00B57C4F" w:rsidRDefault="002700CB" w:rsidP="0034054D">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14:anchorId="039EBE79" wp14:editId="34E213A9">
            <wp:simplePos x="0" y="0"/>
            <wp:positionH relativeFrom="margin">
              <wp:posOffset>303530</wp:posOffset>
            </wp:positionH>
            <wp:positionV relativeFrom="paragraph">
              <wp:posOffset>1046027</wp:posOffset>
            </wp:positionV>
            <wp:extent cx="5050790" cy="3028950"/>
            <wp:effectExtent l="0" t="0" r="0" b="0"/>
            <wp:wrapTopAndBottom/>
            <wp:docPr id="1221951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0790" cy="3028950"/>
                    </a:xfrm>
                    <a:prstGeom prst="rect">
                      <a:avLst/>
                    </a:prstGeom>
                    <a:noFill/>
                  </pic:spPr>
                </pic:pic>
              </a:graphicData>
            </a:graphic>
            <wp14:sizeRelH relativeFrom="margin">
              <wp14:pctWidth>0</wp14:pctWidth>
            </wp14:sizeRelH>
            <wp14:sizeRelV relativeFrom="margin">
              <wp14:pctHeight>0</wp14:pctHeight>
            </wp14:sizeRelV>
          </wp:anchor>
        </w:drawing>
      </w:r>
      <w:r w:rsidR="003642C8">
        <w:rPr>
          <w:rFonts w:ascii="Times New Roman" w:hAnsi="Times New Roman" w:cs="Times New Roman"/>
        </w:rPr>
        <w:t xml:space="preserve">Apple’s </w:t>
      </w:r>
      <w:r w:rsidR="0097265F">
        <w:rPr>
          <w:rFonts w:ascii="Times New Roman" w:hAnsi="Times New Roman" w:cs="Times New Roman"/>
        </w:rPr>
        <w:t xml:space="preserve">price-to-equity (P/E) </w:t>
      </w:r>
      <w:r w:rsidR="00C36767">
        <w:rPr>
          <w:rFonts w:ascii="Times New Roman" w:hAnsi="Times New Roman" w:cs="Times New Roman"/>
        </w:rPr>
        <w:t>has decreased from 32</w:t>
      </w:r>
      <w:r w:rsidR="00305096">
        <w:rPr>
          <w:rFonts w:ascii="Times New Roman" w:hAnsi="Times New Roman" w:cs="Times New Roman"/>
        </w:rPr>
        <w:t>.7 in 2020 to 24.4 in 2022.</w:t>
      </w:r>
      <w:r w:rsidR="00D2330C">
        <w:rPr>
          <w:rFonts w:ascii="Times New Roman" w:hAnsi="Times New Roman" w:cs="Times New Roman"/>
        </w:rPr>
        <w:t xml:space="preserve"> </w:t>
      </w:r>
      <w:r w:rsidR="0064531E">
        <w:rPr>
          <w:rFonts w:ascii="Times New Roman" w:hAnsi="Times New Roman" w:cs="Times New Roman"/>
        </w:rPr>
        <w:t>As Appl</w:t>
      </w:r>
      <w:r w:rsidR="00A03705">
        <w:rPr>
          <w:rFonts w:ascii="Times New Roman" w:hAnsi="Times New Roman" w:cs="Times New Roman"/>
        </w:rPr>
        <w:t xml:space="preserve">e repurchases shares this </w:t>
      </w:r>
      <w:r w:rsidR="001F0FAB">
        <w:rPr>
          <w:rFonts w:ascii="Times New Roman" w:hAnsi="Times New Roman" w:cs="Times New Roman"/>
        </w:rPr>
        <w:t>will raise EPS (as long as net income increase</w:t>
      </w:r>
      <w:r w:rsidR="005D2DF7">
        <w:rPr>
          <w:rFonts w:ascii="Times New Roman" w:hAnsi="Times New Roman" w:cs="Times New Roman"/>
        </w:rPr>
        <w:t xml:space="preserve">s </w:t>
      </w:r>
      <w:r w:rsidR="001F0FAB">
        <w:rPr>
          <w:rFonts w:ascii="Times New Roman" w:hAnsi="Times New Roman" w:cs="Times New Roman"/>
        </w:rPr>
        <w:t>or remain</w:t>
      </w:r>
      <w:r w:rsidR="005D2DF7">
        <w:rPr>
          <w:rFonts w:ascii="Times New Roman" w:hAnsi="Times New Roman" w:cs="Times New Roman"/>
        </w:rPr>
        <w:t>s</w:t>
      </w:r>
      <w:r w:rsidR="001F0FAB">
        <w:rPr>
          <w:rFonts w:ascii="Times New Roman" w:hAnsi="Times New Roman" w:cs="Times New Roman"/>
        </w:rPr>
        <w:t xml:space="preserve"> constant) </w:t>
      </w:r>
      <w:r w:rsidR="0046496A">
        <w:rPr>
          <w:rFonts w:ascii="Times New Roman" w:hAnsi="Times New Roman" w:cs="Times New Roman"/>
        </w:rPr>
        <w:t>which decreases P/E</w:t>
      </w:r>
      <w:r w:rsidR="005D2DF7">
        <w:rPr>
          <w:rFonts w:ascii="Times New Roman" w:hAnsi="Times New Roman" w:cs="Times New Roman"/>
        </w:rPr>
        <w:t xml:space="preserve">. </w:t>
      </w:r>
    </w:p>
    <w:p w14:paraId="14E86DE6" w14:textId="77777777" w:rsidR="002700CB" w:rsidRDefault="002700CB" w:rsidP="0034054D">
      <w:pPr>
        <w:spacing w:line="360" w:lineRule="auto"/>
        <w:rPr>
          <w:rFonts w:ascii="Times New Roman" w:hAnsi="Times New Roman" w:cs="Times New Roman"/>
        </w:rPr>
      </w:pPr>
    </w:p>
    <w:p w14:paraId="33F70372" w14:textId="4C545780" w:rsidR="005D5F36" w:rsidRPr="00EA0EB3" w:rsidRDefault="00DE6169" w:rsidP="0034054D">
      <w:pPr>
        <w:spacing w:line="360" w:lineRule="auto"/>
        <w:rPr>
          <w:rFonts w:ascii="Times New Roman" w:hAnsi="Times New Roman" w:cs="Times New Roman"/>
        </w:rPr>
      </w:pPr>
      <w:r>
        <w:rPr>
          <w:rFonts w:ascii="Times New Roman" w:hAnsi="Times New Roman" w:cs="Times New Roman"/>
        </w:rPr>
        <w:lastRenderedPageBreak/>
        <w:t xml:space="preserve">Apple’s P/E value going down </w:t>
      </w:r>
      <w:r w:rsidR="000733D4">
        <w:rPr>
          <w:rFonts w:ascii="Times New Roman" w:hAnsi="Times New Roman" w:cs="Times New Roman"/>
        </w:rPr>
        <w:t xml:space="preserve">is a natural consequence </w:t>
      </w:r>
      <w:r w:rsidR="005A76E9">
        <w:rPr>
          <w:rFonts w:ascii="Times New Roman" w:hAnsi="Times New Roman" w:cs="Times New Roman"/>
        </w:rPr>
        <w:t xml:space="preserve">of EPS going up although it is being </w:t>
      </w:r>
      <w:r w:rsidR="00F5248D">
        <w:rPr>
          <w:rFonts w:ascii="Times New Roman" w:hAnsi="Times New Roman" w:cs="Times New Roman"/>
        </w:rPr>
        <w:t xml:space="preserve">pushed </w:t>
      </w:r>
      <w:r w:rsidR="001F4735">
        <w:rPr>
          <w:rFonts w:ascii="Times New Roman" w:hAnsi="Times New Roman" w:cs="Times New Roman"/>
        </w:rPr>
        <w:t>by</w:t>
      </w:r>
      <w:r w:rsidR="00F5248D">
        <w:rPr>
          <w:rFonts w:ascii="Times New Roman" w:hAnsi="Times New Roman" w:cs="Times New Roman"/>
        </w:rPr>
        <w:t xml:space="preserve"> share repurchases rather than net income growth. </w:t>
      </w:r>
      <w:r w:rsidR="00813547">
        <w:rPr>
          <w:rFonts w:ascii="Times New Roman" w:hAnsi="Times New Roman" w:cs="Times New Roman"/>
        </w:rPr>
        <w:t>T</w:t>
      </w:r>
      <w:r w:rsidR="001F4735">
        <w:rPr>
          <w:rFonts w:ascii="Times New Roman" w:hAnsi="Times New Roman" w:cs="Times New Roman"/>
        </w:rPr>
        <w:t xml:space="preserve">his indicates that investors are less willing to </w:t>
      </w:r>
      <w:r w:rsidR="004C3554">
        <w:rPr>
          <w:rFonts w:ascii="Times New Roman" w:hAnsi="Times New Roman" w:cs="Times New Roman"/>
        </w:rPr>
        <w:t xml:space="preserve">pay a premium </w:t>
      </w:r>
      <w:r w:rsidR="00B11876">
        <w:rPr>
          <w:rFonts w:ascii="Times New Roman" w:hAnsi="Times New Roman" w:cs="Times New Roman"/>
        </w:rPr>
        <w:t xml:space="preserve">(approximately $32 invested </w:t>
      </w:r>
      <w:r w:rsidR="00260638">
        <w:rPr>
          <w:rFonts w:ascii="Times New Roman" w:hAnsi="Times New Roman" w:cs="Times New Roman"/>
        </w:rPr>
        <w:t>per actual dollar currently produced in 2020</w:t>
      </w:r>
      <w:r w:rsidR="00B42531">
        <w:rPr>
          <w:rFonts w:ascii="Times New Roman" w:hAnsi="Times New Roman" w:cs="Times New Roman"/>
        </w:rPr>
        <w:t xml:space="preserve"> down to $24 </w:t>
      </w:r>
      <w:r w:rsidR="00524686">
        <w:rPr>
          <w:rFonts w:ascii="Times New Roman" w:hAnsi="Times New Roman" w:cs="Times New Roman"/>
        </w:rPr>
        <w:t>invested in 2022</w:t>
      </w:r>
      <w:r w:rsidR="00260638">
        <w:rPr>
          <w:rFonts w:ascii="Times New Roman" w:hAnsi="Times New Roman" w:cs="Times New Roman"/>
        </w:rPr>
        <w:t>)</w:t>
      </w:r>
      <w:r w:rsidR="004C3554">
        <w:rPr>
          <w:rFonts w:ascii="Times New Roman" w:hAnsi="Times New Roman" w:cs="Times New Roman"/>
        </w:rPr>
        <w:t xml:space="preserve">. </w:t>
      </w:r>
      <w:r w:rsidR="00F856EA">
        <w:rPr>
          <w:rFonts w:ascii="Times New Roman" w:hAnsi="Times New Roman" w:cs="Times New Roman"/>
        </w:rPr>
        <w:t>For a tech company with very large P/E values, this is a negative trend as the market is</w:t>
      </w:r>
      <w:r w:rsidR="00EE3535">
        <w:rPr>
          <w:rFonts w:ascii="Times New Roman" w:hAnsi="Times New Roman" w:cs="Times New Roman"/>
        </w:rPr>
        <w:t xml:space="preserve"> still unsure what Apple is </w:t>
      </w:r>
      <w:r w:rsidR="008D7542">
        <w:rPr>
          <w:rFonts w:ascii="Times New Roman" w:hAnsi="Times New Roman" w:cs="Times New Roman"/>
        </w:rPr>
        <w:t xml:space="preserve">truly worth in the future. </w:t>
      </w:r>
      <w:r w:rsidR="003B3724">
        <w:rPr>
          <w:rFonts w:ascii="Times New Roman" w:hAnsi="Times New Roman" w:cs="Times New Roman"/>
        </w:rPr>
        <w:t>Apple sees this issue</w:t>
      </w:r>
      <w:r w:rsidR="00631098">
        <w:rPr>
          <w:rFonts w:ascii="Times New Roman" w:hAnsi="Times New Roman" w:cs="Times New Roman"/>
        </w:rPr>
        <w:t>,</w:t>
      </w:r>
      <w:r w:rsidR="003B3724">
        <w:rPr>
          <w:rFonts w:ascii="Times New Roman" w:hAnsi="Times New Roman" w:cs="Times New Roman"/>
        </w:rPr>
        <w:t xml:space="preserve"> which is one of the reasons why they are pursuing a more aggressive </w:t>
      </w:r>
      <w:r w:rsidR="00FC1A0E">
        <w:rPr>
          <w:rFonts w:ascii="Times New Roman" w:hAnsi="Times New Roman" w:cs="Times New Roman"/>
        </w:rPr>
        <w:t xml:space="preserve">stock buyback program to boost EPS and attract more investors. </w:t>
      </w:r>
      <w:r w:rsidR="008D7542">
        <w:rPr>
          <w:rFonts w:ascii="Times New Roman" w:hAnsi="Times New Roman" w:cs="Times New Roman"/>
        </w:rPr>
        <w:t>As far as price-to-book</w:t>
      </w:r>
      <w:r w:rsidR="00A567FC">
        <w:rPr>
          <w:rFonts w:ascii="Times New Roman" w:hAnsi="Times New Roman" w:cs="Times New Roman"/>
        </w:rPr>
        <w:t xml:space="preserve">-value (PBV) is concerned, it is basically a nonfactor. Apple is </w:t>
      </w:r>
      <w:r w:rsidR="00C0544A">
        <w:rPr>
          <w:rFonts w:ascii="Times New Roman" w:hAnsi="Times New Roman" w:cs="Times New Roman"/>
        </w:rPr>
        <w:t xml:space="preserve">still a </w:t>
      </w:r>
      <w:r w:rsidR="0018266F">
        <w:rPr>
          <w:rFonts w:ascii="Times New Roman" w:hAnsi="Times New Roman" w:cs="Times New Roman"/>
        </w:rPr>
        <w:t xml:space="preserve">large, </w:t>
      </w:r>
      <w:r w:rsidR="00C0544A">
        <w:rPr>
          <w:rFonts w:ascii="Times New Roman" w:hAnsi="Times New Roman" w:cs="Times New Roman"/>
        </w:rPr>
        <w:t xml:space="preserve">growing tech </w:t>
      </w:r>
      <w:r w:rsidR="00061154">
        <w:rPr>
          <w:rFonts w:ascii="Times New Roman" w:hAnsi="Times New Roman" w:cs="Times New Roman"/>
        </w:rPr>
        <w:t>company</w:t>
      </w:r>
      <w:r w:rsidR="00C0544A">
        <w:rPr>
          <w:rFonts w:ascii="Times New Roman" w:hAnsi="Times New Roman" w:cs="Times New Roman"/>
        </w:rPr>
        <w:t xml:space="preserve"> whose value is </w:t>
      </w:r>
      <w:proofErr w:type="gramStart"/>
      <w:r w:rsidR="00C0544A">
        <w:rPr>
          <w:rFonts w:ascii="Times New Roman" w:hAnsi="Times New Roman" w:cs="Times New Roman"/>
        </w:rPr>
        <w:t>weighted</w:t>
      </w:r>
      <w:proofErr w:type="gramEnd"/>
      <w:r w:rsidR="00C0544A">
        <w:rPr>
          <w:rFonts w:ascii="Times New Roman" w:hAnsi="Times New Roman" w:cs="Times New Roman"/>
        </w:rPr>
        <w:t xml:space="preserve"> on its future and not its present. </w:t>
      </w:r>
      <w:r w:rsidR="00061154">
        <w:rPr>
          <w:rFonts w:ascii="Times New Roman" w:hAnsi="Times New Roman" w:cs="Times New Roman"/>
        </w:rPr>
        <w:t xml:space="preserve">The book value of most of Apple’s assets </w:t>
      </w:r>
      <w:r w:rsidR="00EE5473">
        <w:rPr>
          <w:rFonts w:ascii="Times New Roman" w:hAnsi="Times New Roman" w:cs="Times New Roman"/>
        </w:rPr>
        <w:t>is not consistent with its market value</w:t>
      </w:r>
      <w:r w:rsidR="00BC3788">
        <w:rPr>
          <w:rFonts w:ascii="Times New Roman" w:hAnsi="Times New Roman" w:cs="Times New Roman"/>
        </w:rPr>
        <w:t xml:space="preserve"> and should be considered irrelevant. </w:t>
      </w:r>
    </w:p>
    <w:p w14:paraId="4C93290E" w14:textId="28E47AA8" w:rsidR="005D5F36" w:rsidRDefault="00C17848" w:rsidP="0034054D">
      <w:pPr>
        <w:spacing w:line="360" w:lineRule="auto"/>
        <w:rPr>
          <w:rFonts w:ascii="Times New Roman" w:hAnsi="Times New Roman" w:cs="Times New Roman"/>
          <w:b/>
          <w:bCs/>
        </w:rPr>
      </w:pPr>
      <w:r>
        <w:rPr>
          <w:rFonts w:ascii="Times New Roman" w:hAnsi="Times New Roman" w:cs="Times New Roman"/>
          <w:b/>
          <w:bCs/>
        </w:rPr>
        <w:t xml:space="preserve">Dividend </w:t>
      </w:r>
      <w:r w:rsidR="009F6A95">
        <w:rPr>
          <w:rFonts w:ascii="Times New Roman" w:hAnsi="Times New Roman" w:cs="Times New Roman"/>
          <w:b/>
          <w:bCs/>
        </w:rPr>
        <w:t>Payout, Dividend Yield Ratios</w:t>
      </w:r>
    </w:p>
    <w:p w14:paraId="60A34FB4" w14:textId="77777777" w:rsidR="00912C20" w:rsidRDefault="00912C20" w:rsidP="0034054D">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22098512" wp14:editId="68465020">
            <wp:simplePos x="0" y="0"/>
            <wp:positionH relativeFrom="margin">
              <wp:align>center</wp:align>
            </wp:positionH>
            <wp:positionV relativeFrom="paragraph">
              <wp:posOffset>1289322</wp:posOffset>
            </wp:positionV>
            <wp:extent cx="5377180" cy="3169920"/>
            <wp:effectExtent l="0" t="0" r="0" b="0"/>
            <wp:wrapTopAndBottom/>
            <wp:docPr id="6143917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7180" cy="3169920"/>
                    </a:xfrm>
                    <a:prstGeom prst="rect">
                      <a:avLst/>
                    </a:prstGeom>
                    <a:noFill/>
                  </pic:spPr>
                </pic:pic>
              </a:graphicData>
            </a:graphic>
          </wp:anchor>
        </w:drawing>
      </w:r>
      <w:r w:rsidR="00952FCB">
        <w:rPr>
          <w:rFonts w:ascii="Times New Roman" w:hAnsi="Times New Roman" w:cs="Times New Roman"/>
        </w:rPr>
        <w:t xml:space="preserve">Throughout the 2020-2022 </w:t>
      </w:r>
      <w:r w:rsidR="006A1CD0">
        <w:rPr>
          <w:rFonts w:ascii="Times New Roman" w:hAnsi="Times New Roman" w:cs="Times New Roman"/>
        </w:rPr>
        <w:t xml:space="preserve">period, Apple has not cut any dividend payments but has instead increased dividends per share </w:t>
      </w:r>
      <w:r w:rsidR="00F562C3">
        <w:rPr>
          <w:rFonts w:ascii="Times New Roman" w:hAnsi="Times New Roman" w:cs="Times New Roman"/>
        </w:rPr>
        <w:t xml:space="preserve">through mostly through stock buybacks. </w:t>
      </w:r>
      <w:r w:rsidR="004D4D7F">
        <w:rPr>
          <w:rFonts w:ascii="Times New Roman" w:hAnsi="Times New Roman" w:cs="Times New Roman"/>
        </w:rPr>
        <w:t xml:space="preserve">The dividend yield dropped in </w:t>
      </w:r>
      <w:r w:rsidR="00F63D16">
        <w:rPr>
          <w:rFonts w:ascii="Times New Roman" w:hAnsi="Times New Roman" w:cs="Times New Roman"/>
        </w:rPr>
        <w:t>2021</w:t>
      </w:r>
      <w:r w:rsidR="00017FB7">
        <w:rPr>
          <w:rFonts w:ascii="Times New Roman" w:hAnsi="Times New Roman" w:cs="Times New Roman"/>
        </w:rPr>
        <w:t xml:space="preserve"> to .0059</w:t>
      </w:r>
      <w:r w:rsidR="00F24D1E">
        <w:rPr>
          <w:rFonts w:ascii="Times New Roman" w:hAnsi="Times New Roman" w:cs="Times New Roman"/>
        </w:rPr>
        <w:t>0</w:t>
      </w:r>
      <w:r w:rsidR="00F63D16">
        <w:rPr>
          <w:rFonts w:ascii="Times New Roman" w:hAnsi="Times New Roman" w:cs="Times New Roman"/>
        </w:rPr>
        <w:t xml:space="preserve"> </w:t>
      </w:r>
      <w:r w:rsidR="003D6669">
        <w:rPr>
          <w:rFonts w:ascii="Times New Roman" w:hAnsi="Times New Roman" w:cs="Times New Roman"/>
        </w:rPr>
        <w:t>but improved in 2022</w:t>
      </w:r>
      <w:r w:rsidR="00017FB7">
        <w:rPr>
          <w:rFonts w:ascii="Times New Roman" w:hAnsi="Times New Roman" w:cs="Times New Roman"/>
        </w:rPr>
        <w:t xml:space="preserve"> to .0</w:t>
      </w:r>
      <w:r w:rsidR="00F24D1E">
        <w:rPr>
          <w:rFonts w:ascii="Times New Roman" w:hAnsi="Times New Roman" w:cs="Times New Roman"/>
        </w:rPr>
        <w:t>0608</w:t>
      </w:r>
      <w:r w:rsidR="003D6669">
        <w:rPr>
          <w:rFonts w:ascii="Times New Roman" w:hAnsi="Times New Roman" w:cs="Times New Roman"/>
        </w:rPr>
        <w:t xml:space="preserve">. This indicates that </w:t>
      </w:r>
      <w:r w:rsidR="002C1B6F">
        <w:rPr>
          <w:rFonts w:ascii="Times New Roman" w:hAnsi="Times New Roman" w:cs="Times New Roman"/>
        </w:rPr>
        <w:t>even though stock price is increasing</w:t>
      </w:r>
      <w:r w:rsidR="00FE7659">
        <w:rPr>
          <w:rFonts w:ascii="Times New Roman" w:hAnsi="Times New Roman" w:cs="Times New Roman"/>
        </w:rPr>
        <w:t>,</w:t>
      </w:r>
      <w:r w:rsidR="002C1B6F">
        <w:rPr>
          <w:rFonts w:ascii="Times New Roman" w:hAnsi="Times New Roman" w:cs="Times New Roman"/>
        </w:rPr>
        <w:t xml:space="preserve"> (which leads to a natural drop in the dividend yield) </w:t>
      </w:r>
      <w:r w:rsidR="000E1417">
        <w:rPr>
          <w:rFonts w:ascii="Times New Roman" w:hAnsi="Times New Roman" w:cs="Times New Roman"/>
        </w:rPr>
        <w:t xml:space="preserve">Apple has increased returns to investors based solely </w:t>
      </w:r>
      <w:r w:rsidR="00FE7659">
        <w:rPr>
          <w:rFonts w:ascii="Times New Roman" w:hAnsi="Times New Roman" w:cs="Times New Roman"/>
        </w:rPr>
        <w:t>off</w:t>
      </w:r>
      <w:r w:rsidR="000E1417">
        <w:rPr>
          <w:rFonts w:ascii="Times New Roman" w:hAnsi="Times New Roman" w:cs="Times New Roman"/>
        </w:rPr>
        <w:t xml:space="preserve"> dividends.</w:t>
      </w:r>
      <w:r w:rsidR="009612AC">
        <w:rPr>
          <w:rFonts w:ascii="Times New Roman" w:hAnsi="Times New Roman" w:cs="Times New Roman"/>
        </w:rPr>
        <w:t xml:space="preserve"> </w:t>
      </w:r>
    </w:p>
    <w:p w14:paraId="4711B896" w14:textId="77777777" w:rsidR="00912C20" w:rsidRDefault="00912C20" w:rsidP="0034054D">
      <w:pPr>
        <w:spacing w:line="360" w:lineRule="auto"/>
        <w:rPr>
          <w:rFonts w:ascii="Times New Roman" w:hAnsi="Times New Roman" w:cs="Times New Roman"/>
        </w:rPr>
      </w:pPr>
    </w:p>
    <w:p w14:paraId="55371B27" w14:textId="291E8A19" w:rsidR="009F6A95" w:rsidRDefault="009612AC" w:rsidP="0034054D">
      <w:pPr>
        <w:spacing w:line="360" w:lineRule="auto"/>
        <w:rPr>
          <w:rFonts w:ascii="Times New Roman" w:hAnsi="Times New Roman" w:cs="Times New Roman"/>
        </w:rPr>
      </w:pPr>
      <w:r>
        <w:rPr>
          <w:rFonts w:ascii="Times New Roman" w:hAnsi="Times New Roman" w:cs="Times New Roman"/>
        </w:rPr>
        <w:lastRenderedPageBreak/>
        <w:t xml:space="preserve">While Apple has improved </w:t>
      </w:r>
      <w:r w:rsidR="00912C20">
        <w:rPr>
          <w:rFonts w:ascii="Times New Roman" w:hAnsi="Times New Roman" w:cs="Times New Roman"/>
        </w:rPr>
        <w:t>dividend returns</w:t>
      </w:r>
      <w:r w:rsidR="00AE116E">
        <w:rPr>
          <w:rFonts w:ascii="Times New Roman" w:hAnsi="Times New Roman" w:cs="Times New Roman"/>
        </w:rPr>
        <w:t xml:space="preserve">, </w:t>
      </w:r>
      <w:r w:rsidR="008C2CD9">
        <w:rPr>
          <w:rFonts w:ascii="Times New Roman" w:hAnsi="Times New Roman" w:cs="Times New Roman"/>
        </w:rPr>
        <w:t>the payout ratio shows that dividend</w:t>
      </w:r>
      <w:r w:rsidR="005D660D">
        <w:rPr>
          <w:rFonts w:ascii="Times New Roman" w:hAnsi="Times New Roman" w:cs="Times New Roman"/>
        </w:rPr>
        <w:t xml:space="preserve"> payments to investors </w:t>
      </w:r>
      <w:r w:rsidR="008C2CD9">
        <w:rPr>
          <w:rFonts w:ascii="Times New Roman" w:hAnsi="Times New Roman" w:cs="Times New Roman"/>
        </w:rPr>
        <w:t xml:space="preserve">relative to earnings is actually lower in 2022 than it </w:t>
      </w:r>
      <w:r w:rsidR="005D660D">
        <w:rPr>
          <w:rFonts w:ascii="Times New Roman" w:hAnsi="Times New Roman" w:cs="Times New Roman"/>
        </w:rPr>
        <w:t xml:space="preserve">was 2021-2020. </w:t>
      </w:r>
      <w:r w:rsidR="00356F49">
        <w:rPr>
          <w:rFonts w:ascii="Times New Roman" w:hAnsi="Times New Roman" w:cs="Times New Roman"/>
        </w:rPr>
        <w:t>However, this should be seen as a problem</w:t>
      </w:r>
      <w:r w:rsidR="00E5596C">
        <w:rPr>
          <w:rFonts w:ascii="Times New Roman" w:hAnsi="Times New Roman" w:cs="Times New Roman"/>
        </w:rPr>
        <w:t xml:space="preserve"> because</w:t>
      </w:r>
      <w:r w:rsidR="00012973">
        <w:rPr>
          <w:rFonts w:ascii="Times New Roman" w:hAnsi="Times New Roman" w:cs="Times New Roman"/>
        </w:rPr>
        <w:t xml:space="preserve">; </w:t>
      </w:r>
      <w:r w:rsidR="00E5596C">
        <w:rPr>
          <w:rFonts w:ascii="Times New Roman" w:hAnsi="Times New Roman" w:cs="Times New Roman"/>
        </w:rPr>
        <w:t xml:space="preserve">One, </w:t>
      </w:r>
      <w:r w:rsidR="0044551C">
        <w:rPr>
          <w:rFonts w:ascii="Times New Roman" w:hAnsi="Times New Roman" w:cs="Times New Roman"/>
        </w:rPr>
        <w:t>dividends-per-share and the dividend yield are both increasing</w:t>
      </w:r>
      <w:r w:rsidR="00BF76E1">
        <w:rPr>
          <w:rFonts w:ascii="Times New Roman" w:hAnsi="Times New Roman" w:cs="Times New Roman"/>
        </w:rPr>
        <w:t xml:space="preserve"> </w:t>
      </w:r>
      <w:r w:rsidR="00515BEF">
        <w:rPr>
          <w:rFonts w:ascii="Times New Roman" w:hAnsi="Times New Roman" w:cs="Times New Roman"/>
        </w:rPr>
        <w:t>as Apple is increasing dividend payments</w:t>
      </w:r>
      <w:r w:rsidR="00012973">
        <w:rPr>
          <w:rFonts w:ascii="Times New Roman" w:hAnsi="Times New Roman" w:cs="Times New Roman"/>
        </w:rPr>
        <w:t xml:space="preserve">; Two, </w:t>
      </w:r>
      <w:r w:rsidR="00CD522E">
        <w:rPr>
          <w:rFonts w:ascii="Times New Roman" w:hAnsi="Times New Roman" w:cs="Times New Roman"/>
        </w:rPr>
        <w:t xml:space="preserve">Apple is retaining more of its earnings to use on recovery and growth </w:t>
      </w:r>
      <w:r w:rsidR="00F129F9">
        <w:rPr>
          <w:rFonts w:ascii="Times New Roman" w:hAnsi="Times New Roman" w:cs="Times New Roman"/>
        </w:rPr>
        <w:t xml:space="preserve">while still increasing dividend payments. </w:t>
      </w:r>
      <w:proofErr w:type="gramStart"/>
      <w:r w:rsidR="00F129F9">
        <w:rPr>
          <w:rFonts w:ascii="Times New Roman" w:hAnsi="Times New Roman" w:cs="Times New Roman"/>
        </w:rPr>
        <w:t>Both of these</w:t>
      </w:r>
      <w:proofErr w:type="gramEnd"/>
      <w:r w:rsidR="00F129F9">
        <w:rPr>
          <w:rFonts w:ascii="Times New Roman" w:hAnsi="Times New Roman" w:cs="Times New Roman"/>
        </w:rPr>
        <w:t xml:space="preserve"> factors are </w:t>
      </w:r>
      <w:r w:rsidR="007618B1">
        <w:rPr>
          <w:rFonts w:ascii="Times New Roman" w:hAnsi="Times New Roman" w:cs="Times New Roman"/>
        </w:rPr>
        <w:t xml:space="preserve">good signs </w:t>
      </w:r>
      <w:r w:rsidR="00F129F9">
        <w:rPr>
          <w:rFonts w:ascii="Times New Roman" w:hAnsi="Times New Roman" w:cs="Times New Roman"/>
        </w:rPr>
        <w:t>for investors</w:t>
      </w:r>
      <w:r w:rsidR="007618B1">
        <w:rPr>
          <w:rFonts w:ascii="Times New Roman" w:hAnsi="Times New Roman" w:cs="Times New Roman"/>
        </w:rPr>
        <w:t xml:space="preserve"> looking for good returns</w:t>
      </w:r>
      <w:r w:rsidR="00F129F9">
        <w:rPr>
          <w:rFonts w:ascii="Times New Roman" w:hAnsi="Times New Roman" w:cs="Times New Roman"/>
        </w:rPr>
        <w:t xml:space="preserve"> </w:t>
      </w:r>
      <w:r w:rsidR="00324B67">
        <w:rPr>
          <w:rFonts w:ascii="Times New Roman" w:hAnsi="Times New Roman" w:cs="Times New Roman"/>
        </w:rPr>
        <w:t>coupled with Apple’s rising stock price</w:t>
      </w:r>
      <w:r w:rsidR="00752415">
        <w:rPr>
          <w:rFonts w:ascii="Times New Roman" w:hAnsi="Times New Roman" w:cs="Times New Roman"/>
        </w:rPr>
        <w:t>.</w:t>
      </w:r>
    </w:p>
    <w:p w14:paraId="310E4822" w14:textId="046F8F60" w:rsidR="00752415" w:rsidRDefault="00752415" w:rsidP="0034054D">
      <w:pPr>
        <w:spacing w:line="360" w:lineRule="auto"/>
        <w:rPr>
          <w:rFonts w:ascii="Times New Roman" w:hAnsi="Times New Roman" w:cs="Times New Roman"/>
          <w:b/>
          <w:bCs/>
        </w:rPr>
      </w:pPr>
      <w:r>
        <w:rPr>
          <w:rFonts w:ascii="Times New Roman" w:hAnsi="Times New Roman" w:cs="Times New Roman"/>
          <w:b/>
          <w:bCs/>
        </w:rPr>
        <w:t xml:space="preserve">ROE, ROCE, ROA, </w:t>
      </w:r>
      <w:r w:rsidR="00C272B7">
        <w:rPr>
          <w:rFonts w:ascii="Times New Roman" w:hAnsi="Times New Roman" w:cs="Times New Roman"/>
          <w:b/>
          <w:bCs/>
        </w:rPr>
        <w:t>Enterprise Value/EBITDA Ratios</w:t>
      </w:r>
    </w:p>
    <w:p w14:paraId="3F60C700" w14:textId="638F803D" w:rsidR="000637A2" w:rsidRDefault="00F06C84" w:rsidP="0034054D">
      <w:pPr>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4384" behindDoc="0" locked="0" layoutInCell="1" allowOverlap="1" wp14:anchorId="4D7418BC" wp14:editId="10BAB0C5">
            <wp:simplePos x="0" y="0"/>
            <wp:positionH relativeFrom="margin">
              <wp:align>center</wp:align>
            </wp:positionH>
            <wp:positionV relativeFrom="paragraph">
              <wp:posOffset>572951</wp:posOffset>
            </wp:positionV>
            <wp:extent cx="5456555" cy="3091180"/>
            <wp:effectExtent l="0" t="0" r="0" b="0"/>
            <wp:wrapTopAndBottom/>
            <wp:docPr id="12397010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6555" cy="3091180"/>
                    </a:xfrm>
                    <a:prstGeom prst="rect">
                      <a:avLst/>
                    </a:prstGeom>
                    <a:noFill/>
                  </pic:spPr>
                </pic:pic>
              </a:graphicData>
            </a:graphic>
          </wp:anchor>
        </w:drawing>
      </w:r>
      <w:r w:rsidR="003C07BD">
        <w:rPr>
          <w:rFonts w:ascii="Times New Roman" w:hAnsi="Times New Roman" w:cs="Times New Roman"/>
        </w:rPr>
        <w:t xml:space="preserve">Each of the ratios shown below </w:t>
      </w:r>
      <w:r w:rsidR="00EF176E">
        <w:rPr>
          <w:rFonts w:ascii="Times New Roman" w:hAnsi="Times New Roman" w:cs="Times New Roman"/>
        </w:rPr>
        <w:t>are all positive indicators of Apple’s rebound except for enterprise value</w:t>
      </w:r>
      <w:r w:rsidR="00F433D4">
        <w:rPr>
          <w:rFonts w:ascii="Times New Roman" w:hAnsi="Times New Roman" w:cs="Times New Roman"/>
        </w:rPr>
        <w:t xml:space="preserve"> to EBITDA (EV/EBITDA). ROE </w:t>
      </w:r>
      <w:r w:rsidR="00B57232">
        <w:rPr>
          <w:rFonts w:ascii="Times New Roman" w:hAnsi="Times New Roman" w:cs="Times New Roman"/>
        </w:rPr>
        <w:t xml:space="preserve">is </w:t>
      </w:r>
      <w:r w:rsidR="005B3BF8">
        <w:rPr>
          <w:rFonts w:ascii="Times New Roman" w:hAnsi="Times New Roman" w:cs="Times New Roman"/>
        </w:rPr>
        <w:t>improving going from 0.8</w:t>
      </w:r>
      <w:r w:rsidR="000637A2">
        <w:rPr>
          <w:rFonts w:ascii="Times New Roman" w:hAnsi="Times New Roman" w:cs="Times New Roman"/>
        </w:rPr>
        <w:t>8</w:t>
      </w:r>
      <w:r w:rsidR="005B3BF8">
        <w:rPr>
          <w:rFonts w:ascii="Times New Roman" w:hAnsi="Times New Roman" w:cs="Times New Roman"/>
        </w:rPr>
        <w:t xml:space="preserve"> in 2020 </w:t>
      </w:r>
    </w:p>
    <w:p w14:paraId="080EA599" w14:textId="77777777" w:rsidR="000637A2" w:rsidRDefault="000637A2" w:rsidP="0034054D">
      <w:pPr>
        <w:spacing w:line="360" w:lineRule="auto"/>
        <w:rPr>
          <w:rFonts w:ascii="Times New Roman" w:hAnsi="Times New Roman" w:cs="Times New Roman"/>
        </w:rPr>
      </w:pPr>
    </w:p>
    <w:p w14:paraId="01FEA06C" w14:textId="77892C94" w:rsidR="005D5F36" w:rsidRDefault="005B3BF8" w:rsidP="0034054D">
      <w:pPr>
        <w:spacing w:line="360" w:lineRule="auto"/>
        <w:rPr>
          <w:rFonts w:ascii="Times New Roman" w:hAnsi="Times New Roman" w:cs="Times New Roman"/>
        </w:rPr>
      </w:pPr>
      <w:r>
        <w:rPr>
          <w:rFonts w:ascii="Times New Roman" w:hAnsi="Times New Roman" w:cs="Times New Roman"/>
        </w:rPr>
        <w:t xml:space="preserve">to </w:t>
      </w:r>
      <w:r w:rsidR="000637A2">
        <w:rPr>
          <w:rFonts w:ascii="Times New Roman" w:hAnsi="Times New Roman" w:cs="Times New Roman"/>
        </w:rPr>
        <w:t xml:space="preserve">1.97 in 2022 </w:t>
      </w:r>
      <w:r w:rsidR="00680BD1">
        <w:rPr>
          <w:rFonts w:ascii="Times New Roman" w:hAnsi="Times New Roman" w:cs="Times New Roman"/>
        </w:rPr>
        <w:t xml:space="preserve">as total shareholder equity stays relatively the same while net income increases. </w:t>
      </w:r>
      <w:r w:rsidR="006963DF">
        <w:rPr>
          <w:rFonts w:ascii="Times New Roman" w:hAnsi="Times New Roman" w:cs="Times New Roman"/>
        </w:rPr>
        <w:t>Apple is taking on more debt</w:t>
      </w:r>
      <w:r w:rsidR="003F6D84">
        <w:rPr>
          <w:rFonts w:ascii="Times New Roman" w:hAnsi="Times New Roman" w:cs="Times New Roman"/>
        </w:rPr>
        <w:t xml:space="preserve"> as current liabilities start to grow</w:t>
      </w:r>
      <w:r w:rsidR="003A14D7">
        <w:rPr>
          <w:rFonts w:ascii="Times New Roman" w:hAnsi="Times New Roman" w:cs="Times New Roman"/>
        </w:rPr>
        <w:t xml:space="preserve"> which could be overinflating ROE</w:t>
      </w:r>
      <w:r w:rsidR="003F6D84">
        <w:rPr>
          <w:rFonts w:ascii="Times New Roman" w:hAnsi="Times New Roman" w:cs="Times New Roman"/>
        </w:rPr>
        <w:t>, but</w:t>
      </w:r>
      <w:r w:rsidR="00783F61">
        <w:rPr>
          <w:rFonts w:ascii="Times New Roman" w:hAnsi="Times New Roman" w:cs="Times New Roman"/>
        </w:rPr>
        <w:t xml:space="preserve"> only current liabilities </w:t>
      </w:r>
      <w:r w:rsidR="00AF28A4">
        <w:rPr>
          <w:rFonts w:ascii="Times New Roman" w:hAnsi="Times New Roman" w:cs="Times New Roman"/>
        </w:rPr>
        <w:t xml:space="preserve">are substantially growing as term debt and other liabilities stay roughly the same year-over-year. </w:t>
      </w:r>
      <w:r w:rsidR="000D125E">
        <w:rPr>
          <w:rFonts w:ascii="Times New Roman" w:hAnsi="Times New Roman" w:cs="Times New Roman"/>
        </w:rPr>
        <w:t>Not only are h</w:t>
      </w:r>
      <w:r w:rsidR="00A43416">
        <w:rPr>
          <w:rFonts w:ascii="Times New Roman" w:hAnsi="Times New Roman" w:cs="Times New Roman"/>
        </w:rPr>
        <w:t>igher ROE values</w:t>
      </w:r>
      <w:r w:rsidR="00AF28A4">
        <w:rPr>
          <w:rFonts w:ascii="Times New Roman" w:hAnsi="Times New Roman" w:cs="Times New Roman"/>
        </w:rPr>
        <w:t xml:space="preserve"> also</w:t>
      </w:r>
      <w:r w:rsidR="00A43416">
        <w:rPr>
          <w:rFonts w:ascii="Times New Roman" w:hAnsi="Times New Roman" w:cs="Times New Roman"/>
        </w:rPr>
        <w:t xml:space="preserve"> the norm in tech-central companies</w:t>
      </w:r>
      <w:r w:rsidR="000D125E">
        <w:rPr>
          <w:rFonts w:ascii="Times New Roman" w:hAnsi="Times New Roman" w:cs="Times New Roman"/>
        </w:rPr>
        <w:t xml:space="preserve">, </w:t>
      </w:r>
      <w:r w:rsidR="008B4738">
        <w:rPr>
          <w:rFonts w:ascii="Times New Roman" w:hAnsi="Times New Roman" w:cs="Times New Roman"/>
        </w:rPr>
        <w:t>but Apple in 2022 was beating its peers by a fair margin</w:t>
      </w:r>
      <w:r w:rsidR="006054C2">
        <w:rPr>
          <w:rFonts w:ascii="Times New Roman" w:hAnsi="Times New Roman" w:cs="Times New Roman"/>
        </w:rPr>
        <w:t xml:space="preserve"> in ROE. </w:t>
      </w:r>
      <w:r w:rsidR="00CC7762">
        <w:rPr>
          <w:rFonts w:ascii="Times New Roman" w:hAnsi="Times New Roman" w:cs="Times New Roman"/>
        </w:rPr>
        <w:t xml:space="preserve">Apple’s ROE growth is a positive </w:t>
      </w:r>
      <w:r w:rsidR="00024807">
        <w:rPr>
          <w:rFonts w:ascii="Times New Roman" w:hAnsi="Times New Roman" w:cs="Times New Roman"/>
        </w:rPr>
        <w:t xml:space="preserve">indicator of the company’s ability to use smaller amounts of equity to generate large amounts of income. </w:t>
      </w:r>
    </w:p>
    <w:p w14:paraId="2418FDF1" w14:textId="31489FFB" w:rsidR="00024807" w:rsidRPr="00B85DD4" w:rsidRDefault="0045325E" w:rsidP="0034054D">
      <w:pPr>
        <w:spacing w:line="360" w:lineRule="auto"/>
        <w:rPr>
          <w:rFonts w:ascii="Times New Roman" w:hAnsi="Times New Roman" w:cs="Times New Roman"/>
        </w:rPr>
      </w:pPr>
      <w:r>
        <w:rPr>
          <w:rFonts w:ascii="Times New Roman" w:hAnsi="Times New Roman" w:cs="Times New Roman"/>
        </w:rPr>
        <w:lastRenderedPageBreak/>
        <w:t xml:space="preserve">Apple’s </w:t>
      </w:r>
      <w:r w:rsidR="006746EC">
        <w:rPr>
          <w:rFonts w:ascii="Times New Roman" w:hAnsi="Times New Roman" w:cs="Times New Roman"/>
        </w:rPr>
        <w:t xml:space="preserve">return on capital employed (ROCE) values are also increasing </w:t>
      </w:r>
      <w:r w:rsidR="00575AD4">
        <w:rPr>
          <w:rFonts w:ascii="Times New Roman" w:hAnsi="Times New Roman" w:cs="Times New Roman"/>
        </w:rPr>
        <w:t>as operations improve in profitability and efficiency</w:t>
      </w:r>
      <w:r w:rsidR="00081BF7">
        <w:rPr>
          <w:rFonts w:ascii="Times New Roman" w:hAnsi="Times New Roman" w:cs="Times New Roman"/>
        </w:rPr>
        <w:t xml:space="preserve"> although probably due to economies of scale as discussed previously. </w:t>
      </w:r>
      <w:r w:rsidR="009A6573">
        <w:rPr>
          <w:rFonts w:ascii="Times New Roman" w:hAnsi="Times New Roman" w:cs="Times New Roman"/>
        </w:rPr>
        <w:t xml:space="preserve">ROCE </w:t>
      </w:r>
      <w:r w:rsidR="0024362E">
        <w:rPr>
          <w:rFonts w:ascii="Times New Roman" w:hAnsi="Times New Roman" w:cs="Times New Roman"/>
        </w:rPr>
        <w:t xml:space="preserve">is not as high as ROE as it is considering both debt and equity. </w:t>
      </w:r>
      <w:r w:rsidR="00C65C98">
        <w:rPr>
          <w:rFonts w:ascii="Times New Roman" w:hAnsi="Times New Roman" w:cs="Times New Roman"/>
        </w:rPr>
        <w:t xml:space="preserve">While Apple’s use of both debt and equity is improving, </w:t>
      </w:r>
      <w:r w:rsidR="004B0951">
        <w:rPr>
          <w:rFonts w:ascii="Times New Roman" w:hAnsi="Times New Roman" w:cs="Times New Roman"/>
        </w:rPr>
        <w:t xml:space="preserve">its ability to generate </w:t>
      </w:r>
      <w:r w:rsidR="003E560C">
        <w:rPr>
          <w:rFonts w:ascii="Times New Roman" w:hAnsi="Times New Roman" w:cs="Times New Roman"/>
        </w:rPr>
        <w:t xml:space="preserve">earnings based </w:t>
      </w:r>
      <w:proofErr w:type="gramStart"/>
      <w:r w:rsidR="003E560C">
        <w:rPr>
          <w:rFonts w:ascii="Times New Roman" w:hAnsi="Times New Roman" w:cs="Times New Roman"/>
        </w:rPr>
        <w:t>off of</w:t>
      </w:r>
      <w:proofErr w:type="gramEnd"/>
      <w:r w:rsidR="003E560C">
        <w:rPr>
          <w:rFonts w:ascii="Times New Roman" w:hAnsi="Times New Roman" w:cs="Times New Roman"/>
        </w:rPr>
        <w:t xml:space="preserve"> equity is better than its ability to generate earnings off of assets as indicated boy ROCE, ROE, and ROA.</w:t>
      </w:r>
    </w:p>
    <w:p w14:paraId="4F6F633F" w14:textId="605C58D7" w:rsidR="00B85DD4" w:rsidRPr="00FC7BBD" w:rsidRDefault="00FC7BBD" w:rsidP="0034054D">
      <w:pPr>
        <w:spacing w:line="360" w:lineRule="auto"/>
        <w:rPr>
          <w:rFonts w:ascii="Times New Roman" w:hAnsi="Times New Roman" w:cs="Times New Roman"/>
        </w:rPr>
      </w:pPr>
      <w:r>
        <w:rPr>
          <w:rFonts w:ascii="Times New Roman" w:hAnsi="Times New Roman" w:cs="Times New Roman"/>
        </w:rPr>
        <w:t xml:space="preserve">Enterprise value (EV) </w:t>
      </w:r>
      <w:r w:rsidR="001F7384">
        <w:rPr>
          <w:rFonts w:ascii="Times New Roman" w:hAnsi="Times New Roman" w:cs="Times New Roman"/>
        </w:rPr>
        <w:t xml:space="preserve">paints a more accurate picture of what a company is </w:t>
      </w:r>
      <w:proofErr w:type="gramStart"/>
      <w:r w:rsidR="001F7384">
        <w:rPr>
          <w:rFonts w:ascii="Times New Roman" w:hAnsi="Times New Roman" w:cs="Times New Roman"/>
        </w:rPr>
        <w:t>really worth</w:t>
      </w:r>
      <w:proofErr w:type="gramEnd"/>
      <w:r w:rsidR="001F7384">
        <w:rPr>
          <w:rFonts w:ascii="Times New Roman" w:hAnsi="Times New Roman" w:cs="Times New Roman"/>
        </w:rPr>
        <w:t xml:space="preserve"> as it incorporates </w:t>
      </w:r>
      <w:r w:rsidR="00047C21">
        <w:rPr>
          <w:rFonts w:ascii="Times New Roman" w:hAnsi="Times New Roman" w:cs="Times New Roman"/>
        </w:rPr>
        <w:t xml:space="preserve">not only market value, but also debt and cash reserves. </w:t>
      </w:r>
      <w:r w:rsidR="004035CD">
        <w:rPr>
          <w:rFonts w:ascii="Times New Roman" w:hAnsi="Times New Roman" w:cs="Times New Roman"/>
        </w:rPr>
        <w:t>After its 2020 rebound</w:t>
      </w:r>
      <w:r w:rsidR="0007747D">
        <w:rPr>
          <w:rFonts w:ascii="Times New Roman" w:hAnsi="Times New Roman" w:cs="Times New Roman"/>
        </w:rPr>
        <w:t>, Apple’s EV jumped in 2021</w:t>
      </w:r>
      <w:r w:rsidR="0039654C">
        <w:rPr>
          <w:rFonts w:ascii="Times New Roman" w:hAnsi="Times New Roman" w:cs="Times New Roman"/>
        </w:rPr>
        <w:t xml:space="preserve"> but then fell by a small margin in 2022. This is because of Apple’s declining cash reserves</w:t>
      </w:r>
      <w:r w:rsidR="00902102">
        <w:rPr>
          <w:rFonts w:ascii="Times New Roman" w:hAnsi="Times New Roman" w:cs="Times New Roman"/>
        </w:rPr>
        <w:t xml:space="preserve"> used for share buybacks</w:t>
      </w:r>
      <w:r w:rsidR="0039654C">
        <w:rPr>
          <w:rFonts w:ascii="Times New Roman" w:hAnsi="Times New Roman" w:cs="Times New Roman"/>
        </w:rPr>
        <w:t xml:space="preserve"> </w:t>
      </w:r>
      <w:r w:rsidR="0039586D">
        <w:rPr>
          <w:rFonts w:ascii="Times New Roman" w:hAnsi="Times New Roman" w:cs="Times New Roman"/>
        </w:rPr>
        <w:t>as term debt has stayed relatively the same</w:t>
      </w:r>
      <w:r w:rsidR="00902102">
        <w:rPr>
          <w:rFonts w:ascii="Times New Roman" w:hAnsi="Times New Roman" w:cs="Times New Roman"/>
        </w:rPr>
        <w:t xml:space="preserve">. </w:t>
      </w:r>
      <w:r w:rsidR="0039586D">
        <w:rPr>
          <w:rFonts w:ascii="Times New Roman" w:hAnsi="Times New Roman" w:cs="Times New Roman"/>
        </w:rPr>
        <w:t xml:space="preserve"> </w:t>
      </w:r>
    </w:p>
    <w:tbl>
      <w:tblPr>
        <w:tblStyle w:val="TableGrid"/>
        <w:tblpPr w:leftFromText="180" w:rightFromText="180" w:vertAnchor="text" w:horzAnchor="margin" w:tblpXSpec="center" w:tblpY="156"/>
        <w:tblW w:w="7887" w:type="dxa"/>
        <w:tblLook w:val="04A0" w:firstRow="1" w:lastRow="0" w:firstColumn="1" w:lastColumn="0" w:noHBand="0" w:noVBand="1"/>
      </w:tblPr>
      <w:tblGrid>
        <w:gridCol w:w="3960"/>
        <w:gridCol w:w="1309"/>
        <w:gridCol w:w="1309"/>
        <w:gridCol w:w="1309"/>
      </w:tblGrid>
      <w:tr w:rsidR="00C13C49" w:rsidRPr="00B85DD4" w14:paraId="35B840F3" w14:textId="77777777" w:rsidTr="00C13C49">
        <w:trPr>
          <w:trHeight w:val="288"/>
        </w:trPr>
        <w:tc>
          <w:tcPr>
            <w:tcW w:w="3960" w:type="dxa"/>
            <w:noWrap/>
            <w:hideMark/>
          </w:tcPr>
          <w:p w14:paraId="2076897B" w14:textId="77777777" w:rsidR="00C13C49" w:rsidRPr="00B85DD4" w:rsidRDefault="00C13C49" w:rsidP="00C13C49">
            <w:pPr>
              <w:spacing w:line="360" w:lineRule="auto"/>
              <w:rPr>
                <w:rFonts w:ascii="Calibri" w:hAnsi="Calibri" w:cs="Calibri"/>
                <w:b/>
                <w:bCs/>
              </w:rPr>
            </w:pPr>
            <w:r w:rsidRPr="00B85DD4">
              <w:rPr>
                <w:rFonts w:ascii="Calibri" w:hAnsi="Calibri" w:cs="Calibri"/>
                <w:b/>
                <w:bCs/>
              </w:rPr>
              <w:t>Enterprise value to EBITDA</w:t>
            </w:r>
          </w:p>
        </w:tc>
        <w:tc>
          <w:tcPr>
            <w:tcW w:w="1309" w:type="dxa"/>
            <w:noWrap/>
            <w:hideMark/>
          </w:tcPr>
          <w:p w14:paraId="7E84F099" w14:textId="77777777" w:rsidR="00C13C49" w:rsidRPr="00B85DD4" w:rsidRDefault="00C13C49" w:rsidP="00C13C49">
            <w:pPr>
              <w:spacing w:line="360" w:lineRule="auto"/>
              <w:rPr>
                <w:rFonts w:ascii="Calibri" w:hAnsi="Calibri" w:cs="Calibri"/>
              </w:rPr>
            </w:pPr>
            <w:r w:rsidRPr="00B85DD4">
              <w:rPr>
                <w:rFonts w:ascii="Calibri" w:hAnsi="Calibri" w:cs="Calibri"/>
              </w:rPr>
              <w:t>19.349</w:t>
            </w:r>
          </w:p>
        </w:tc>
        <w:tc>
          <w:tcPr>
            <w:tcW w:w="1309" w:type="dxa"/>
            <w:noWrap/>
            <w:hideMark/>
          </w:tcPr>
          <w:p w14:paraId="4D0F1145" w14:textId="77777777" w:rsidR="00C13C49" w:rsidRPr="00B85DD4" w:rsidRDefault="00C13C49" w:rsidP="00C13C49">
            <w:pPr>
              <w:spacing w:line="360" w:lineRule="auto"/>
              <w:rPr>
                <w:rFonts w:ascii="Calibri" w:hAnsi="Calibri" w:cs="Calibri"/>
              </w:rPr>
            </w:pPr>
            <w:r w:rsidRPr="00B85DD4">
              <w:rPr>
                <w:rFonts w:ascii="Calibri" w:hAnsi="Calibri" w:cs="Calibri"/>
              </w:rPr>
              <w:t>21.105</w:t>
            </w:r>
          </w:p>
        </w:tc>
        <w:tc>
          <w:tcPr>
            <w:tcW w:w="1309" w:type="dxa"/>
            <w:noWrap/>
            <w:hideMark/>
          </w:tcPr>
          <w:p w14:paraId="56166F4A" w14:textId="77777777" w:rsidR="00C13C49" w:rsidRPr="00B85DD4" w:rsidRDefault="00C13C49" w:rsidP="00C13C49">
            <w:pPr>
              <w:spacing w:line="360" w:lineRule="auto"/>
              <w:rPr>
                <w:rFonts w:ascii="Calibri" w:hAnsi="Calibri" w:cs="Calibri"/>
              </w:rPr>
            </w:pPr>
            <w:r w:rsidRPr="00B85DD4">
              <w:rPr>
                <w:rFonts w:ascii="Calibri" w:hAnsi="Calibri" w:cs="Calibri"/>
              </w:rPr>
              <w:t>25.177</w:t>
            </w:r>
          </w:p>
        </w:tc>
      </w:tr>
      <w:tr w:rsidR="00C13C49" w:rsidRPr="00B85DD4" w14:paraId="74A4D7BC" w14:textId="77777777" w:rsidTr="00C13C49">
        <w:trPr>
          <w:trHeight w:val="288"/>
        </w:trPr>
        <w:tc>
          <w:tcPr>
            <w:tcW w:w="3960" w:type="dxa"/>
            <w:noWrap/>
            <w:hideMark/>
          </w:tcPr>
          <w:p w14:paraId="78A086A9" w14:textId="77777777" w:rsidR="00C13C49" w:rsidRPr="00B85DD4" w:rsidRDefault="00C13C49" w:rsidP="00C13C49">
            <w:pPr>
              <w:spacing w:line="360" w:lineRule="auto"/>
              <w:rPr>
                <w:rFonts w:ascii="Calibri" w:hAnsi="Calibri" w:cs="Calibri"/>
                <w:b/>
                <w:bCs/>
              </w:rPr>
            </w:pPr>
            <w:r w:rsidRPr="00B85DD4">
              <w:rPr>
                <w:rFonts w:ascii="Calibri" w:hAnsi="Calibri" w:cs="Calibri"/>
                <w:b/>
                <w:bCs/>
              </w:rPr>
              <w:t>Enterprise value (EV)</w:t>
            </w:r>
          </w:p>
        </w:tc>
        <w:tc>
          <w:tcPr>
            <w:tcW w:w="1309" w:type="dxa"/>
            <w:noWrap/>
            <w:hideMark/>
          </w:tcPr>
          <w:p w14:paraId="415B002C" w14:textId="77777777" w:rsidR="00C13C49" w:rsidRPr="00B85DD4" w:rsidRDefault="00C13C49" w:rsidP="00C13C49">
            <w:pPr>
              <w:spacing w:line="360" w:lineRule="auto"/>
              <w:rPr>
                <w:rFonts w:ascii="Calibri" w:hAnsi="Calibri" w:cs="Calibri"/>
              </w:rPr>
            </w:pPr>
            <w:r>
              <w:rPr>
                <w:rFonts w:ascii="Calibri" w:hAnsi="Calibri" w:cs="Calibri"/>
              </w:rPr>
              <w:t>$</w:t>
            </w:r>
            <w:r w:rsidRPr="00B85DD4">
              <w:rPr>
                <w:rFonts w:ascii="Calibri" w:hAnsi="Calibri" w:cs="Calibri"/>
              </w:rPr>
              <w:t xml:space="preserve">2,525,808 </w:t>
            </w:r>
          </w:p>
        </w:tc>
        <w:tc>
          <w:tcPr>
            <w:tcW w:w="1309" w:type="dxa"/>
            <w:noWrap/>
            <w:hideMark/>
          </w:tcPr>
          <w:p w14:paraId="5B227EB6" w14:textId="77777777" w:rsidR="00C13C49" w:rsidRPr="00B85DD4" w:rsidRDefault="00C13C49" w:rsidP="00C13C49">
            <w:pPr>
              <w:spacing w:line="360" w:lineRule="auto"/>
              <w:rPr>
                <w:rFonts w:ascii="Calibri" w:hAnsi="Calibri" w:cs="Calibri"/>
              </w:rPr>
            </w:pPr>
            <w:r>
              <w:rPr>
                <w:rFonts w:ascii="Calibri" w:hAnsi="Calibri" w:cs="Calibri"/>
              </w:rPr>
              <w:t>$</w:t>
            </w:r>
            <w:r w:rsidRPr="00B85DD4">
              <w:rPr>
                <w:rFonts w:ascii="Calibri" w:hAnsi="Calibri" w:cs="Calibri"/>
              </w:rPr>
              <w:t xml:space="preserve">2,537,530 </w:t>
            </w:r>
          </w:p>
        </w:tc>
        <w:tc>
          <w:tcPr>
            <w:tcW w:w="1309" w:type="dxa"/>
            <w:noWrap/>
            <w:hideMark/>
          </w:tcPr>
          <w:p w14:paraId="5563E714" w14:textId="77777777" w:rsidR="00C13C49" w:rsidRPr="00B85DD4" w:rsidRDefault="00C13C49" w:rsidP="00C13C49">
            <w:pPr>
              <w:spacing w:line="360" w:lineRule="auto"/>
              <w:rPr>
                <w:rFonts w:ascii="Calibri" w:hAnsi="Calibri" w:cs="Calibri"/>
              </w:rPr>
            </w:pPr>
            <w:r>
              <w:rPr>
                <w:rFonts w:ascii="Calibri" w:hAnsi="Calibri" w:cs="Calibri"/>
              </w:rPr>
              <w:t>$</w:t>
            </w:r>
            <w:r w:rsidRPr="00B85DD4">
              <w:rPr>
                <w:rFonts w:ascii="Calibri" w:hAnsi="Calibri" w:cs="Calibri"/>
              </w:rPr>
              <w:t xml:space="preserve">1,947,270 </w:t>
            </w:r>
          </w:p>
        </w:tc>
      </w:tr>
    </w:tbl>
    <w:p w14:paraId="2341CE67" w14:textId="3FC6F6B6" w:rsidR="00B85DD4" w:rsidRDefault="00B85DD4" w:rsidP="0034054D">
      <w:pPr>
        <w:spacing w:line="360" w:lineRule="auto"/>
      </w:pPr>
      <w:r>
        <w:rPr>
          <w:rFonts w:ascii="Times New Roman" w:hAnsi="Times New Roman" w:cs="Times New Roman"/>
          <w:b/>
          <w:bCs/>
          <w:sz w:val="32"/>
          <w:szCs w:val="32"/>
        </w:rPr>
        <w:fldChar w:fldCharType="begin"/>
      </w:r>
      <w:r>
        <w:rPr>
          <w:rFonts w:ascii="Times New Roman" w:hAnsi="Times New Roman" w:cs="Times New Roman"/>
          <w:b/>
          <w:bCs/>
          <w:sz w:val="32"/>
          <w:szCs w:val="32"/>
        </w:rPr>
        <w:instrText xml:space="preserve"> LINK Excel.Sheet.12 "https://d.docs.live.net/85228adf12184044/Documents/Quill Training/Task 1 Ratio Calculations.xlsx" "List of Ratios!R52C7:R53C10" \a \f 5 \h  \* MERGEFORMAT </w:instrText>
      </w:r>
      <w:r>
        <w:rPr>
          <w:rFonts w:ascii="Times New Roman" w:hAnsi="Times New Roman" w:cs="Times New Roman"/>
          <w:b/>
          <w:bCs/>
          <w:sz w:val="32"/>
          <w:szCs w:val="32"/>
        </w:rPr>
        <w:fldChar w:fldCharType="separate"/>
      </w:r>
    </w:p>
    <w:p w14:paraId="232BCB21" w14:textId="56BDCA81" w:rsidR="00B85DD4" w:rsidRDefault="00B85DD4" w:rsidP="0034054D">
      <w:pPr>
        <w:spacing w:line="360" w:lineRule="auto"/>
        <w:rPr>
          <w:rFonts w:ascii="Times New Roman" w:hAnsi="Times New Roman" w:cs="Times New Roman"/>
          <w:b/>
          <w:bCs/>
          <w:sz w:val="32"/>
          <w:szCs w:val="32"/>
        </w:rPr>
      </w:pPr>
      <w:r>
        <w:rPr>
          <w:rFonts w:ascii="Times New Roman" w:hAnsi="Times New Roman" w:cs="Times New Roman"/>
          <w:b/>
          <w:bCs/>
          <w:sz w:val="32"/>
          <w:szCs w:val="32"/>
        </w:rPr>
        <w:fldChar w:fldCharType="end"/>
      </w:r>
    </w:p>
    <w:p w14:paraId="432FD46D" w14:textId="624CF595" w:rsidR="00C13C49" w:rsidRDefault="00FC2972" w:rsidP="0034054D">
      <w:pPr>
        <w:spacing w:line="360" w:lineRule="auto"/>
        <w:rPr>
          <w:rFonts w:ascii="Times New Roman" w:hAnsi="Times New Roman" w:cs="Times New Roman"/>
        </w:rPr>
      </w:pPr>
      <w:r>
        <w:rPr>
          <w:rFonts w:ascii="Times New Roman" w:hAnsi="Times New Roman" w:cs="Times New Roman"/>
        </w:rPr>
        <w:t xml:space="preserve">When examining the </w:t>
      </w:r>
      <w:r w:rsidR="00F8387A">
        <w:rPr>
          <w:rFonts w:ascii="Times New Roman" w:hAnsi="Times New Roman" w:cs="Times New Roman"/>
        </w:rPr>
        <w:t>EV/EBITDA</w:t>
      </w:r>
      <w:r w:rsidR="00556F21">
        <w:rPr>
          <w:rFonts w:ascii="Times New Roman" w:hAnsi="Times New Roman" w:cs="Times New Roman"/>
        </w:rPr>
        <w:t xml:space="preserve"> multiple, </w:t>
      </w:r>
      <w:r w:rsidR="009A742C">
        <w:rPr>
          <w:rFonts w:ascii="Times New Roman" w:hAnsi="Times New Roman" w:cs="Times New Roman"/>
        </w:rPr>
        <w:t xml:space="preserve">the decrease could be looked at as negative as a lower multiple can lead to a lower valuation of the company. </w:t>
      </w:r>
      <w:r w:rsidR="00F657E9">
        <w:rPr>
          <w:rFonts w:ascii="Times New Roman" w:hAnsi="Times New Roman" w:cs="Times New Roman"/>
        </w:rPr>
        <w:t xml:space="preserve">This means that investors in 2020 were more willing to “overpay” </w:t>
      </w:r>
      <w:r w:rsidR="003135AB">
        <w:rPr>
          <w:rFonts w:ascii="Times New Roman" w:hAnsi="Times New Roman" w:cs="Times New Roman"/>
        </w:rPr>
        <w:t xml:space="preserve">for a piece of Apple than they are in 2022. </w:t>
      </w:r>
      <w:r w:rsidR="009672B1">
        <w:rPr>
          <w:rFonts w:ascii="Times New Roman" w:hAnsi="Times New Roman" w:cs="Times New Roman"/>
        </w:rPr>
        <w:t xml:space="preserve">However, this decrease could be a </w:t>
      </w:r>
      <w:r w:rsidR="00337370">
        <w:rPr>
          <w:rFonts w:ascii="Times New Roman" w:hAnsi="Times New Roman" w:cs="Times New Roman"/>
        </w:rPr>
        <w:t xml:space="preserve">more truthful reflection of how much the company is </w:t>
      </w:r>
      <w:proofErr w:type="gramStart"/>
      <w:r w:rsidR="00337370">
        <w:rPr>
          <w:rFonts w:ascii="Times New Roman" w:hAnsi="Times New Roman" w:cs="Times New Roman"/>
        </w:rPr>
        <w:t>actually worth</w:t>
      </w:r>
      <w:proofErr w:type="gramEnd"/>
      <w:r w:rsidR="00337370">
        <w:rPr>
          <w:rFonts w:ascii="Times New Roman" w:hAnsi="Times New Roman" w:cs="Times New Roman"/>
        </w:rPr>
        <w:t xml:space="preserve"> after </w:t>
      </w:r>
      <w:r w:rsidR="00766966">
        <w:rPr>
          <w:rFonts w:ascii="Times New Roman" w:hAnsi="Times New Roman" w:cs="Times New Roman"/>
        </w:rPr>
        <w:t xml:space="preserve">taking a heavy hit in 2020. </w:t>
      </w:r>
    </w:p>
    <w:p w14:paraId="7AE06728" w14:textId="69F2F92B" w:rsidR="00F645B9" w:rsidRPr="00FC2972" w:rsidRDefault="00F645B9" w:rsidP="0034054D">
      <w:pPr>
        <w:spacing w:line="360" w:lineRule="auto"/>
        <w:rPr>
          <w:rFonts w:ascii="Times New Roman" w:hAnsi="Times New Roman" w:cs="Times New Roman"/>
        </w:rPr>
      </w:pPr>
      <w:r>
        <w:rPr>
          <w:rFonts w:ascii="Times New Roman" w:hAnsi="Times New Roman" w:cs="Times New Roman"/>
        </w:rPr>
        <w:t xml:space="preserve">Overall, Apple is on a steady road to </w:t>
      </w:r>
      <w:r w:rsidR="00FF1F02">
        <w:rPr>
          <w:rFonts w:ascii="Times New Roman" w:hAnsi="Times New Roman" w:cs="Times New Roman"/>
        </w:rPr>
        <w:t xml:space="preserve">improved profitability which should result in an increased stock price </w:t>
      </w:r>
      <w:r w:rsidR="00252217">
        <w:rPr>
          <w:rFonts w:ascii="Times New Roman" w:hAnsi="Times New Roman" w:cs="Times New Roman"/>
        </w:rPr>
        <w:t xml:space="preserve">as more investors are reassured by Apple’s efforts. Apple’s </w:t>
      </w:r>
      <w:r w:rsidR="00BF1547">
        <w:rPr>
          <w:rFonts w:ascii="Times New Roman" w:hAnsi="Times New Roman" w:cs="Times New Roman"/>
        </w:rPr>
        <w:t xml:space="preserve">extensive </w:t>
      </w:r>
      <w:r w:rsidR="00252217">
        <w:rPr>
          <w:rFonts w:ascii="Times New Roman" w:hAnsi="Times New Roman" w:cs="Times New Roman"/>
        </w:rPr>
        <w:t xml:space="preserve">use of short-term debt </w:t>
      </w:r>
      <w:r w:rsidR="007C715F">
        <w:rPr>
          <w:rFonts w:ascii="Times New Roman" w:hAnsi="Times New Roman" w:cs="Times New Roman"/>
        </w:rPr>
        <w:t xml:space="preserve">and spending on share repurchases </w:t>
      </w:r>
      <w:r w:rsidR="002D0B16">
        <w:rPr>
          <w:rFonts w:ascii="Times New Roman" w:hAnsi="Times New Roman" w:cs="Times New Roman"/>
        </w:rPr>
        <w:t xml:space="preserve">is having an adverse effect on cash, </w:t>
      </w:r>
      <w:r w:rsidR="004A2940">
        <w:rPr>
          <w:rFonts w:ascii="Times New Roman" w:hAnsi="Times New Roman" w:cs="Times New Roman"/>
        </w:rPr>
        <w:t>but this may just be a temporary measure as Apple focuses on increasing EPS</w:t>
      </w:r>
      <w:r w:rsidR="004F101B">
        <w:rPr>
          <w:rFonts w:ascii="Times New Roman" w:hAnsi="Times New Roman" w:cs="Times New Roman"/>
        </w:rPr>
        <w:t xml:space="preserve"> foremost. </w:t>
      </w:r>
      <w:r w:rsidR="00AC0E70">
        <w:rPr>
          <w:rFonts w:ascii="Times New Roman" w:hAnsi="Times New Roman" w:cs="Times New Roman"/>
        </w:rPr>
        <w:t xml:space="preserve">If negative </w:t>
      </w:r>
      <w:r w:rsidR="00897DE4">
        <w:rPr>
          <w:rFonts w:ascii="Times New Roman" w:hAnsi="Times New Roman" w:cs="Times New Roman"/>
        </w:rPr>
        <w:t xml:space="preserve">FCF </w:t>
      </w:r>
      <w:r w:rsidR="00AC0E70">
        <w:rPr>
          <w:rFonts w:ascii="Times New Roman" w:hAnsi="Times New Roman" w:cs="Times New Roman"/>
        </w:rPr>
        <w:t>trends continue</w:t>
      </w:r>
      <w:r w:rsidR="00897DE4">
        <w:rPr>
          <w:rFonts w:ascii="Times New Roman" w:hAnsi="Times New Roman" w:cs="Times New Roman"/>
        </w:rPr>
        <w:t xml:space="preserve">, Apple could be in trouble </w:t>
      </w:r>
      <w:r w:rsidR="00A52F27">
        <w:rPr>
          <w:rFonts w:ascii="Times New Roman" w:hAnsi="Times New Roman" w:cs="Times New Roman"/>
        </w:rPr>
        <w:t>down the road</w:t>
      </w:r>
      <w:r w:rsidR="00BC75AB">
        <w:rPr>
          <w:rFonts w:ascii="Times New Roman" w:hAnsi="Times New Roman" w:cs="Times New Roman"/>
        </w:rPr>
        <w:t xml:space="preserve"> </w:t>
      </w:r>
      <w:r w:rsidR="00F86754">
        <w:rPr>
          <w:rFonts w:ascii="Times New Roman" w:hAnsi="Times New Roman" w:cs="Times New Roman"/>
        </w:rPr>
        <w:t>as</w:t>
      </w:r>
      <w:r w:rsidR="00BC75AB">
        <w:rPr>
          <w:rFonts w:ascii="Times New Roman" w:hAnsi="Times New Roman" w:cs="Times New Roman"/>
        </w:rPr>
        <w:t xml:space="preserve"> de</w:t>
      </w:r>
      <w:r w:rsidR="009722F6">
        <w:rPr>
          <w:rFonts w:ascii="Times New Roman" w:hAnsi="Times New Roman" w:cs="Times New Roman"/>
        </w:rPr>
        <w:t>bt becomes the</w:t>
      </w:r>
      <w:r w:rsidR="00F86754">
        <w:rPr>
          <w:rFonts w:ascii="Times New Roman" w:hAnsi="Times New Roman" w:cs="Times New Roman"/>
        </w:rPr>
        <w:t xml:space="preserve"> source o</w:t>
      </w:r>
      <w:r w:rsidR="00D01C5C">
        <w:rPr>
          <w:rFonts w:ascii="Times New Roman" w:hAnsi="Times New Roman" w:cs="Times New Roman"/>
        </w:rPr>
        <w:t xml:space="preserve">f </w:t>
      </w:r>
      <w:r w:rsidR="009B46EF">
        <w:rPr>
          <w:rFonts w:ascii="Times New Roman" w:hAnsi="Times New Roman" w:cs="Times New Roman"/>
        </w:rPr>
        <w:t>most</w:t>
      </w:r>
      <w:r w:rsidR="00F86754">
        <w:rPr>
          <w:rFonts w:ascii="Times New Roman" w:hAnsi="Times New Roman" w:cs="Times New Roman"/>
        </w:rPr>
        <w:t xml:space="preserve"> funds</w:t>
      </w:r>
      <w:r w:rsidR="002D5BD3">
        <w:rPr>
          <w:rFonts w:ascii="Times New Roman" w:hAnsi="Times New Roman" w:cs="Times New Roman"/>
        </w:rPr>
        <w:t xml:space="preserve">. </w:t>
      </w:r>
      <w:r w:rsidR="00AD3142">
        <w:rPr>
          <w:rFonts w:ascii="Times New Roman" w:hAnsi="Times New Roman" w:cs="Times New Roman"/>
        </w:rPr>
        <w:t xml:space="preserve">Illiquidity is </w:t>
      </w:r>
      <w:r w:rsidR="009B46EF">
        <w:rPr>
          <w:rFonts w:ascii="Times New Roman" w:hAnsi="Times New Roman" w:cs="Times New Roman"/>
        </w:rPr>
        <w:t xml:space="preserve">still a present issue, but once Apple can satisfy shareholders </w:t>
      </w:r>
      <w:r w:rsidR="000008BE">
        <w:rPr>
          <w:rFonts w:ascii="Times New Roman" w:hAnsi="Times New Roman" w:cs="Times New Roman"/>
        </w:rPr>
        <w:t xml:space="preserve">through its dividend/stock buyback program it can free up more cash to use on </w:t>
      </w:r>
      <w:r w:rsidR="00BC71B7">
        <w:rPr>
          <w:rFonts w:ascii="Times New Roman" w:hAnsi="Times New Roman" w:cs="Times New Roman"/>
        </w:rPr>
        <w:t xml:space="preserve">internal growth. </w:t>
      </w:r>
      <w:r w:rsidR="009B46EF">
        <w:rPr>
          <w:rFonts w:ascii="Times New Roman" w:hAnsi="Times New Roman" w:cs="Times New Roman"/>
        </w:rPr>
        <w:t xml:space="preserve"> </w:t>
      </w:r>
    </w:p>
    <w:sectPr w:rsidR="00F645B9" w:rsidRPr="00FC2972" w:rsidSect="00BC71B7">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7121E" w14:textId="77777777" w:rsidR="007C4714" w:rsidRDefault="007C4714" w:rsidP="00BC71B7">
      <w:pPr>
        <w:spacing w:after="0" w:line="240" w:lineRule="auto"/>
      </w:pPr>
      <w:r>
        <w:separator/>
      </w:r>
    </w:p>
  </w:endnote>
  <w:endnote w:type="continuationSeparator" w:id="0">
    <w:p w14:paraId="47821A32" w14:textId="77777777" w:rsidR="007C4714" w:rsidRDefault="007C4714" w:rsidP="00BC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8C5B9" w14:textId="77777777" w:rsidR="007C4714" w:rsidRDefault="007C4714" w:rsidP="00BC71B7">
      <w:pPr>
        <w:spacing w:after="0" w:line="240" w:lineRule="auto"/>
      </w:pPr>
      <w:r>
        <w:separator/>
      </w:r>
    </w:p>
  </w:footnote>
  <w:footnote w:type="continuationSeparator" w:id="0">
    <w:p w14:paraId="352B8237" w14:textId="77777777" w:rsidR="007C4714" w:rsidRDefault="007C4714" w:rsidP="00BC7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4888853"/>
      <w:docPartObj>
        <w:docPartGallery w:val="Page Numbers (Top of Page)"/>
        <w:docPartUnique/>
      </w:docPartObj>
    </w:sdtPr>
    <w:sdtEndPr>
      <w:rPr>
        <w:noProof/>
      </w:rPr>
    </w:sdtEndPr>
    <w:sdtContent>
      <w:p w14:paraId="4285FA08" w14:textId="7E1539D3" w:rsidR="00BC71B7" w:rsidRDefault="00BC71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4BB1E" w14:textId="77777777" w:rsidR="00BC71B7" w:rsidRDefault="00BC7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C0A3D" w14:textId="43D9CCF4" w:rsidR="00BC71B7" w:rsidRDefault="00BC71B7" w:rsidP="00BC71B7">
    <w:pPr>
      <w:pStyle w:val="Header"/>
      <w:jc w:val="right"/>
    </w:pPr>
    <w:r>
      <w:t>Caden Sorensen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7521C"/>
    <w:multiLevelType w:val="hybridMultilevel"/>
    <w:tmpl w:val="CB8C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16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CD"/>
    <w:rsid w:val="000008BE"/>
    <w:rsid w:val="00012973"/>
    <w:rsid w:val="0001607A"/>
    <w:rsid w:val="00017FB7"/>
    <w:rsid w:val="00024807"/>
    <w:rsid w:val="000267BB"/>
    <w:rsid w:val="00047C21"/>
    <w:rsid w:val="00054DAE"/>
    <w:rsid w:val="00061154"/>
    <w:rsid w:val="000637A2"/>
    <w:rsid w:val="000733D4"/>
    <w:rsid w:val="000753E1"/>
    <w:rsid w:val="0007747D"/>
    <w:rsid w:val="00081BF7"/>
    <w:rsid w:val="000905C6"/>
    <w:rsid w:val="000A671A"/>
    <w:rsid w:val="000A70E9"/>
    <w:rsid w:val="000C2400"/>
    <w:rsid w:val="000D125E"/>
    <w:rsid w:val="000D2378"/>
    <w:rsid w:val="000E1417"/>
    <w:rsid w:val="000E5EC3"/>
    <w:rsid w:val="000F531D"/>
    <w:rsid w:val="000F7FFB"/>
    <w:rsid w:val="00106E9D"/>
    <w:rsid w:val="001140EF"/>
    <w:rsid w:val="0014324F"/>
    <w:rsid w:val="001434B8"/>
    <w:rsid w:val="0018223C"/>
    <w:rsid w:val="0018266F"/>
    <w:rsid w:val="001925FC"/>
    <w:rsid w:val="0019356D"/>
    <w:rsid w:val="001968A3"/>
    <w:rsid w:val="001C5278"/>
    <w:rsid w:val="001C5572"/>
    <w:rsid w:val="001D7180"/>
    <w:rsid w:val="001E72FA"/>
    <w:rsid w:val="001F0FAB"/>
    <w:rsid w:val="001F4344"/>
    <w:rsid w:val="001F4735"/>
    <w:rsid w:val="001F7384"/>
    <w:rsid w:val="002128FE"/>
    <w:rsid w:val="0024362E"/>
    <w:rsid w:val="002456CC"/>
    <w:rsid w:val="00251D04"/>
    <w:rsid w:val="00252188"/>
    <w:rsid w:val="00252217"/>
    <w:rsid w:val="00254DF3"/>
    <w:rsid w:val="0025721F"/>
    <w:rsid w:val="00260638"/>
    <w:rsid w:val="002700CB"/>
    <w:rsid w:val="00276442"/>
    <w:rsid w:val="00286061"/>
    <w:rsid w:val="002A55D4"/>
    <w:rsid w:val="002C1B6F"/>
    <w:rsid w:val="002D0B16"/>
    <w:rsid w:val="002D2909"/>
    <w:rsid w:val="002D5BD3"/>
    <w:rsid w:val="00305096"/>
    <w:rsid w:val="003135AB"/>
    <w:rsid w:val="00321A00"/>
    <w:rsid w:val="00324B67"/>
    <w:rsid w:val="00326E4B"/>
    <w:rsid w:val="00327C5C"/>
    <w:rsid w:val="00337370"/>
    <w:rsid w:val="0034054D"/>
    <w:rsid w:val="00356F49"/>
    <w:rsid w:val="003642C8"/>
    <w:rsid w:val="0039586D"/>
    <w:rsid w:val="0039654C"/>
    <w:rsid w:val="003A14D7"/>
    <w:rsid w:val="003B1510"/>
    <w:rsid w:val="003B3724"/>
    <w:rsid w:val="003B6910"/>
    <w:rsid w:val="003C069A"/>
    <w:rsid w:val="003C07BD"/>
    <w:rsid w:val="003D059B"/>
    <w:rsid w:val="003D08BC"/>
    <w:rsid w:val="003D6669"/>
    <w:rsid w:val="003E560C"/>
    <w:rsid w:val="003F6D84"/>
    <w:rsid w:val="003F7DF8"/>
    <w:rsid w:val="004009D1"/>
    <w:rsid w:val="004035CD"/>
    <w:rsid w:val="00412EA5"/>
    <w:rsid w:val="0042373F"/>
    <w:rsid w:val="0044551C"/>
    <w:rsid w:val="0044772E"/>
    <w:rsid w:val="0045325E"/>
    <w:rsid w:val="0046496A"/>
    <w:rsid w:val="00472F86"/>
    <w:rsid w:val="00495B1A"/>
    <w:rsid w:val="004978FD"/>
    <w:rsid w:val="004A0FC4"/>
    <w:rsid w:val="004A2940"/>
    <w:rsid w:val="004B0951"/>
    <w:rsid w:val="004C257E"/>
    <w:rsid w:val="004C3554"/>
    <w:rsid w:val="004D0084"/>
    <w:rsid w:val="004D4D7F"/>
    <w:rsid w:val="004E6B9E"/>
    <w:rsid w:val="004F101B"/>
    <w:rsid w:val="00505F6E"/>
    <w:rsid w:val="0051111E"/>
    <w:rsid w:val="00515BEF"/>
    <w:rsid w:val="00524686"/>
    <w:rsid w:val="00535F77"/>
    <w:rsid w:val="005427C6"/>
    <w:rsid w:val="00543BC1"/>
    <w:rsid w:val="00547782"/>
    <w:rsid w:val="00556F21"/>
    <w:rsid w:val="005626EA"/>
    <w:rsid w:val="00575AD4"/>
    <w:rsid w:val="00576C75"/>
    <w:rsid w:val="00576DB3"/>
    <w:rsid w:val="00585DA8"/>
    <w:rsid w:val="005918AA"/>
    <w:rsid w:val="00592F83"/>
    <w:rsid w:val="005A653F"/>
    <w:rsid w:val="005A76E9"/>
    <w:rsid w:val="005B3BF8"/>
    <w:rsid w:val="005C6F0F"/>
    <w:rsid w:val="005D2DF7"/>
    <w:rsid w:val="005D5F36"/>
    <w:rsid w:val="005D660D"/>
    <w:rsid w:val="006054C2"/>
    <w:rsid w:val="00626EF1"/>
    <w:rsid w:val="00631098"/>
    <w:rsid w:val="00632306"/>
    <w:rsid w:val="0063387B"/>
    <w:rsid w:val="00640964"/>
    <w:rsid w:val="00642673"/>
    <w:rsid w:val="0064531E"/>
    <w:rsid w:val="006704C6"/>
    <w:rsid w:val="00673E12"/>
    <w:rsid w:val="006746EC"/>
    <w:rsid w:val="0067630A"/>
    <w:rsid w:val="00680BD1"/>
    <w:rsid w:val="00682AA6"/>
    <w:rsid w:val="00682EF9"/>
    <w:rsid w:val="00687733"/>
    <w:rsid w:val="00690A74"/>
    <w:rsid w:val="00690FD4"/>
    <w:rsid w:val="006963DF"/>
    <w:rsid w:val="006A1CD0"/>
    <w:rsid w:val="006A3D8D"/>
    <w:rsid w:val="006B5834"/>
    <w:rsid w:val="006D4C33"/>
    <w:rsid w:val="006D5487"/>
    <w:rsid w:val="006D7881"/>
    <w:rsid w:val="006E4CC7"/>
    <w:rsid w:val="006F6121"/>
    <w:rsid w:val="00712601"/>
    <w:rsid w:val="00721B17"/>
    <w:rsid w:val="00735564"/>
    <w:rsid w:val="00752415"/>
    <w:rsid w:val="00756412"/>
    <w:rsid w:val="007618B1"/>
    <w:rsid w:val="00766966"/>
    <w:rsid w:val="00783F61"/>
    <w:rsid w:val="007970DA"/>
    <w:rsid w:val="007C4714"/>
    <w:rsid w:val="007C715F"/>
    <w:rsid w:val="007D5C53"/>
    <w:rsid w:val="007F2801"/>
    <w:rsid w:val="00811E1E"/>
    <w:rsid w:val="00813547"/>
    <w:rsid w:val="008263E8"/>
    <w:rsid w:val="00845A85"/>
    <w:rsid w:val="00884634"/>
    <w:rsid w:val="008905CD"/>
    <w:rsid w:val="00892371"/>
    <w:rsid w:val="0089379B"/>
    <w:rsid w:val="008951B3"/>
    <w:rsid w:val="00897DE4"/>
    <w:rsid w:val="008A1B5A"/>
    <w:rsid w:val="008B4738"/>
    <w:rsid w:val="008B4C50"/>
    <w:rsid w:val="008C2CD9"/>
    <w:rsid w:val="008D195A"/>
    <w:rsid w:val="008D7542"/>
    <w:rsid w:val="008E566E"/>
    <w:rsid w:val="008E7559"/>
    <w:rsid w:val="0090206C"/>
    <w:rsid w:val="00902102"/>
    <w:rsid w:val="009066F2"/>
    <w:rsid w:val="00912C20"/>
    <w:rsid w:val="00915221"/>
    <w:rsid w:val="009219A2"/>
    <w:rsid w:val="00922C9C"/>
    <w:rsid w:val="00930F71"/>
    <w:rsid w:val="009377E6"/>
    <w:rsid w:val="00952FCB"/>
    <w:rsid w:val="009612AC"/>
    <w:rsid w:val="009672B1"/>
    <w:rsid w:val="009722F6"/>
    <w:rsid w:val="0097265F"/>
    <w:rsid w:val="00983AA6"/>
    <w:rsid w:val="00985133"/>
    <w:rsid w:val="009A6573"/>
    <w:rsid w:val="009A742C"/>
    <w:rsid w:val="009B46EF"/>
    <w:rsid w:val="009B6F5C"/>
    <w:rsid w:val="009B7E3A"/>
    <w:rsid w:val="009C679D"/>
    <w:rsid w:val="009E3035"/>
    <w:rsid w:val="009F6A95"/>
    <w:rsid w:val="00A03705"/>
    <w:rsid w:val="00A43416"/>
    <w:rsid w:val="00A52F27"/>
    <w:rsid w:val="00A567FC"/>
    <w:rsid w:val="00A63322"/>
    <w:rsid w:val="00AC0E70"/>
    <w:rsid w:val="00AC22F9"/>
    <w:rsid w:val="00AD3142"/>
    <w:rsid w:val="00AE116E"/>
    <w:rsid w:val="00AF2524"/>
    <w:rsid w:val="00AF28A4"/>
    <w:rsid w:val="00B018CD"/>
    <w:rsid w:val="00B11876"/>
    <w:rsid w:val="00B209E0"/>
    <w:rsid w:val="00B40115"/>
    <w:rsid w:val="00B42531"/>
    <w:rsid w:val="00B43E63"/>
    <w:rsid w:val="00B45F8A"/>
    <w:rsid w:val="00B54AA7"/>
    <w:rsid w:val="00B54BAE"/>
    <w:rsid w:val="00B57232"/>
    <w:rsid w:val="00B57C4F"/>
    <w:rsid w:val="00B726B2"/>
    <w:rsid w:val="00B77872"/>
    <w:rsid w:val="00B85DD4"/>
    <w:rsid w:val="00B86196"/>
    <w:rsid w:val="00B964F7"/>
    <w:rsid w:val="00BB17BE"/>
    <w:rsid w:val="00BC3788"/>
    <w:rsid w:val="00BC539B"/>
    <w:rsid w:val="00BC60E3"/>
    <w:rsid w:val="00BC71B7"/>
    <w:rsid w:val="00BC75AB"/>
    <w:rsid w:val="00BE6252"/>
    <w:rsid w:val="00BF1547"/>
    <w:rsid w:val="00BF31D3"/>
    <w:rsid w:val="00BF76E1"/>
    <w:rsid w:val="00C0544A"/>
    <w:rsid w:val="00C11CF6"/>
    <w:rsid w:val="00C13C49"/>
    <w:rsid w:val="00C17848"/>
    <w:rsid w:val="00C2063F"/>
    <w:rsid w:val="00C22D41"/>
    <w:rsid w:val="00C272B7"/>
    <w:rsid w:val="00C3491F"/>
    <w:rsid w:val="00C35C00"/>
    <w:rsid w:val="00C36767"/>
    <w:rsid w:val="00C457F4"/>
    <w:rsid w:val="00C50D46"/>
    <w:rsid w:val="00C5564F"/>
    <w:rsid w:val="00C65C98"/>
    <w:rsid w:val="00C72E8E"/>
    <w:rsid w:val="00C737E1"/>
    <w:rsid w:val="00C75113"/>
    <w:rsid w:val="00C97B75"/>
    <w:rsid w:val="00CA0386"/>
    <w:rsid w:val="00CB5A1B"/>
    <w:rsid w:val="00CC7762"/>
    <w:rsid w:val="00CD522E"/>
    <w:rsid w:val="00CE70BA"/>
    <w:rsid w:val="00CF0C19"/>
    <w:rsid w:val="00CF63D0"/>
    <w:rsid w:val="00CF797B"/>
    <w:rsid w:val="00D01C5C"/>
    <w:rsid w:val="00D107F6"/>
    <w:rsid w:val="00D2330C"/>
    <w:rsid w:val="00D45C80"/>
    <w:rsid w:val="00D4712B"/>
    <w:rsid w:val="00D570E1"/>
    <w:rsid w:val="00D745C3"/>
    <w:rsid w:val="00D87543"/>
    <w:rsid w:val="00DB1CBA"/>
    <w:rsid w:val="00DE6169"/>
    <w:rsid w:val="00DF1DA4"/>
    <w:rsid w:val="00E06B08"/>
    <w:rsid w:val="00E16CFA"/>
    <w:rsid w:val="00E34AA4"/>
    <w:rsid w:val="00E40888"/>
    <w:rsid w:val="00E5596C"/>
    <w:rsid w:val="00EA0EB3"/>
    <w:rsid w:val="00EA19E2"/>
    <w:rsid w:val="00ED26BC"/>
    <w:rsid w:val="00ED4941"/>
    <w:rsid w:val="00EE0847"/>
    <w:rsid w:val="00EE3535"/>
    <w:rsid w:val="00EE5473"/>
    <w:rsid w:val="00EF176E"/>
    <w:rsid w:val="00EF4623"/>
    <w:rsid w:val="00F06C84"/>
    <w:rsid w:val="00F103EC"/>
    <w:rsid w:val="00F1072E"/>
    <w:rsid w:val="00F129F9"/>
    <w:rsid w:val="00F24D1E"/>
    <w:rsid w:val="00F433D4"/>
    <w:rsid w:val="00F44A60"/>
    <w:rsid w:val="00F52072"/>
    <w:rsid w:val="00F5248D"/>
    <w:rsid w:val="00F562C3"/>
    <w:rsid w:val="00F63D16"/>
    <w:rsid w:val="00F645B9"/>
    <w:rsid w:val="00F657E9"/>
    <w:rsid w:val="00F7722D"/>
    <w:rsid w:val="00F8387A"/>
    <w:rsid w:val="00F856EA"/>
    <w:rsid w:val="00F86754"/>
    <w:rsid w:val="00F941B2"/>
    <w:rsid w:val="00F951D9"/>
    <w:rsid w:val="00FC0108"/>
    <w:rsid w:val="00FC1A0E"/>
    <w:rsid w:val="00FC2972"/>
    <w:rsid w:val="00FC34BE"/>
    <w:rsid w:val="00FC6C48"/>
    <w:rsid w:val="00FC7BBD"/>
    <w:rsid w:val="00FD52EB"/>
    <w:rsid w:val="00FE1881"/>
    <w:rsid w:val="00FE7659"/>
    <w:rsid w:val="00FE785F"/>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9DF60"/>
  <w15:chartTrackingRefBased/>
  <w15:docId w15:val="{666BADEA-440E-4897-B541-1F1F9DA1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5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5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5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5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5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5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5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5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5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5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5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5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5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5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5CD"/>
    <w:rPr>
      <w:rFonts w:eastAsiaTheme="majorEastAsia" w:cstheme="majorBidi"/>
      <w:color w:val="272727" w:themeColor="text1" w:themeTint="D8"/>
    </w:rPr>
  </w:style>
  <w:style w:type="paragraph" w:styleId="Title">
    <w:name w:val="Title"/>
    <w:basedOn w:val="Normal"/>
    <w:next w:val="Normal"/>
    <w:link w:val="TitleChar"/>
    <w:uiPriority w:val="10"/>
    <w:qFormat/>
    <w:rsid w:val="00890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5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5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5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5CD"/>
    <w:pPr>
      <w:spacing w:before="160"/>
      <w:jc w:val="center"/>
    </w:pPr>
    <w:rPr>
      <w:i/>
      <w:iCs/>
      <w:color w:val="404040" w:themeColor="text1" w:themeTint="BF"/>
    </w:rPr>
  </w:style>
  <w:style w:type="character" w:customStyle="1" w:styleId="QuoteChar">
    <w:name w:val="Quote Char"/>
    <w:basedOn w:val="DefaultParagraphFont"/>
    <w:link w:val="Quote"/>
    <w:uiPriority w:val="29"/>
    <w:rsid w:val="008905CD"/>
    <w:rPr>
      <w:i/>
      <w:iCs/>
      <w:color w:val="404040" w:themeColor="text1" w:themeTint="BF"/>
    </w:rPr>
  </w:style>
  <w:style w:type="paragraph" w:styleId="ListParagraph">
    <w:name w:val="List Paragraph"/>
    <w:basedOn w:val="Normal"/>
    <w:uiPriority w:val="34"/>
    <w:qFormat/>
    <w:rsid w:val="008905CD"/>
    <w:pPr>
      <w:ind w:left="720"/>
      <w:contextualSpacing/>
    </w:pPr>
  </w:style>
  <w:style w:type="character" w:styleId="IntenseEmphasis">
    <w:name w:val="Intense Emphasis"/>
    <w:basedOn w:val="DefaultParagraphFont"/>
    <w:uiPriority w:val="21"/>
    <w:qFormat/>
    <w:rsid w:val="008905CD"/>
    <w:rPr>
      <w:i/>
      <w:iCs/>
      <w:color w:val="0F4761" w:themeColor="accent1" w:themeShade="BF"/>
    </w:rPr>
  </w:style>
  <w:style w:type="paragraph" w:styleId="IntenseQuote">
    <w:name w:val="Intense Quote"/>
    <w:basedOn w:val="Normal"/>
    <w:next w:val="Normal"/>
    <w:link w:val="IntenseQuoteChar"/>
    <w:uiPriority w:val="30"/>
    <w:qFormat/>
    <w:rsid w:val="00890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5CD"/>
    <w:rPr>
      <w:i/>
      <w:iCs/>
      <w:color w:val="0F4761" w:themeColor="accent1" w:themeShade="BF"/>
    </w:rPr>
  </w:style>
  <w:style w:type="character" w:styleId="IntenseReference">
    <w:name w:val="Intense Reference"/>
    <w:basedOn w:val="DefaultParagraphFont"/>
    <w:uiPriority w:val="32"/>
    <w:qFormat/>
    <w:rsid w:val="008905CD"/>
    <w:rPr>
      <w:b/>
      <w:bCs/>
      <w:smallCaps/>
      <w:color w:val="0F4761" w:themeColor="accent1" w:themeShade="BF"/>
      <w:spacing w:val="5"/>
    </w:rPr>
  </w:style>
  <w:style w:type="table" w:styleId="TableGrid">
    <w:name w:val="Table Grid"/>
    <w:basedOn w:val="TableNormal"/>
    <w:uiPriority w:val="39"/>
    <w:rsid w:val="00FD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7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1B7"/>
  </w:style>
  <w:style w:type="paragraph" w:styleId="Footer">
    <w:name w:val="footer"/>
    <w:basedOn w:val="Normal"/>
    <w:link w:val="FooterChar"/>
    <w:uiPriority w:val="99"/>
    <w:unhideWhenUsed/>
    <w:rsid w:val="00BC7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42240">
      <w:bodyDiv w:val="1"/>
      <w:marLeft w:val="0"/>
      <w:marRight w:val="0"/>
      <w:marTop w:val="0"/>
      <w:marBottom w:val="0"/>
      <w:divBdr>
        <w:top w:val="none" w:sz="0" w:space="0" w:color="auto"/>
        <w:left w:val="none" w:sz="0" w:space="0" w:color="auto"/>
        <w:bottom w:val="none" w:sz="0" w:space="0" w:color="auto"/>
        <w:right w:val="none" w:sz="0" w:space="0" w:color="auto"/>
      </w:divBdr>
    </w:div>
    <w:div w:id="1865435191">
      <w:bodyDiv w:val="1"/>
      <w:marLeft w:val="0"/>
      <w:marRight w:val="0"/>
      <w:marTop w:val="0"/>
      <w:marBottom w:val="0"/>
      <w:divBdr>
        <w:top w:val="none" w:sz="0" w:space="0" w:color="auto"/>
        <w:left w:val="none" w:sz="0" w:space="0" w:color="auto"/>
        <w:bottom w:val="none" w:sz="0" w:space="0" w:color="auto"/>
        <w:right w:val="none" w:sz="0" w:space="0" w:color="auto"/>
      </w:divBdr>
    </w:div>
    <w:div w:id="19329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2099</TotalTime>
  <Pages>9</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Caden Sorensen</dc:creator>
  <cp:keywords/>
  <dc:description/>
  <cp:lastModifiedBy>Caden Sorensen</cp:lastModifiedBy>
  <cp:revision>306</cp:revision>
  <dcterms:created xsi:type="dcterms:W3CDTF">2024-09-03T15:31:00Z</dcterms:created>
  <dcterms:modified xsi:type="dcterms:W3CDTF">2024-09-06T20:17:00Z</dcterms:modified>
</cp:coreProperties>
</file>