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5ED4C" w14:textId="7F8D1F78" w:rsidR="00D374CB" w:rsidRDefault="00D374CB" w:rsidP="00D374CB">
      <w:pPr>
        <w:jc w:val="center"/>
        <w:rPr>
          <w:rFonts w:ascii="Times" w:hAnsi="Times"/>
          <w:b/>
          <w:bCs/>
        </w:rPr>
      </w:pPr>
      <w:r>
        <w:rPr>
          <w:rFonts w:ascii="Times" w:hAnsi="Times"/>
          <w:b/>
          <w:bCs/>
        </w:rPr>
        <w:t>Ratio Analysis – Apple Inc.</w:t>
      </w:r>
    </w:p>
    <w:p w14:paraId="68F789F7" w14:textId="77777777" w:rsidR="00224E74" w:rsidRPr="00224E74" w:rsidRDefault="00224E74" w:rsidP="00224E74">
      <w:pPr>
        <w:spacing w:line="360" w:lineRule="auto"/>
        <w:rPr>
          <w:rFonts w:ascii="Times" w:hAnsi="Times"/>
        </w:rPr>
      </w:pPr>
      <w:r w:rsidRPr="00224E74">
        <w:rPr>
          <w:rFonts w:ascii="Times" w:hAnsi="Times"/>
        </w:rPr>
        <w:t>This report provides an analysis of Apple's liquidity, profitability, leverage, and efficiency ratios.</w:t>
      </w:r>
    </w:p>
    <w:p w14:paraId="6F295E2E" w14:textId="5044582D" w:rsidR="00C112EC" w:rsidRPr="00D374CB" w:rsidRDefault="00DD367D">
      <w:pPr>
        <w:rPr>
          <w:rFonts w:ascii="Times" w:hAnsi="Times"/>
          <w:b/>
          <w:bCs/>
        </w:rPr>
      </w:pPr>
      <w:r w:rsidRPr="00D374CB">
        <w:rPr>
          <w:rFonts w:ascii="Times" w:hAnsi="Times"/>
          <w:b/>
          <w:bCs/>
        </w:rPr>
        <w:t>Liquidity</w:t>
      </w:r>
    </w:p>
    <w:p w14:paraId="20084C25" w14:textId="039DBC98" w:rsidR="00C8465A" w:rsidRPr="00C8465A" w:rsidRDefault="00C8465A" w:rsidP="00C8465A">
      <w:pPr>
        <w:spacing w:line="360" w:lineRule="auto"/>
        <w:rPr>
          <w:rFonts w:ascii="Times" w:hAnsi="Times"/>
        </w:rPr>
      </w:pPr>
      <w:r w:rsidRPr="00C8465A">
        <w:rPr>
          <w:rFonts w:ascii="Times" w:hAnsi="Times"/>
        </w:rPr>
        <w:t>Since 2020, Apple's current ratio, quick ratio, and cash ratio have all declined, signaling potential liquidity challenges. In 2022, Apple's current assets fell below its current liabilities, and its working capital as a percentage of sales also decreased. Additionally, the decline in Apple's liquid assets relative to its current liabilities raises further red flags.</w:t>
      </w:r>
      <w:r>
        <w:rPr>
          <w:rFonts w:ascii="Times" w:hAnsi="Times"/>
        </w:rPr>
        <w:t xml:space="preserve"> </w:t>
      </w:r>
      <w:r w:rsidRPr="00C8465A">
        <w:rPr>
          <w:rFonts w:ascii="Times" w:hAnsi="Times"/>
        </w:rPr>
        <w:t>Moreover, the reduction in Apple's defensive interval suggests that the company has fewer days to operate using only its liquid assets to cover operating expenses. Despite these liquidity concerns, Apple’s net trading cycle has been decreasing and is negative, indicating the company’s efficiency in converting inventory into cash quickly.</w:t>
      </w:r>
    </w:p>
    <w:tbl>
      <w:tblPr>
        <w:tblStyle w:val="TableGrid"/>
        <w:tblW w:w="10222" w:type="dxa"/>
        <w:tblLook w:val="04A0" w:firstRow="1" w:lastRow="0" w:firstColumn="1" w:lastColumn="0" w:noHBand="0" w:noVBand="1"/>
      </w:tblPr>
      <w:tblGrid>
        <w:gridCol w:w="5380"/>
        <w:gridCol w:w="1614"/>
        <w:gridCol w:w="1614"/>
        <w:gridCol w:w="1614"/>
      </w:tblGrid>
      <w:tr w:rsidR="00DD367D" w:rsidRPr="00DD367D" w14:paraId="75CE353A" w14:textId="77777777" w:rsidTr="00DD367D">
        <w:trPr>
          <w:trHeight w:val="300"/>
        </w:trPr>
        <w:tc>
          <w:tcPr>
            <w:tcW w:w="5380" w:type="dxa"/>
            <w:noWrap/>
            <w:hideMark/>
          </w:tcPr>
          <w:p w14:paraId="224A6759" w14:textId="698AE287" w:rsidR="00DD367D" w:rsidRPr="00DD367D" w:rsidRDefault="00DD367D" w:rsidP="00DD367D">
            <w:pPr>
              <w:rPr>
                <w:rFonts w:ascii="Times" w:eastAsia="Times New Roman" w:hAnsi="Times" w:cs="Calibri"/>
                <w:b/>
                <w:bCs/>
                <w:color w:val="000000"/>
                <w:kern w:val="0"/>
                <w14:ligatures w14:val="none"/>
              </w:rPr>
            </w:pPr>
            <w:r w:rsidRPr="00DD367D">
              <w:rPr>
                <w:rFonts w:ascii="Times" w:eastAsia="Times New Roman" w:hAnsi="Times" w:cs="Calibri"/>
                <w:b/>
                <w:bCs/>
                <w:color w:val="000000"/>
                <w:kern w:val="0"/>
                <w14:ligatures w14:val="none"/>
              </w:rPr>
              <w:t>Liquidity</w:t>
            </w:r>
            <w:r w:rsidR="00D34324">
              <w:rPr>
                <w:rFonts w:ascii="Times" w:eastAsia="Times New Roman" w:hAnsi="Times" w:cs="Calibri"/>
                <w:b/>
                <w:bCs/>
                <w:color w:val="000000"/>
                <w:kern w:val="0"/>
                <w14:ligatures w14:val="none"/>
              </w:rPr>
              <w:t xml:space="preserve"> Ratios</w:t>
            </w:r>
          </w:p>
        </w:tc>
        <w:tc>
          <w:tcPr>
            <w:tcW w:w="1614" w:type="dxa"/>
            <w:noWrap/>
            <w:hideMark/>
          </w:tcPr>
          <w:p w14:paraId="1B6B8A17" w14:textId="77777777" w:rsidR="00DD367D" w:rsidRPr="00DD367D" w:rsidRDefault="00DD367D" w:rsidP="00D374CB">
            <w:pPr>
              <w:jc w:val="center"/>
              <w:rPr>
                <w:rFonts w:ascii="Times" w:eastAsia="Times New Roman" w:hAnsi="Times" w:cs="Calibri"/>
                <w:b/>
                <w:bCs/>
                <w:color w:val="000000"/>
                <w:kern w:val="0"/>
                <w14:ligatures w14:val="none"/>
              </w:rPr>
            </w:pPr>
            <w:r w:rsidRPr="00DD367D">
              <w:rPr>
                <w:rFonts w:ascii="Times" w:eastAsia="Times New Roman" w:hAnsi="Times" w:cs="Calibri"/>
                <w:b/>
                <w:bCs/>
                <w:color w:val="000000"/>
                <w:kern w:val="0"/>
                <w14:ligatures w14:val="none"/>
              </w:rPr>
              <w:t>2022</w:t>
            </w:r>
          </w:p>
        </w:tc>
        <w:tc>
          <w:tcPr>
            <w:tcW w:w="1614" w:type="dxa"/>
            <w:noWrap/>
            <w:hideMark/>
          </w:tcPr>
          <w:p w14:paraId="079D5625" w14:textId="77777777" w:rsidR="00DD367D" w:rsidRPr="00DD367D" w:rsidRDefault="00DD367D" w:rsidP="00D374CB">
            <w:pPr>
              <w:jc w:val="center"/>
              <w:rPr>
                <w:rFonts w:ascii="Times" w:eastAsia="Times New Roman" w:hAnsi="Times" w:cs="Calibri"/>
                <w:b/>
                <w:bCs/>
                <w:color w:val="000000"/>
                <w:kern w:val="0"/>
                <w14:ligatures w14:val="none"/>
              </w:rPr>
            </w:pPr>
            <w:r w:rsidRPr="00DD367D">
              <w:rPr>
                <w:rFonts w:ascii="Times" w:eastAsia="Times New Roman" w:hAnsi="Times" w:cs="Calibri"/>
                <w:b/>
                <w:bCs/>
                <w:color w:val="000000"/>
                <w:kern w:val="0"/>
                <w14:ligatures w14:val="none"/>
              </w:rPr>
              <w:t>2021</w:t>
            </w:r>
          </w:p>
        </w:tc>
        <w:tc>
          <w:tcPr>
            <w:tcW w:w="1614" w:type="dxa"/>
            <w:noWrap/>
            <w:hideMark/>
          </w:tcPr>
          <w:p w14:paraId="39FE8F5A" w14:textId="77777777" w:rsidR="00DD367D" w:rsidRPr="00DD367D" w:rsidRDefault="00DD367D" w:rsidP="00D374CB">
            <w:pPr>
              <w:jc w:val="center"/>
              <w:rPr>
                <w:rFonts w:ascii="Times" w:eastAsia="Times New Roman" w:hAnsi="Times" w:cs="Calibri"/>
                <w:b/>
                <w:bCs/>
                <w:color w:val="000000"/>
                <w:kern w:val="0"/>
                <w14:ligatures w14:val="none"/>
              </w:rPr>
            </w:pPr>
            <w:r w:rsidRPr="00DD367D">
              <w:rPr>
                <w:rFonts w:ascii="Times" w:eastAsia="Times New Roman" w:hAnsi="Times" w:cs="Calibri"/>
                <w:b/>
                <w:bCs/>
                <w:color w:val="000000"/>
                <w:kern w:val="0"/>
                <w14:ligatures w14:val="none"/>
              </w:rPr>
              <w:t>2020</w:t>
            </w:r>
          </w:p>
        </w:tc>
      </w:tr>
      <w:tr w:rsidR="00DD367D" w:rsidRPr="00DD367D" w14:paraId="11EFB9D3" w14:textId="77777777" w:rsidTr="00DD367D">
        <w:trPr>
          <w:trHeight w:val="300"/>
        </w:trPr>
        <w:tc>
          <w:tcPr>
            <w:tcW w:w="5380" w:type="dxa"/>
            <w:noWrap/>
            <w:hideMark/>
          </w:tcPr>
          <w:p w14:paraId="02DCE17E" w14:textId="77777777" w:rsidR="00DD367D" w:rsidRPr="00DD367D" w:rsidRDefault="00DD367D" w:rsidP="00DD367D">
            <w:pPr>
              <w:ind w:firstLineChars="100" w:firstLine="240"/>
              <w:rPr>
                <w:rFonts w:ascii="Times" w:eastAsia="Times New Roman" w:hAnsi="Times" w:cs="Calibri"/>
                <w:color w:val="000000"/>
                <w:kern w:val="0"/>
                <w14:ligatures w14:val="none"/>
              </w:rPr>
            </w:pPr>
            <w:r w:rsidRPr="00DD367D">
              <w:rPr>
                <w:rFonts w:ascii="Times" w:eastAsia="Times New Roman" w:hAnsi="Times" w:cs="Calibri"/>
                <w:color w:val="000000"/>
                <w:kern w:val="0"/>
                <w14:ligatures w14:val="none"/>
              </w:rPr>
              <w:t>Current ratio</w:t>
            </w:r>
          </w:p>
        </w:tc>
        <w:tc>
          <w:tcPr>
            <w:tcW w:w="1614" w:type="dxa"/>
            <w:noWrap/>
            <w:hideMark/>
          </w:tcPr>
          <w:p w14:paraId="6EC35625" w14:textId="24FA0451" w:rsidR="00DD367D" w:rsidRPr="00DD367D" w:rsidRDefault="00DD367D" w:rsidP="00D374CB">
            <w:pPr>
              <w:jc w:val="center"/>
              <w:rPr>
                <w:rFonts w:ascii="Times" w:eastAsia="Times New Roman" w:hAnsi="Times" w:cs="Calibri"/>
                <w:color w:val="000000"/>
                <w:kern w:val="0"/>
                <w14:ligatures w14:val="none"/>
              </w:rPr>
            </w:pPr>
            <w:r w:rsidRPr="00DD367D">
              <w:rPr>
                <w:rFonts w:ascii="Times" w:eastAsia="Times New Roman" w:hAnsi="Times" w:cs="Calibri"/>
                <w:color w:val="000000"/>
                <w:kern w:val="0"/>
                <w14:ligatures w14:val="none"/>
              </w:rPr>
              <w:t>0.88</w:t>
            </w:r>
          </w:p>
        </w:tc>
        <w:tc>
          <w:tcPr>
            <w:tcW w:w="1614" w:type="dxa"/>
            <w:noWrap/>
            <w:hideMark/>
          </w:tcPr>
          <w:p w14:paraId="56CCAC33" w14:textId="3CC72B41" w:rsidR="00DD367D" w:rsidRPr="00DD367D" w:rsidRDefault="00DD367D" w:rsidP="00D374CB">
            <w:pPr>
              <w:jc w:val="center"/>
              <w:rPr>
                <w:rFonts w:ascii="Times" w:eastAsia="Times New Roman" w:hAnsi="Times" w:cs="Calibri"/>
                <w:color w:val="000000"/>
                <w:kern w:val="0"/>
                <w14:ligatures w14:val="none"/>
              </w:rPr>
            </w:pPr>
            <w:r w:rsidRPr="00DD367D">
              <w:rPr>
                <w:rFonts w:ascii="Times" w:eastAsia="Times New Roman" w:hAnsi="Times" w:cs="Calibri"/>
                <w:color w:val="000000"/>
                <w:kern w:val="0"/>
                <w14:ligatures w14:val="none"/>
              </w:rPr>
              <w:t>1.07</w:t>
            </w:r>
          </w:p>
        </w:tc>
        <w:tc>
          <w:tcPr>
            <w:tcW w:w="1614" w:type="dxa"/>
            <w:noWrap/>
            <w:hideMark/>
          </w:tcPr>
          <w:p w14:paraId="04F6FA5F" w14:textId="2347840D" w:rsidR="00DD367D" w:rsidRPr="00DD367D" w:rsidRDefault="00DD367D" w:rsidP="00D374CB">
            <w:pPr>
              <w:jc w:val="center"/>
              <w:rPr>
                <w:rFonts w:ascii="Times" w:eastAsia="Times New Roman" w:hAnsi="Times" w:cs="Calibri"/>
                <w:color w:val="000000"/>
                <w:kern w:val="0"/>
                <w14:ligatures w14:val="none"/>
              </w:rPr>
            </w:pPr>
            <w:r w:rsidRPr="00DD367D">
              <w:rPr>
                <w:rFonts w:ascii="Times" w:eastAsia="Times New Roman" w:hAnsi="Times" w:cs="Calibri"/>
                <w:color w:val="000000"/>
                <w:kern w:val="0"/>
                <w14:ligatures w14:val="none"/>
              </w:rPr>
              <w:t>1.36</w:t>
            </w:r>
          </w:p>
        </w:tc>
      </w:tr>
      <w:tr w:rsidR="00DD367D" w:rsidRPr="00DD367D" w14:paraId="4E33DB6D" w14:textId="77777777" w:rsidTr="00DD367D">
        <w:trPr>
          <w:trHeight w:val="300"/>
        </w:trPr>
        <w:tc>
          <w:tcPr>
            <w:tcW w:w="5380" w:type="dxa"/>
            <w:noWrap/>
            <w:hideMark/>
          </w:tcPr>
          <w:p w14:paraId="34B886AE" w14:textId="77777777" w:rsidR="00DD367D" w:rsidRPr="00DD367D" w:rsidRDefault="00DD367D" w:rsidP="00DD367D">
            <w:pPr>
              <w:ind w:firstLineChars="100" w:firstLine="240"/>
              <w:rPr>
                <w:rFonts w:ascii="Times" w:eastAsia="Times New Roman" w:hAnsi="Times" w:cs="Calibri"/>
                <w:color w:val="000000"/>
                <w:kern w:val="0"/>
                <w14:ligatures w14:val="none"/>
              </w:rPr>
            </w:pPr>
            <w:r w:rsidRPr="00DD367D">
              <w:rPr>
                <w:rFonts w:ascii="Times" w:eastAsia="Times New Roman" w:hAnsi="Times" w:cs="Calibri"/>
                <w:color w:val="000000"/>
                <w:kern w:val="0"/>
                <w14:ligatures w14:val="none"/>
              </w:rPr>
              <w:t>Quick Ratio</w:t>
            </w:r>
          </w:p>
        </w:tc>
        <w:tc>
          <w:tcPr>
            <w:tcW w:w="1614" w:type="dxa"/>
            <w:noWrap/>
            <w:hideMark/>
          </w:tcPr>
          <w:p w14:paraId="26138F70" w14:textId="186BBF47" w:rsidR="00DD367D" w:rsidRPr="00DD367D" w:rsidRDefault="00DD367D" w:rsidP="00D374CB">
            <w:pPr>
              <w:jc w:val="center"/>
              <w:rPr>
                <w:rFonts w:ascii="Times" w:eastAsia="Times New Roman" w:hAnsi="Times" w:cs="Calibri"/>
                <w:color w:val="000000"/>
                <w:kern w:val="0"/>
                <w14:ligatures w14:val="none"/>
              </w:rPr>
            </w:pPr>
            <w:r w:rsidRPr="00DD367D">
              <w:rPr>
                <w:rFonts w:ascii="Times" w:eastAsia="Times New Roman" w:hAnsi="Times" w:cs="Calibri"/>
                <w:color w:val="000000"/>
                <w:kern w:val="0"/>
                <w14:ligatures w14:val="none"/>
              </w:rPr>
              <w:t>0.50</w:t>
            </w:r>
          </w:p>
        </w:tc>
        <w:tc>
          <w:tcPr>
            <w:tcW w:w="1614" w:type="dxa"/>
            <w:noWrap/>
            <w:hideMark/>
          </w:tcPr>
          <w:p w14:paraId="57728770" w14:textId="2667B497" w:rsidR="00DD367D" w:rsidRPr="00DD367D" w:rsidRDefault="00DD367D" w:rsidP="00D374CB">
            <w:pPr>
              <w:jc w:val="center"/>
              <w:rPr>
                <w:rFonts w:ascii="Times" w:eastAsia="Times New Roman" w:hAnsi="Times" w:cs="Calibri"/>
                <w:color w:val="000000"/>
                <w:kern w:val="0"/>
                <w14:ligatures w14:val="none"/>
              </w:rPr>
            </w:pPr>
            <w:r w:rsidRPr="00DD367D">
              <w:rPr>
                <w:rFonts w:ascii="Times" w:eastAsia="Times New Roman" w:hAnsi="Times" w:cs="Calibri"/>
                <w:color w:val="000000"/>
                <w:kern w:val="0"/>
                <w14:ligatures w14:val="none"/>
              </w:rPr>
              <w:t>0.71</w:t>
            </w:r>
          </w:p>
        </w:tc>
        <w:tc>
          <w:tcPr>
            <w:tcW w:w="1614" w:type="dxa"/>
            <w:noWrap/>
            <w:hideMark/>
          </w:tcPr>
          <w:p w14:paraId="5FC2C607" w14:textId="3A7212A3" w:rsidR="00DD367D" w:rsidRPr="00DD367D" w:rsidRDefault="00DD367D" w:rsidP="00D374CB">
            <w:pPr>
              <w:jc w:val="center"/>
              <w:rPr>
                <w:rFonts w:ascii="Times" w:eastAsia="Times New Roman" w:hAnsi="Times" w:cs="Calibri"/>
                <w:color w:val="000000"/>
                <w:kern w:val="0"/>
                <w14:ligatures w14:val="none"/>
              </w:rPr>
            </w:pPr>
            <w:r w:rsidRPr="00DD367D">
              <w:rPr>
                <w:rFonts w:ascii="Times" w:eastAsia="Times New Roman" w:hAnsi="Times" w:cs="Calibri"/>
                <w:color w:val="000000"/>
                <w:kern w:val="0"/>
                <w14:ligatures w14:val="none"/>
              </w:rPr>
              <w:t>1.02</w:t>
            </w:r>
          </w:p>
        </w:tc>
      </w:tr>
      <w:tr w:rsidR="00DD367D" w:rsidRPr="00DD367D" w14:paraId="25781CF0" w14:textId="77777777" w:rsidTr="00DD367D">
        <w:trPr>
          <w:trHeight w:val="300"/>
        </w:trPr>
        <w:tc>
          <w:tcPr>
            <w:tcW w:w="5380" w:type="dxa"/>
            <w:noWrap/>
            <w:hideMark/>
          </w:tcPr>
          <w:p w14:paraId="3675B91E" w14:textId="77777777" w:rsidR="00DD367D" w:rsidRPr="00DD367D" w:rsidRDefault="00DD367D" w:rsidP="00DD367D">
            <w:pPr>
              <w:ind w:firstLineChars="100" w:firstLine="240"/>
              <w:rPr>
                <w:rFonts w:ascii="Times" w:eastAsia="Times New Roman" w:hAnsi="Times" w:cs="Calibri"/>
                <w:color w:val="000000"/>
                <w:kern w:val="0"/>
                <w14:ligatures w14:val="none"/>
              </w:rPr>
            </w:pPr>
            <w:r w:rsidRPr="00DD367D">
              <w:rPr>
                <w:rFonts w:ascii="Times" w:eastAsia="Times New Roman" w:hAnsi="Times" w:cs="Calibri"/>
                <w:color w:val="000000"/>
                <w:kern w:val="0"/>
                <w14:ligatures w14:val="none"/>
              </w:rPr>
              <w:t>Cash Ratio</w:t>
            </w:r>
          </w:p>
        </w:tc>
        <w:tc>
          <w:tcPr>
            <w:tcW w:w="1614" w:type="dxa"/>
            <w:noWrap/>
            <w:hideMark/>
          </w:tcPr>
          <w:p w14:paraId="5D4B898A" w14:textId="05CD7C7D" w:rsidR="00DD367D" w:rsidRPr="00DD367D" w:rsidRDefault="00DD367D" w:rsidP="00D374CB">
            <w:pPr>
              <w:jc w:val="center"/>
              <w:rPr>
                <w:rFonts w:ascii="Times" w:eastAsia="Times New Roman" w:hAnsi="Times" w:cs="Calibri"/>
                <w:color w:val="000000"/>
                <w:kern w:val="0"/>
                <w14:ligatures w14:val="none"/>
              </w:rPr>
            </w:pPr>
            <w:r w:rsidRPr="00DD367D">
              <w:rPr>
                <w:rFonts w:ascii="Times" w:eastAsia="Times New Roman" w:hAnsi="Times" w:cs="Calibri"/>
                <w:color w:val="000000"/>
                <w:kern w:val="0"/>
                <w14:ligatures w14:val="none"/>
              </w:rPr>
              <w:t>0.15</w:t>
            </w:r>
          </w:p>
        </w:tc>
        <w:tc>
          <w:tcPr>
            <w:tcW w:w="1614" w:type="dxa"/>
            <w:noWrap/>
            <w:hideMark/>
          </w:tcPr>
          <w:p w14:paraId="35E86493" w14:textId="69AA4749" w:rsidR="00DD367D" w:rsidRPr="00DD367D" w:rsidRDefault="00DD367D" w:rsidP="00D374CB">
            <w:pPr>
              <w:jc w:val="center"/>
              <w:rPr>
                <w:rFonts w:ascii="Times" w:eastAsia="Times New Roman" w:hAnsi="Times" w:cs="Calibri"/>
                <w:color w:val="000000"/>
                <w:kern w:val="0"/>
                <w14:ligatures w14:val="none"/>
              </w:rPr>
            </w:pPr>
            <w:r w:rsidRPr="00DD367D">
              <w:rPr>
                <w:rFonts w:ascii="Times" w:eastAsia="Times New Roman" w:hAnsi="Times" w:cs="Calibri"/>
                <w:color w:val="000000"/>
                <w:kern w:val="0"/>
                <w14:ligatures w14:val="none"/>
              </w:rPr>
              <w:t>0.28</w:t>
            </w:r>
          </w:p>
        </w:tc>
        <w:tc>
          <w:tcPr>
            <w:tcW w:w="1614" w:type="dxa"/>
            <w:noWrap/>
            <w:hideMark/>
          </w:tcPr>
          <w:p w14:paraId="2F673564" w14:textId="24E28D8A" w:rsidR="00DD367D" w:rsidRPr="00DD367D" w:rsidRDefault="00DD367D" w:rsidP="00D374CB">
            <w:pPr>
              <w:jc w:val="center"/>
              <w:rPr>
                <w:rFonts w:ascii="Times" w:eastAsia="Times New Roman" w:hAnsi="Times" w:cs="Calibri"/>
                <w:color w:val="000000"/>
                <w:kern w:val="0"/>
                <w14:ligatures w14:val="none"/>
              </w:rPr>
            </w:pPr>
            <w:r w:rsidRPr="00DD367D">
              <w:rPr>
                <w:rFonts w:ascii="Times" w:eastAsia="Times New Roman" w:hAnsi="Times" w:cs="Calibri"/>
                <w:color w:val="000000"/>
                <w:kern w:val="0"/>
                <w14:ligatures w14:val="none"/>
              </w:rPr>
              <w:t>0.36</w:t>
            </w:r>
          </w:p>
        </w:tc>
      </w:tr>
      <w:tr w:rsidR="00DD367D" w:rsidRPr="00DD367D" w14:paraId="2F891B9C" w14:textId="77777777" w:rsidTr="00DD367D">
        <w:trPr>
          <w:trHeight w:val="300"/>
        </w:trPr>
        <w:tc>
          <w:tcPr>
            <w:tcW w:w="5380" w:type="dxa"/>
            <w:noWrap/>
            <w:hideMark/>
          </w:tcPr>
          <w:p w14:paraId="0BFAF457" w14:textId="77777777" w:rsidR="00DD367D" w:rsidRPr="00DD367D" w:rsidRDefault="00DD367D" w:rsidP="00DD367D">
            <w:pPr>
              <w:ind w:firstLineChars="100" w:firstLine="240"/>
              <w:rPr>
                <w:rFonts w:ascii="Times" w:eastAsia="Times New Roman" w:hAnsi="Times" w:cs="Calibri"/>
                <w:color w:val="000000"/>
                <w:kern w:val="0"/>
                <w14:ligatures w14:val="none"/>
              </w:rPr>
            </w:pPr>
            <w:r w:rsidRPr="00DD367D">
              <w:rPr>
                <w:rFonts w:ascii="Times" w:eastAsia="Times New Roman" w:hAnsi="Times" w:cs="Calibri"/>
                <w:color w:val="000000"/>
                <w:kern w:val="0"/>
                <w14:ligatures w14:val="none"/>
              </w:rPr>
              <w:t>Defensive Interval</w:t>
            </w:r>
          </w:p>
        </w:tc>
        <w:tc>
          <w:tcPr>
            <w:tcW w:w="1614" w:type="dxa"/>
            <w:noWrap/>
            <w:hideMark/>
          </w:tcPr>
          <w:p w14:paraId="357C5638" w14:textId="5775CF64" w:rsidR="00DD367D" w:rsidRPr="00DD367D" w:rsidRDefault="00DD367D" w:rsidP="00D374CB">
            <w:pPr>
              <w:jc w:val="center"/>
              <w:rPr>
                <w:rFonts w:ascii="Times" w:eastAsia="Times New Roman" w:hAnsi="Times" w:cs="Calibri"/>
                <w:color w:val="000000"/>
                <w:kern w:val="0"/>
                <w14:ligatures w14:val="none"/>
              </w:rPr>
            </w:pPr>
            <w:r w:rsidRPr="00DD367D">
              <w:rPr>
                <w:rFonts w:ascii="Times" w:eastAsia="Times New Roman" w:hAnsi="Times" w:cs="Calibri"/>
                <w:color w:val="000000"/>
                <w:kern w:val="0"/>
                <w14:ligatures w14:val="none"/>
              </w:rPr>
              <w:t>693.77</w:t>
            </w:r>
          </w:p>
        </w:tc>
        <w:tc>
          <w:tcPr>
            <w:tcW w:w="1614" w:type="dxa"/>
            <w:noWrap/>
            <w:hideMark/>
          </w:tcPr>
          <w:p w14:paraId="7E04670D" w14:textId="2FA4E17F" w:rsidR="00DD367D" w:rsidRPr="00DD367D" w:rsidRDefault="00DD367D" w:rsidP="00D374CB">
            <w:pPr>
              <w:jc w:val="center"/>
              <w:rPr>
                <w:rFonts w:ascii="Times" w:eastAsia="Times New Roman" w:hAnsi="Times" w:cs="Calibri"/>
                <w:color w:val="000000"/>
                <w:kern w:val="0"/>
                <w14:ligatures w14:val="none"/>
              </w:rPr>
            </w:pPr>
            <w:r w:rsidRPr="00DD367D">
              <w:rPr>
                <w:rFonts w:ascii="Times" w:eastAsia="Times New Roman" w:hAnsi="Times" w:cs="Calibri"/>
                <w:color w:val="000000"/>
                <w:kern w:val="0"/>
                <w14:ligatures w14:val="none"/>
              </w:rPr>
              <w:t>995.45</w:t>
            </w:r>
          </w:p>
        </w:tc>
        <w:tc>
          <w:tcPr>
            <w:tcW w:w="1614" w:type="dxa"/>
            <w:noWrap/>
            <w:hideMark/>
          </w:tcPr>
          <w:p w14:paraId="09F24D38" w14:textId="315FFE45" w:rsidR="00DD367D" w:rsidRPr="00DD367D" w:rsidRDefault="00DD367D" w:rsidP="00D374CB">
            <w:pPr>
              <w:jc w:val="center"/>
              <w:rPr>
                <w:rFonts w:ascii="Times" w:eastAsia="Times New Roman" w:hAnsi="Times" w:cs="Calibri"/>
                <w:color w:val="000000"/>
                <w:kern w:val="0"/>
                <w14:ligatures w14:val="none"/>
              </w:rPr>
            </w:pPr>
            <w:r w:rsidRPr="00DD367D">
              <w:rPr>
                <w:rFonts w:ascii="Times" w:eastAsia="Times New Roman" w:hAnsi="Times" w:cs="Calibri"/>
                <w:color w:val="000000"/>
                <w:kern w:val="0"/>
                <w14:ligatures w14:val="none"/>
              </w:rPr>
              <w:t>1,415.25</w:t>
            </w:r>
          </w:p>
        </w:tc>
      </w:tr>
      <w:tr w:rsidR="00DD367D" w:rsidRPr="00DD367D" w14:paraId="01DC61F3" w14:textId="77777777" w:rsidTr="00DD367D">
        <w:trPr>
          <w:trHeight w:val="300"/>
        </w:trPr>
        <w:tc>
          <w:tcPr>
            <w:tcW w:w="5380" w:type="dxa"/>
            <w:noWrap/>
            <w:hideMark/>
          </w:tcPr>
          <w:p w14:paraId="39F50757" w14:textId="77777777" w:rsidR="00DD367D" w:rsidRPr="00DD367D" w:rsidRDefault="00DD367D" w:rsidP="00DD367D">
            <w:pPr>
              <w:ind w:firstLineChars="100" w:firstLine="240"/>
              <w:rPr>
                <w:rFonts w:ascii="Times" w:eastAsia="Times New Roman" w:hAnsi="Times" w:cs="Calibri"/>
                <w:color w:val="000000"/>
                <w:kern w:val="0"/>
                <w14:ligatures w14:val="none"/>
              </w:rPr>
            </w:pPr>
            <w:r w:rsidRPr="00DD367D">
              <w:rPr>
                <w:rFonts w:ascii="Times" w:eastAsia="Times New Roman" w:hAnsi="Times" w:cs="Calibri"/>
                <w:color w:val="000000"/>
                <w:kern w:val="0"/>
                <w14:ligatures w14:val="none"/>
              </w:rPr>
              <w:t>Inventory Days</w:t>
            </w:r>
          </w:p>
        </w:tc>
        <w:tc>
          <w:tcPr>
            <w:tcW w:w="1614" w:type="dxa"/>
            <w:noWrap/>
            <w:hideMark/>
          </w:tcPr>
          <w:p w14:paraId="08275C04" w14:textId="092A6DC0" w:rsidR="00DD367D" w:rsidRPr="00DD367D" w:rsidRDefault="00DD367D" w:rsidP="00D374CB">
            <w:pPr>
              <w:jc w:val="center"/>
              <w:rPr>
                <w:rFonts w:ascii="Times" w:eastAsia="Times New Roman" w:hAnsi="Times" w:cs="Calibri"/>
                <w:color w:val="000000"/>
                <w:kern w:val="0"/>
                <w14:ligatures w14:val="none"/>
              </w:rPr>
            </w:pPr>
            <w:r w:rsidRPr="00DD367D">
              <w:rPr>
                <w:rFonts w:ascii="Times" w:eastAsia="Times New Roman" w:hAnsi="Times" w:cs="Calibri"/>
                <w:color w:val="000000"/>
                <w:kern w:val="0"/>
                <w14:ligatures w14:val="none"/>
              </w:rPr>
              <w:t>8.08</w:t>
            </w:r>
          </w:p>
        </w:tc>
        <w:tc>
          <w:tcPr>
            <w:tcW w:w="1614" w:type="dxa"/>
            <w:noWrap/>
            <w:hideMark/>
          </w:tcPr>
          <w:p w14:paraId="6901BCE6" w14:textId="77EDD7DC" w:rsidR="00DD367D" w:rsidRPr="00DD367D" w:rsidRDefault="00DD367D" w:rsidP="00D374CB">
            <w:pPr>
              <w:jc w:val="center"/>
              <w:rPr>
                <w:rFonts w:ascii="Times" w:eastAsia="Times New Roman" w:hAnsi="Times" w:cs="Calibri"/>
                <w:color w:val="000000"/>
                <w:kern w:val="0"/>
                <w14:ligatures w14:val="none"/>
              </w:rPr>
            </w:pPr>
            <w:r w:rsidRPr="00DD367D">
              <w:rPr>
                <w:rFonts w:ascii="Times" w:eastAsia="Times New Roman" w:hAnsi="Times" w:cs="Calibri"/>
                <w:color w:val="000000"/>
                <w:kern w:val="0"/>
                <w14:ligatures w14:val="none"/>
              </w:rPr>
              <w:t>11.28</w:t>
            </w:r>
          </w:p>
        </w:tc>
        <w:tc>
          <w:tcPr>
            <w:tcW w:w="1614" w:type="dxa"/>
            <w:noWrap/>
            <w:hideMark/>
          </w:tcPr>
          <w:p w14:paraId="02B8AD48" w14:textId="795AF55E" w:rsidR="00DD367D" w:rsidRPr="00DD367D" w:rsidRDefault="00DD367D" w:rsidP="00D374CB">
            <w:pPr>
              <w:jc w:val="center"/>
              <w:rPr>
                <w:rFonts w:ascii="Times" w:eastAsia="Times New Roman" w:hAnsi="Times" w:cs="Calibri"/>
                <w:color w:val="000000"/>
                <w:kern w:val="0"/>
                <w14:ligatures w14:val="none"/>
              </w:rPr>
            </w:pPr>
            <w:r w:rsidRPr="00DD367D">
              <w:rPr>
                <w:rFonts w:ascii="Times" w:eastAsia="Times New Roman" w:hAnsi="Times" w:cs="Calibri"/>
                <w:color w:val="000000"/>
                <w:kern w:val="0"/>
                <w14:ligatures w14:val="none"/>
              </w:rPr>
              <w:t>8.74</w:t>
            </w:r>
          </w:p>
        </w:tc>
      </w:tr>
      <w:tr w:rsidR="00DD367D" w:rsidRPr="00DD367D" w14:paraId="044D3721" w14:textId="77777777" w:rsidTr="00DD367D">
        <w:trPr>
          <w:trHeight w:val="300"/>
        </w:trPr>
        <w:tc>
          <w:tcPr>
            <w:tcW w:w="5380" w:type="dxa"/>
            <w:noWrap/>
            <w:hideMark/>
          </w:tcPr>
          <w:p w14:paraId="7EA662FE" w14:textId="77777777" w:rsidR="00DD367D" w:rsidRPr="00DD367D" w:rsidRDefault="00DD367D" w:rsidP="00DD367D">
            <w:pPr>
              <w:ind w:firstLineChars="100" w:firstLine="240"/>
              <w:rPr>
                <w:rFonts w:ascii="Times" w:eastAsia="Times New Roman" w:hAnsi="Times" w:cs="Calibri"/>
                <w:color w:val="000000"/>
                <w:kern w:val="0"/>
                <w14:ligatures w14:val="none"/>
              </w:rPr>
            </w:pPr>
            <w:r w:rsidRPr="00DD367D">
              <w:rPr>
                <w:rFonts w:ascii="Times" w:eastAsia="Times New Roman" w:hAnsi="Times" w:cs="Calibri"/>
                <w:color w:val="000000"/>
                <w:kern w:val="0"/>
                <w14:ligatures w14:val="none"/>
              </w:rPr>
              <w:t>Payable Days</w:t>
            </w:r>
          </w:p>
        </w:tc>
        <w:tc>
          <w:tcPr>
            <w:tcW w:w="1614" w:type="dxa"/>
            <w:noWrap/>
            <w:hideMark/>
          </w:tcPr>
          <w:p w14:paraId="5030B88F" w14:textId="31D73C95" w:rsidR="00DD367D" w:rsidRPr="00DD367D" w:rsidRDefault="00DD367D" w:rsidP="00D374CB">
            <w:pPr>
              <w:jc w:val="center"/>
              <w:rPr>
                <w:rFonts w:ascii="Times" w:eastAsia="Times New Roman" w:hAnsi="Times" w:cs="Calibri"/>
                <w:color w:val="000000"/>
                <w:kern w:val="0"/>
                <w14:ligatures w14:val="none"/>
              </w:rPr>
            </w:pPr>
            <w:r w:rsidRPr="00DD367D">
              <w:rPr>
                <w:rFonts w:ascii="Times" w:eastAsia="Times New Roman" w:hAnsi="Times" w:cs="Calibri"/>
                <w:color w:val="000000"/>
                <w:kern w:val="0"/>
                <w14:ligatures w14:val="none"/>
              </w:rPr>
              <w:t>104.69</w:t>
            </w:r>
          </w:p>
        </w:tc>
        <w:tc>
          <w:tcPr>
            <w:tcW w:w="1614" w:type="dxa"/>
            <w:noWrap/>
            <w:hideMark/>
          </w:tcPr>
          <w:p w14:paraId="782515BF" w14:textId="7D560C3C" w:rsidR="00DD367D" w:rsidRPr="00DD367D" w:rsidRDefault="00DD367D" w:rsidP="00D374CB">
            <w:pPr>
              <w:jc w:val="center"/>
              <w:rPr>
                <w:rFonts w:ascii="Times" w:eastAsia="Times New Roman" w:hAnsi="Times" w:cs="Calibri"/>
                <w:color w:val="000000"/>
                <w:kern w:val="0"/>
                <w14:ligatures w14:val="none"/>
              </w:rPr>
            </w:pPr>
            <w:r w:rsidRPr="00DD367D">
              <w:rPr>
                <w:rFonts w:ascii="Times" w:eastAsia="Times New Roman" w:hAnsi="Times" w:cs="Calibri"/>
                <w:color w:val="000000"/>
                <w:kern w:val="0"/>
                <w14:ligatures w14:val="none"/>
              </w:rPr>
              <w:t>93.85</w:t>
            </w:r>
          </w:p>
        </w:tc>
        <w:tc>
          <w:tcPr>
            <w:tcW w:w="1614" w:type="dxa"/>
            <w:noWrap/>
            <w:hideMark/>
          </w:tcPr>
          <w:p w14:paraId="41C02B62" w14:textId="1A79D48B" w:rsidR="00DD367D" w:rsidRPr="00DD367D" w:rsidRDefault="00DD367D" w:rsidP="00D374CB">
            <w:pPr>
              <w:jc w:val="center"/>
              <w:rPr>
                <w:rFonts w:ascii="Times" w:eastAsia="Times New Roman" w:hAnsi="Times" w:cs="Calibri"/>
                <w:color w:val="000000"/>
                <w:kern w:val="0"/>
                <w14:ligatures w14:val="none"/>
              </w:rPr>
            </w:pPr>
            <w:r w:rsidRPr="00DD367D">
              <w:rPr>
                <w:rFonts w:ascii="Times" w:eastAsia="Times New Roman" w:hAnsi="Times" w:cs="Calibri"/>
                <w:color w:val="000000"/>
                <w:kern w:val="0"/>
                <w14:ligatures w14:val="none"/>
              </w:rPr>
              <w:t>91.05</w:t>
            </w:r>
          </w:p>
        </w:tc>
      </w:tr>
      <w:tr w:rsidR="00DD367D" w:rsidRPr="00DD367D" w14:paraId="1E969B48" w14:textId="77777777" w:rsidTr="00DD367D">
        <w:trPr>
          <w:trHeight w:val="300"/>
        </w:trPr>
        <w:tc>
          <w:tcPr>
            <w:tcW w:w="5380" w:type="dxa"/>
            <w:noWrap/>
            <w:hideMark/>
          </w:tcPr>
          <w:p w14:paraId="2148AF60" w14:textId="77777777" w:rsidR="00DD367D" w:rsidRPr="00DD367D" w:rsidRDefault="00DD367D" w:rsidP="00DD367D">
            <w:pPr>
              <w:ind w:firstLineChars="100" w:firstLine="240"/>
              <w:rPr>
                <w:rFonts w:ascii="Times" w:eastAsia="Times New Roman" w:hAnsi="Times" w:cs="Calibri"/>
                <w:color w:val="000000"/>
                <w:kern w:val="0"/>
                <w14:ligatures w14:val="none"/>
              </w:rPr>
            </w:pPr>
            <w:r w:rsidRPr="00DD367D">
              <w:rPr>
                <w:rFonts w:ascii="Times" w:eastAsia="Times New Roman" w:hAnsi="Times" w:cs="Calibri"/>
                <w:color w:val="000000"/>
                <w:kern w:val="0"/>
                <w14:ligatures w14:val="none"/>
              </w:rPr>
              <w:t>Receivable Days</w:t>
            </w:r>
          </w:p>
        </w:tc>
        <w:tc>
          <w:tcPr>
            <w:tcW w:w="1614" w:type="dxa"/>
            <w:noWrap/>
            <w:hideMark/>
          </w:tcPr>
          <w:p w14:paraId="7C7CCD2A" w14:textId="59FFA553" w:rsidR="00DD367D" w:rsidRPr="00DD367D" w:rsidRDefault="00DD367D" w:rsidP="00D374CB">
            <w:pPr>
              <w:jc w:val="center"/>
              <w:rPr>
                <w:rFonts w:ascii="Times" w:eastAsia="Times New Roman" w:hAnsi="Times" w:cs="Calibri"/>
                <w:color w:val="000000"/>
                <w:kern w:val="0"/>
                <w14:ligatures w14:val="none"/>
              </w:rPr>
            </w:pPr>
            <w:r w:rsidRPr="00DD367D">
              <w:rPr>
                <w:rFonts w:ascii="Times" w:eastAsia="Times New Roman" w:hAnsi="Times" w:cs="Calibri"/>
                <w:color w:val="000000"/>
                <w:kern w:val="0"/>
                <w14:ligatures w14:val="none"/>
              </w:rPr>
              <w:t>26.09</w:t>
            </w:r>
          </w:p>
        </w:tc>
        <w:tc>
          <w:tcPr>
            <w:tcW w:w="1614" w:type="dxa"/>
            <w:noWrap/>
            <w:hideMark/>
          </w:tcPr>
          <w:p w14:paraId="5AD7B58C" w14:textId="3523DB0F" w:rsidR="00DD367D" w:rsidRPr="00DD367D" w:rsidRDefault="00DD367D" w:rsidP="00D374CB">
            <w:pPr>
              <w:jc w:val="center"/>
              <w:rPr>
                <w:rFonts w:ascii="Times" w:eastAsia="Times New Roman" w:hAnsi="Times" w:cs="Calibri"/>
                <w:color w:val="000000"/>
                <w:kern w:val="0"/>
                <w14:ligatures w14:val="none"/>
              </w:rPr>
            </w:pPr>
            <w:r w:rsidRPr="00DD367D">
              <w:rPr>
                <w:rFonts w:ascii="Times" w:eastAsia="Times New Roman" w:hAnsi="Times" w:cs="Calibri"/>
                <w:color w:val="000000"/>
                <w:kern w:val="0"/>
                <w14:ligatures w14:val="none"/>
              </w:rPr>
              <w:t>26.22</w:t>
            </w:r>
          </w:p>
        </w:tc>
        <w:tc>
          <w:tcPr>
            <w:tcW w:w="1614" w:type="dxa"/>
            <w:noWrap/>
            <w:hideMark/>
          </w:tcPr>
          <w:p w14:paraId="205CAE47" w14:textId="43879769" w:rsidR="00DD367D" w:rsidRPr="00DD367D" w:rsidRDefault="00DD367D" w:rsidP="00D374CB">
            <w:pPr>
              <w:jc w:val="center"/>
              <w:rPr>
                <w:rFonts w:ascii="Times" w:eastAsia="Times New Roman" w:hAnsi="Times" w:cs="Calibri"/>
                <w:color w:val="000000"/>
                <w:kern w:val="0"/>
                <w14:ligatures w14:val="none"/>
              </w:rPr>
            </w:pPr>
            <w:r w:rsidRPr="00DD367D">
              <w:rPr>
                <w:rFonts w:ascii="Times" w:eastAsia="Times New Roman" w:hAnsi="Times" w:cs="Calibri"/>
                <w:color w:val="000000"/>
                <w:kern w:val="0"/>
                <w14:ligatures w14:val="none"/>
              </w:rPr>
              <w:t>21.43</w:t>
            </w:r>
          </w:p>
        </w:tc>
      </w:tr>
      <w:tr w:rsidR="00DD367D" w:rsidRPr="00DD367D" w14:paraId="2B144964" w14:textId="77777777" w:rsidTr="00DD367D">
        <w:trPr>
          <w:trHeight w:val="300"/>
        </w:trPr>
        <w:tc>
          <w:tcPr>
            <w:tcW w:w="5380" w:type="dxa"/>
            <w:noWrap/>
            <w:hideMark/>
          </w:tcPr>
          <w:p w14:paraId="12CFE98F" w14:textId="77777777" w:rsidR="00DD367D" w:rsidRPr="00DD367D" w:rsidRDefault="00DD367D" w:rsidP="00DD367D">
            <w:pPr>
              <w:ind w:firstLineChars="100" w:firstLine="240"/>
              <w:rPr>
                <w:rFonts w:ascii="Times" w:eastAsia="Times New Roman" w:hAnsi="Times" w:cs="Calibri"/>
                <w:color w:val="000000"/>
                <w:kern w:val="0"/>
                <w14:ligatures w14:val="none"/>
              </w:rPr>
            </w:pPr>
            <w:r w:rsidRPr="00DD367D">
              <w:rPr>
                <w:rFonts w:ascii="Times" w:eastAsia="Times New Roman" w:hAnsi="Times" w:cs="Calibri"/>
                <w:color w:val="000000"/>
                <w:kern w:val="0"/>
                <w14:ligatures w14:val="none"/>
              </w:rPr>
              <w:t>Net trading cycle</w:t>
            </w:r>
          </w:p>
        </w:tc>
        <w:tc>
          <w:tcPr>
            <w:tcW w:w="1614" w:type="dxa"/>
            <w:noWrap/>
            <w:hideMark/>
          </w:tcPr>
          <w:p w14:paraId="4D3FC29A" w14:textId="43C864C5" w:rsidR="00DD367D" w:rsidRPr="00DD367D" w:rsidRDefault="00DD367D" w:rsidP="00D374CB">
            <w:pPr>
              <w:jc w:val="center"/>
              <w:rPr>
                <w:rFonts w:ascii="Times" w:eastAsia="Times New Roman" w:hAnsi="Times" w:cs="Calibri"/>
                <w:color w:val="000000"/>
                <w:kern w:val="0"/>
                <w14:ligatures w14:val="none"/>
              </w:rPr>
            </w:pPr>
            <w:r w:rsidRPr="00DD367D">
              <w:rPr>
                <w:rFonts w:ascii="Times" w:eastAsia="Times New Roman" w:hAnsi="Times" w:cs="Calibri"/>
                <w:color w:val="000000"/>
                <w:kern w:val="0"/>
                <w14:ligatures w14:val="none"/>
              </w:rPr>
              <w:t>(70.52)</w:t>
            </w:r>
          </w:p>
        </w:tc>
        <w:tc>
          <w:tcPr>
            <w:tcW w:w="1614" w:type="dxa"/>
            <w:noWrap/>
            <w:hideMark/>
          </w:tcPr>
          <w:p w14:paraId="22197BDE" w14:textId="79CEBA4C" w:rsidR="00DD367D" w:rsidRPr="00DD367D" w:rsidRDefault="00DD367D" w:rsidP="00D374CB">
            <w:pPr>
              <w:jc w:val="center"/>
              <w:rPr>
                <w:rFonts w:ascii="Times" w:eastAsia="Times New Roman" w:hAnsi="Times" w:cs="Calibri"/>
                <w:color w:val="000000"/>
                <w:kern w:val="0"/>
                <w14:ligatures w14:val="none"/>
              </w:rPr>
            </w:pPr>
            <w:r w:rsidRPr="00DD367D">
              <w:rPr>
                <w:rFonts w:ascii="Times" w:eastAsia="Times New Roman" w:hAnsi="Times" w:cs="Calibri"/>
                <w:color w:val="000000"/>
                <w:kern w:val="0"/>
                <w14:ligatures w14:val="none"/>
              </w:rPr>
              <w:t>(56.36)</w:t>
            </w:r>
          </w:p>
        </w:tc>
        <w:tc>
          <w:tcPr>
            <w:tcW w:w="1614" w:type="dxa"/>
            <w:noWrap/>
            <w:hideMark/>
          </w:tcPr>
          <w:p w14:paraId="46B1B908" w14:textId="0ACDE28F" w:rsidR="00DD367D" w:rsidRPr="00DD367D" w:rsidRDefault="00DD367D" w:rsidP="00D374CB">
            <w:pPr>
              <w:jc w:val="center"/>
              <w:rPr>
                <w:rFonts w:ascii="Times" w:eastAsia="Times New Roman" w:hAnsi="Times" w:cs="Calibri"/>
                <w:color w:val="000000"/>
                <w:kern w:val="0"/>
                <w14:ligatures w14:val="none"/>
              </w:rPr>
            </w:pPr>
            <w:r w:rsidRPr="00DD367D">
              <w:rPr>
                <w:rFonts w:ascii="Times" w:eastAsia="Times New Roman" w:hAnsi="Times" w:cs="Calibri"/>
                <w:color w:val="000000"/>
                <w:kern w:val="0"/>
                <w14:ligatures w14:val="none"/>
              </w:rPr>
              <w:t>(60.87)</w:t>
            </w:r>
          </w:p>
        </w:tc>
      </w:tr>
      <w:tr w:rsidR="00DD367D" w:rsidRPr="00DD367D" w14:paraId="26F5BF5D" w14:textId="77777777" w:rsidTr="00DD367D">
        <w:trPr>
          <w:trHeight w:val="300"/>
        </w:trPr>
        <w:tc>
          <w:tcPr>
            <w:tcW w:w="5380" w:type="dxa"/>
            <w:noWrap/>
            <w:hideMark/>
          </w:tcPr>
          <w:p w14:paraId="445040DE" w14:textId="77777777" w:rsidR="00DD367D" w:rsidRPr="00DD367D" w:rsidRDefault="00DD367D" w:rsidP="00DD367D">
            <w:pPr>
              <w:ind w:firstLineChars="100" w:firstLine="240"/>
              <w:rPr>
                <w:rFonts w:ascii="Times" w:eastAsia="Times New Roman" w:hAnsi="Times" w:cs="Calibri"/>
                <w:color w:val="000000"/>
                <w:kern w:val="0"/>
                <w14:ligatures w14:val="none"/>
              </w:rPr>
            </w:pPr>
            <w:r w:rsidRPr="00DD367D">
              <w:rPr>
                <w:rFonts w:ascii="Times" w:eastAsia="Times New Roman" w:hAnsi="Times" w:cs="Calibri"/>
                <w:color w:val="000000"/>
                <w:kern w:val="0"/>
                <w14:ligatures w14:val="none"/>
              </w:rPr>
              <w:t>Working Capital as a % of Sales</w:t>
            </w:r>
          </w:p>
        </w:tc>
        <w:tc>
          <w:tcPr>
            <w:tcW w:w="1614" w:type="dxa"/>
            <w:noWrap/>
            <w:hideMark/>
          </w:tcPr>
          <w:p w14:paraId="55D55FAF" w14:textId="77777777" w:rsidR="00DD367D" w:rsidRPr="00DD367D" w:rsidRDefault="00DD367D" w:rsidP="00D374CB">
            <w:pPr>
              <w:jc w:val="center"/>
              <w:rPr>
                <w:rFonts w:ascii="Times" w:eastAsia="Times New Roman" w:hAnsi="Times" w:cs="Calibri"/>
                <w:color w:val="000000"/>
                <w:kern w:val="0"/>
                <w14:ligatures w14:val="none"/>
              </w:rPr>
            </w:pPr>
            <w:r w:rsidRPr="00DD367D">
              <w:rPr>
                <w:rFonts w:ascii="Times" w:eastAsia="Times New Roman" w:hAnsi="Times" w:cs="Calibri"/>
                <w:color w:val="000000"/>
                <w:kern w:val="0"/>
                <w14:ligatures w14:val="none"/>
              </w:rPr>
              <w:t>-4.71%</w:t>
            </w:r>
          </w:p>
        </w:tc>
        <w:tc>
          <w:tcPr>
            <w:tcW w:w="1614" w:type="dxa"/>
            <w:noWrap/>
            <w:hideMark/>
          </w:tcPr>
          <w:p w14:paraId="75C4B103" w14:textId="77777777" w:rsidR="00DD367D" w:rsidRPr="00DD367D" w:rsidRDefault="00DD367D" w:rsidP="00D374CB">
            <w:pPr>
              <w:jc w:val="center"/>
              <w:rPr>
                <w:rFonts w:ascii="Times" w:eastAsia="Times New Roman" w:hAnsi="Times" w:cs="Calibri"/>
                <w:color w:val="000000"/>
                <w:kern w:val="0"/>
                <w14:ligatures w14:val="none"/>
              </w:rPr>
            </w:pPr>
            <w:r w:rsidRPr="00DD367D">
              <w:rPr>
                <w:rFonts w:ascii="Times" w:eastAsia="Times New Roman" w:hAnsi="Times" w:cs="Calibri"/>
                <w:color w:val="000000"/>
                <w:kern w:val="0"/>
                <w14:ligatures w14:val="none"/>
              </w:rPr>
              <w:t>2.56%</w:t>
            </w:r>
          </w:p>
        </w:tc>
        <w:tc>
          <w:tcPr>
            <w:tcW w:w="1614" w:type="dxa"/>
            <w:noWrap/>
            <w:hideMark/>
          </w:tcPr>
          <w:p w14:paraId="15C7A446" w14:textId="77777777" w:rsidR="00DD367D" w:rsidRPr="00DD367D" w:rsidRDefault="00DD367D" w:rsidP="00D374CB">
            <w:pPr>
              <w:jc w:val="center"/>
              <w:rPr>
                <w:rFonts w:ascii="Times" w:eastAsia="Times New Roman" w:hAnsi="Times" w:cs="Calibri"/>
                <w:color w:val="000000"/>
                <w:kern w:val="0"/>
                <w14:ligatures w14:val="none"/>
              </w:rPr>
            </w:pPr>
            <w:r w:rsidRPr="00DD367D">
              <w:rPr>
                <w:rFonts w:ascii="Times" w:eastAsia="Times New Roman" w:hAnsi="Times" w:cs="Calibri"/>
                <w:color w:val="000000"/>
                <w:kern w:val="0"/>
                <w14:ligatures w14:val="none"/>
              </w:rPr>
              <w:t>13.96%</w:t>
            </w:r>
          </w:p>
        </w:tc>
      </w:tr>
    </w:tbl>
    <w:p w14:paraId="4794F6CF" w14:textId="77777777" w:rsidR="00DD367D" w:rsidRDefault="00DD367D">
      <w:pPr>
        <w:rPr>
          <w:rFonts w:ascii="Times" w:hAnsi="Times"/>
        </w:rPr>
      </w:pPr>
    </w:p>
    <w:p w14:paraId="6B831D68" w14:textId="11FFD23E" w:rsidR="00967537" w:rsidRDefault="00967537" w:rsidP="00967537">
      <w:pPr>
        <w:jc w:val="center"/>
        <w:rPr>
          <w:rFonts w:ascii="Times" w:hAnsi="Times"/>
        </w:rPr>
      </w:pPr>
      <w:r>
        <w:rPr>
          <w:noProof/>
        </w:rPr>
        <w:drawing>
          <wp:inline distT="0" distB="0" distL="0" distR="0" wp14:anchorId="1E315856" wp14:editId="59BF0030">
            <wp:extent cx="4572000" cy="2743200"/>
            <wp:effectExtent l="0" t="0" r="12700" b="12700"/>
            <wp:docPr id="1284610915" name="Chart 1">
              <a:extLst xmlns:a="http://schemas.openxmlformats.org/drawingml/2006/main">
                <a:ext uri="{FF2B5EF4-FFF2-40B4-BE49-F238E27FC236}">
                  <a16:creationId xmlns:a16="http://schemas.microsoft.com/office/drawing/2014/main" id="{FD6C0C2E-036B-8A92-07BA-CEB2A3C9B06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501A9C64" w14:textId="40C6031E" w:rsidR="00967537" w:rsidRDefault="00967537" w:rsidP="00967537">
      <w:pPr>
        <w:jc w:val="center"/>
        <w:rPr>
          <w:rFonts w:ascii="Times" w:hAnsi="Times"/>
        </w:rPr>
      </w:pPr>
      <w:r>
        <w:rPr>
          <w:noProof/>
        </w:rPr>
        <w:lastRenderedPageBreak/>
        <w:drawing>
          <wp:inline distT="0" distB="0" distL="0" distR="0" wp14:anchorId="07727F07" wp14:editId="3026C0CB">
            <wp:extent cx="4581769" cy="2743200"/>
            <wp:effectExtent l="0" t="0" r="3175" b="0"/>
            <wp:docPr id="1338588159" name="Chart 1">
              <a:extLst xmlns:a="http://schemas.openxmlformats.org/drawingml/2006/main">
                <a:ext uri="{FF2B5EF4-FFF2-40B4-BE49-F238E27FC236}">
                  <a16:creationId xmlns:a16="http://schemas.microsoft.com/office/drawing/2014/main" id="{438E9F83-7E0B-AD15-BA4E-61A77945D9E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2912E11D" w14:textId="77777777" w:rsidR="00967537" w:rsidRDefault="00967537" w:rsidP="00967537">
      <w:pPr>
        <w:rPr>
          <w:rFonts w:ascii="Times" w:hAnsi="Times"/>
        </w:rPr>
      </w:pPr>
    </w:p>
    <w:p w14:paraId="6562BD8B" w14:textId="7F0B4B59" w:rsidR="00967537" w:rsidRDefault="00967537" w:rsidP="00967537">
      <w:pPr>
        <w:jc w:val="center"/>
        <w:rPr>
          <w:rFonts w:ascii="Times" w:hAnsi="Times"/>
        </w:rPr>
      </w:pPr>
      <w:r>
        <w:rPr>
          <w:noProof/>
        </w:rPr>
        <w:drawing>
          <wp:inline distT="0" distB="0" distL="0" distR="0" wp14:anchorId="6F569130" wp14:editId="3BAE7E0E">
            <wp:extent cx="4572000" cy="2743200"/>
            <wp:effectExtent l="0" t="0" r="0" b="0"/>
            <wp:docPr id="1480486765" name="Chart 1">
              <a:extLst xmlns:a="http://schemas.openxmlformats.org/drawingml/2006/main">
                <a:ext uri="{FF2B5EF4-FFF2-40B4-BE49-F238E27FC236}">
                  <a16:creationId xmlns:a16="http://schemas.microsoft.com/office/drawing/2014/main" id="{5BBCEE74-DA8E-6191-CC14-9985D545BB0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2F100677" w14:textId="77777777" w:rsidR="00967537" w:rsidRDefault="00967537" w:rsidP="00967537">
      <w:pPr>
        <w:rPr>
          <w:rFonts w:ascii="Times" w:hAnsi="Times"/>
        </w:rPr>
      </w:pPr>
    </w:p>
    <w:p w14:paraId="34B32DE3" w14:textId="77777777" w:rsidR="00967537" w:rsidRDefault="00967537" w:rsidP="00967537">
      <w:pPr>
        <w:rPr>
          <w:rFonts w:ascii="Times" w:hAnsi="Times"/>
        </w:rPr>
      </w:pPr>
    </w:p>
    <w:p w14:paraId="2C7EB70F" w14:textId="77777777" w:rsidR="00967537" w:rsidRDefault="00967537" w:rsidP="00967537">
      <w:pPr>
        <w:rPr>
          <w:rFonts w:ascii="Times" w:hAnsi="Times"/>
        </w:rPr>
      </w:pPr>
    </w:p>
    <w:p w14:paraId="3327A974" w14:textId="77777777" w:rsidR="00967537" w:rsidRDefault="00967537" w:rsidP="00967537">
      <w:pPr>
        <w:rPr>
          <w:rFonts w:ascii="Times" w:hAnsi="Times"/>
        </w:rPr>
      </w:pPr>
    </w:p>
    <w:p w14:paraId="777475E9" w14:textId="77777777" w:rsidR="00967537" w:rsidRDefault="00967537" w:rsidP="00967537">
      <w:pPr>
        <w:rPr>
          <w:rFonts w:ascii="Times" w:hAnsi="Times"/>
        </w:rPr>
      </w:pPr>
    </w:p>
    <w:p w14:paraId="24DADB58" w14:textId="77777777" w:rsidR="00967537" w:rsidRDefault="00967537" w:rsidP="00967537">
      <w:pPr>
        <w:rPr>
          <w:rFonts w:ascii="Times" w:hAnsi="Times"/>
        </w:rPr>
      </w:pPr>
    </w:p>
    <w:p w14:paraId="36D2CD86" w14:textId="77777777" w:rsidR="00967537" w:rsidRDefault="00967537" w:rsidP="00967537">
      <w:pPr>
        <w:rPr>
          <w:rFonts w:ascii="Times" w:hAnsi="Times"/>
        </w:rPr>
      </w:pPr>
    </w:p>
    <w:p w14:paraId="503C83EE" w14:textId="15355B5C" w:rsidR="00C8465A" w:rsidRPr="00D34324" w:rsidRDefault="00D34324">
      <w:pPr>
        <w:rPr>
          <w:rFonts w:ascii="Times" w:hAnsi="Times"/>
          <w:b/>
          <w:bCs/>
        </w:rPr>
      </w:pPr>
      <w:r w:rsidRPr="00D34324">
        <w:rPr>
          <w:rFonts w:ascii="Times" w:hAnsi="Times"/>
          <w:b/>
          <w:bCs/>
        </w:rPr>
        <w:lastRenderedPageBreak/>
        <w:t>Profitability</w:t>
      </w:r>
    </w:p>
    <w:p w14:paraId="7741A310" w14:textId="77777777" w:rsidR="00D34324" w:rsidRPr="00D34324" w:rsidRDefault="00D34324" w:rsidP="00D34324">
      <w:pPr>
        <w:spacing w:line="360" w:lineRule="auto"/>
        <w:rPr>
          <w:rFonts w:ascii="Times" w:hAnsi="Times"/>
        </w:rPr>
      </w:pPr>
      <w:r w:rsidRPr="00D34324">
        <w:rPr>
          <w:rFonts w:ascii="Times" w:hAnsi="Times"/>
        </w:rPr>
        <w:t>In 2022, Apple's gross margin, EBITDA margin, EBIT margin, and net margin have all increased compared to 2020, indicating a strong ability to generate profits.</w:t>
      </w:r>
    </w:p>
    <w:tbl>
      <w:tblPr>
        <w:tblStyle w:val="TableGrid"/>
        <w:tblW w:w="10222" w:type="dxa"/>
        <w:tblLook w:val="04A0" w:firstRow="1" w:lastRow="0" w:firstColumn="1" w:lastColumn="0" w:noHBand="0" w:noVBand="1"/>
      </w:tblPr>
      <w:tblGrid>
        <w:gridCol w:w="5380"/>
        <w:gridCol w:w="1614"/>
        <w:gridCol w:w="1614"/>
        <w:gridCol w:w="1614"/>
      </w:tblGrid>
      <w:tr w:rsidR="00D34324" w:rsidRPr="00D34324" w14:paraId="4DC896D2" w14:textId="77777777" w:rsidTr="00D34324">
        <w:trPr>
          <w:trHeight w:val="300"/>
        </w:trPr>
        <w:tc>
          <w:tcPr>
            <w:tcW w:w="5380" w:type="dxa"/>
            <w:noWrap/>
            <w:hideMark/>
          </w:tcPr>
          <w:p w14:paraId="5262921D" w14:textId="147F0FB9" w:rsidR="00D34324" w:rsidRPr="00D34324" w:rsidRDefault="00D34324" w:rsidP="00D34324">
            <w:pPr>
              <w:rPr>
                <w:rFonts w:ascii="Times" w:eastAsia="Times New Roman" w:hAnsi="Times" w:cs="Calibri"/>
                <w:b/>
                <w:bCs/>
                <w:color w:val="000000"/>
                <w:kern w:val="0"/>
                <w14:ligatures w14:val="none"/>
              </w:rPr>
            </w:pPr>
            <w:r w:rsidRPr="00D34324">
              <w:rPr>
                <w:rFonts w:ascii="Times" w:eastAsia="Times New Roman" w:hAnsi="Times" w:cs="Calibri"/>
                <w:b/>
                <w:bCs/>
                <w:color w:val="000000"/>
                <w:kern w:val="0"/>
                <w14:ligatures w14:val="none"/>
              </w:rPr>
              <w:t>Profitability</w:t>
            </w:r>
            <w:r>
              <w:rPr>
                <w:rFonts w:ascii="Times" w:eastAsia="Times New Roman" w:hAnsi="Times" w:cs="Calibri"/>
                <w:b/>
                <w:bCs/>
                <w:color w:val="000000"/>
                <w:kern w:val="0"/>
                <w14:ligatures w14:val="none"/>
              </w:rPr>
              <w:t xml:space="preserve"> Ratios</w:t>
            </w:r>
          </w:p>
        </w:tc>
        <w:tc>
          <w:tcPr>
            <w:tcW w:w="1614" w:type="dxa"/>
            <w:noWrap/>
            <w:hideMark/>
          </w:tcPr>
          <w:p w14:paraId="2A8C357B" w14:textId="5B851017" w:rsidR="00D34324" w:rsidRPr="00D34324" w:rsidRDefault="00D34324" w:rsidP="00D34324">
            <w:pPr>
              <w:rPr>
                <w:rFonts w:ascii="Times" w:eastAsia="Times New Roman" w:hAnsi="Times" w:cs="Calibri"/>
                <w:b/>
                <w:bCs/>
                <w:color w:val="000000"/>
                <w:kern w:val="0"/>
                <w14:ligatures w14:val="none"/>
              </w:rPr>
            </w:pPr>
            <w:r w:rsidRPr="00DD367D">
              <w:rPr>
                <w:rFonts w:ascii="Times" w:eastAsia="Times New Roman" w:hAnsi="Times" w:cs="Calibri"/>
                <w:b/>
                <w:bCs/>
                <w:color w:val="000000"/>
                <w:kern w:val="0"/>
                <w14:ligatures w14:val="none"/>
              </w:rPr>
              <w:t>2022</w:t>
            </w:r>
          </w:p>
        </w:tc>
        <w:tc>
          <w:tcPr>
            <w:tcW w:w="1614" w:type="dxa"/>
            <w:noWrap/>
            <w:hideMark/>
          </w:tcPr>
          <w:p w14:paraId="5FEC8C71" w14:textId="1AC72FFA" w:rsidR="00D34324" w:rsidRPr="00D34324" w:rsidRDefault="00D34324" w:rsidP="00D34324">
            <w:pPr>
              <w:rPr>
                <w:rFonts w:ascii="Times" w:eastAsia="Times New Roman" w:hAnsi="Times" w:cs="Times New Roman"/>
                <w:kern w:val="0"/>
                <w14:ligatures w14:val="none"/>
              </w:rPr>
            </w:pPr>
            <w:r w:rsidRPr="00DD367D">
              <w:rPr>
                <w:rFonts w:ascii="Times" w:eastAsia="Times New Roman" w:hAnsi="Times" w:cs="Calibri"/>
                <w:b/>
                <w:bCs/>
                <w:color w:val="000000"/>
                <w:kern w:val="0"/>
                <w14:ligatures w14:val="none"/>
              </w:rPr>
              <w:t>2021</w:t>
            </w:r>
          </w:p>
        </w:tc>
        <w:tc>
          <w:tcPr>
            <w:tcW w:w="1614" w:type="dxa"/>
            <w:noWrap/>
            <w:hideMark/>
          </w:tcPr>
          <w:p w14:paraId="10D4C650" w14:textId="668859B1" w:rsidR="00D34324" w:rsidRPr="00D34324" w:rsidRDefault="00D34324" w:rsidP="00D34324">
            <w:pPr>
              <w:rPr>
                <w:rFonts w:ascii="Times" w:eastAsia="Times New Roman" w:hAnsi="Times" w:cs="Times New Roman"/>
                <w:kern w:val="0"/>
                <w14:ligatures w14:val="none"/>
              </w:rPr>
            </w:pPr>
            <w:r w:rsidRPr="00DD367D">
              <w:rPr>
                <w:rFonts w:ascii="Times" w:eastAsia="Times New Roman" w:hAnsi="Times" w:cs="Calibri"/>
                <w:b/>
                <w:bCs/>
                <w:color w:val="000000"/>
                <w:kern w:val="0"/>
                <w14:ligatures w14:val="none"/>
              </w:rPr>
              <w:t>2020</w:t>
            </w:r>
          </w:p>
        </w:tc>
      </w:tr>
      <w:tr w:rsidR="00D34324" w:rsidRPr="00D34324" w14:paraId="5F2B2766" w14:textId="77777777" w:rsidTr="00D34324">
        <w:trPr>
          <w:trHeight w:val="300"/>
        </w:trPr>
        <w:tc>
          <w:tcPr>
            <w:tcW w:w="5380" w:type="dxa"/>
            <w:noWrap/>
            <w:hideMark/>
          </w:tcPr>
          <w:p w14:paraId="234ED321" w14:textId="77777777" w:rsidR="00D34324" w:rsidRPr="00D34324" w:rsidRDefault="00D34324" w:rsidP="00D34324">
            <w:pPr>
              <w:ind w:firstLineChars="100" w:firstLine="240"/>
              <w:rPr>
                <w:rFonts w:ascii="Times" w:eastAsia="Times New Roman" w:hAnsi="Times" w:cs="Calibri"/>
                <w:color w:val="000000"/>
                <w:kern w:val="0"/>
                <w14:ligatures w14:val="none"/>
              </w:rPr>
            </w:pPr>
            <w:r w:rsidRPr="00D34324">
              <w:rPr>
                <w:rFonts w:ascii="Times" w:eastAsia="Times New Roman" w:hAnsi="Times" w:cs="Calibri"/>
                <w:color w:val="000000"/>
                <w:kern w:val="0"/>
                <w14:ligatures w14:val="none"/>
              </w:rPr>
              <w:t>Gross margin</w:t>
            </w:r>
          </w:p>
        </w:tc>
        <w:tc>
          <w:tcPr>
            <w:tcW w:w="1614" w:type="dxa"/>
            <w:noWrap/>
            <w:hideMark/>
          </w:tcPr>
          <w:p w14:paraId="22064E7D" w14:textId="01233F36" w:rsidR="00D34324" w:rsidRPr="00D34324" w:rsidRDefault="00D34324" w:rsidP="00D34324">
            <w:pPr>
              <w:jc w:val="center"/>
              <w:rPr>
                <w:rFonts w:ascii="Times" w:eastAsia="Times New Roman" w:hAnsi="Times" w:cs="Calibri"/>
                <w:color w:val="000000"/>
                <w:kern w:val="0"/>
                <w14:ligatures w14:val="none"/>
              </w:rPr>
            </w:pPr>
            <w:r w:rsidRPr="00D34324">
              <w:rPr>
                <w:rFonts w:ascii="Times" w:eastAsia="Times New Roman" w:hAnsi="Times" w:cs="Calibri"/>
                <w:color w:val="000000"/>
                <w:kern w:val="0"/>
                <w14:ligatures w14:val="none"/>
              </w:rPr>
              <w:t>0.43</w:t>
            </w:r>
          </w:p>
        </w:tc>
        <w:tc>
          <w:tcPr>
            <w:tcW w:w="1614" w:type="dxa"/>
            <w:noWrap/>
            <w:hideMark/>
          </w:tcPr>
          <w:p w14:paraId="66FDDF69" w14:textId="7265A699" w:rsidR="00D34324" w:rsidRPr="00D34324" w:rsidRDefault="00D34324" w:rsidP="00D34324">
            <w:pPr>
              <w:jc w:val="center"/>
              <w:rPr>
                <w:rFonts w:ascii="Times" w:eastAsia="Times New Roman" w:hAnsi="Times" w:cs="Calibri"/>
                <w:color w:val="000000"/>
                <w:kern w:val="0"/>
                <w14:ligatures w14:val="none"/>
              </w:rPr>
            </w:pPr>
            <w:r w:rsidRPr="00D34324">
              <w:rPr>
                <w:rFonts w:ascii="Times" w:eastAsia="Times New Roman" w:hAnsi="Times" w:cs="Calibri"/>
                <w:color w:val="000000"/>
                <w:kern w:val="0"/>
                <w14:ligatures w14:val="none"/>
              </w:rPr>
              <w:t>0.42</w:t>
            </w:r>
          </w:p>
        </w:tc>
        <w:tc>
          <w:tcPr>
            <w:tcW w:w="1614" w:type="dxa"/>
            <w:noWrap/>
            <w:hideMark/>
          </w:tcPr>
          <w:p w14:paraId="34709C5B" w14:textId="0090248E" w:rsidR="00D34324" w:rsidRPr="00D34324" w:rsidRDefault="00D34324" w:rsidP="00D34324">
            <w:pPr>
              <w:jc w:val="center"/>
              <w:rPr>
                <w:rFonts w:ascii="Times" w:eastAsia="Times New Roman" w:hAnsi="Times" w:cs="Calibri"/>
                <w:color w:val="000000"/>
                <w:kern w:val="0"/>
                <w14:ligatures w14:val="none"/>
              </w:rPr>
            </w:pPr>
            <w:r w:rsidRPr="00D34324">
              <w:rPr>
                <w:rFonts w:ascii="Times" w:eastAsia="Times New Roman" w:hAnsi="Times" w:cs="Calibri"/>
                <w:color w:val="000000"/>
                <w:kern w:val="0"/>
                <w14:ligatures w14:val="none"/>
              </w:rPr>
              <w:t>0.38</w:t>
            </w:r>
          </w:p>
        </w:tc>
      </w:tr>
      <w:tr w:rsidR="00D34324" w:rsidRPr="00D34324" w14:paraId="34B07FCE" w14:textId="77777777" w:rsidTr="00D34324">
        <w:trPr>
          <w:trHeight w:val="300"/>
        </w:trPr>
        <w:tc>
          <w:tcPr>
            <w:tcW w:w="5380" w:type="dxa"/>
            <w:noWrap/>
            <w:hideMark/>
          </w:tcPr>
          <w:p w14:paraId="159353D1" w14:textId="77777777" w:rsidR="00D34324" w:rsidRPr="00D34324" w:rsidRDefault="00D34324" w:rsidP="00D34324">
            <w:pPr>
              <w:ind w:firstLineChars="100" w:firstLine="240"/>
              <w:rPr>
                <w:rFonts w:ascii="Times" w:eastAsia="Times New Roman" w:hAnsi="Times" w:cs="Calibri"/>
                <w:color w:val="000000"/>
                <w:kern w:val="0"/>
                <w14:ligatures w14:val="none"/>
              </w:rPr>
            </w:pPr>
            <w:r w:rsidRPr="00D34324">
              <w:rPr>
                <w:rFonts w:ascii="Times" w:eastAsia="Times New Roman" w:hAnsi="Times" w:cs="Calibri"/>
                <w:color w:val="000000"/>
                <w:kern w:val="0"/>
                <w14:ligatures w14:val="none"/>
              </w:rPr>
              <w:t>EBITDA margin</w:t>
            </w:r>
          </w:p>
        </w:tc>
        <w:tc>
          <w:tcPr>
            <w:tcW w:w="1614" w:type="dxa"/>
            <w:noWrap/>
            <w:hideMark/>
          </w:tcPr>
          <w:p w14:paraId="500331A5" w14:textId="372224BD" w:rsidR="00D34324" w:rsidRPr="00D34324" w:rsidRDefault="00D34324" w:rsidP="00D34324">
            <w:pPr>
              <w:jc w:val="center"/>
              <w:rPr>
                <w:rFonts w:ascii="Times" w:eastAsia="Times New Roman" w:hAnsi="Times" w:cs="Calibri"/>
                <w:color w:val="000000"/>
                <w:kern w:val="0"/>
                <w14:ligatures w14:val="none"/>
              </w:rPr>
            </w:pPr>
            <w:r w:rsidRPr="00D34324">
              <w:rPr>
                <w:rFonts w:ascii="Times" w:eastAsia="Times New Roman" w:hAnsi="Times" w:cs="Calibri"/>
                <w:color w:val="000000"/>
                <w:kern w:val="0"/>
                <w14:ligatures w14:val="none"/>
              </w:rPr>
              <w:t>0.33</w:t>
            </w:r>
          </w:p>
        </w:tc>
        <w:tc>
          <w:tcPr>
            <w:tcW w:w="1614" w:type="dxa"/>
            <w:noWrap/>
            <w:hideMark/>
          </w:tcPr>
          <w:p w14:paraId="2594740A" w14:textId="708AA9EF" w:rsidR="00D34324" w:rsidRPr="00D34324" w:rsidRDefault="00D34324" w:rsidP="00D34324">
            <w:pPr>
              <w:jc w:val="center"/>
              <w:rPr>
                <w:rFonts w:ascii="Times" w:eastAsia="Times New Roman" w:hAnsi="Times" w:cs="Calibri"/>
                <w:color w:val="000000"/>
                <w:kern w:val="0"/>
                <w14:ligatures w14:val="none"/>
              </w:rPr>
            </w:pPr>
            <w:r w:rsidRPr="00D34324">
              <w:rPr>
                <w:rFonts w:ascii="Times" w:eastAsia="Times New Roman" w:hAnsi="Times" w:cs="Calibri"/>
                <w:color w:val="000000"/>
                <w:kern w:val="0"/>
                <w14:ligatures w14:val="none"/>
              </w:rPr>
              <w:t>0.33</w:t>
            </w:r>
          </w:p>
        </w:tc>
        <w:tc>
          <w:tcPr>
            <w:tcW w:w="1614" w:type="dxa"/>
            <w:noWrap/>
            <w:hideMark/>
          </w:tcPr>
          <w:p w14:paraId="4B346917" w14:textId="0CB2E4E2" w:rsidR="00D34324" w:rsidRPr="00D34324" w:rsidRDefault="00D34324" w:rsidP="00D34324">
            <w:pPr>
              <w:jc w:val="center"/>
              <w:rPr>
                <w:rFonts w:ascii="Times" w:eastAsia="Times New Roman" w:hAnsi="Times" w:cs="Calibri"/>
                <w:color w:val="000000"/>
                <w:kern w:val="0"/>
                <w14:ligatures w14:val="none"/>
              </w:rPr>
            </w:pPr>
            <w:r w:rsidRPr="00D34324">
              <w:rPr>
                <w:rFonts w:ascii="Times" w:eastAsia="Times New Roman" w:hAnsi="Times" w:cs="Calibri"/>
                <w:color w:val="000000"/>
                <w:kern w:val="0"/>
                <w14:ligatures w14:val="none"/>
              </w:rPr>
              <w:t>0.28</w:t>
            </w:r>
          </w:p>
        </w:tc>
      </w:tr>
      <w:tr w:rsidR="00D34324" w:rsidRPr="00D34324" w14:paraId="7FB66F0C" w14:textId="77777777" w:rsidTr="00D34324">
        <w:trPr>
          <w:trHeight w:val="300"/>
        </w:trPr>
        <w:tc>
          <w:tcPr>
            <w:tcW w:w="5380" w:type="dxa"/>
            <w:noWrap/>
            <w:hideMark/>
          </w:tcPr>
          <w:p w14:paraId="7223E39D" w14:textId="77777777" w:rsidR="00D34324" w:rsidRPr="00D34324" w:rsidRDefault="00D34324" w:rsidP="00D34324">
            <w:pPr>
              <w:ind w:firstLineChars="100" w:firstLine="240"/>
              <w:rPr>
                <w:rFonts w:ascii="Times" w:eastAsia="Times New Roman" w:hAnsi="Times" w:cs="Calibri"/>
                <w:color w:val="000000"/>
                <w:kern w:val="0"/>
                <w14:ligatures w14:val="none"/>
              </w:rPr>
            </w:pPr>
            <w:r w:rsidRPr="00D34324">
              <w:rPr>
                <w:rFonts w:ascii="Times" w:eastAsia="Times New Roman" w:hAnsi="Times" w:cs="Calibri"/>
                <w:color w:val="000000"/>
                <w:kern w:val="0"/>
                <w14:ligatures w14:val="none"/>
              </w:rPr>
              <w:t>EBIT margin</w:t>
            </w:r>
          </w:p>
        </w:tc>
        <w:tc>
          <w:tcPr>
            <w:tcW w:w="1614" w:type="dxa"/>
            <w:noWrap/>
            <w:hideMark/>
          </w:tcPr>
          <w:p w14:paraId="65DFFFCF" w14:textId="0C6DC428" w:rsidR="00D34324" w:rsidRPr="00D34324" w:rsidRDefault="00D34324" w:rsidP="00D34324">
            <w:pPr>
              <w:jc w:val="center"/>
              <w:rPr>
                <w:rFonts w:ascii="Times" w:eastAsia="Times New Roman" w:hAnsi="Times" w:cs="Calibri"/>
                <w:color w:val="000000"/>
                <w:kern w:val="0"/>
                <w14:ligatures w14:val="none"/>
              </w:rPr>
            </w:pPr>
            <w:r w:rsidRPr="00D34324">
              <w:rPr>
                <w:rFonts w:ascii="Times" w:eastAsia="Times New Roman" w:hAnsi="Times" w:cs="Calibri"/>
                <w:color w:val="000000"/>
                <w:kern w:val="0"/>
                <w14:ligatures w14:val="none"/>
              </w:rPr>
              <w:t>0.30</w:t>
            </w:r>
          </w:p>
        </w:tc>
        <w:tc>
          <w:tcPr>
            <w:tcW w:w="1614" w:type="dxa"/>
            <w:noWrap/>
            <w:hideMark/>
          </w:tcPr>
          <w:p w14:paraId="5D65991D" w14:textId="3DE79AC1" w:rsidR="00D34324" w:rsidRPr="00D34324" w:rsidRDefault="00D34324" w:rsidP="00D34324">
            <w:pPr>
              <w:jc w:val="center"/>
              <w:rPr>
                <w:rFonts w:ascii="Times" w:eastAsia="Times New Roman" w:hAnsi="Times" w:cs="Calibri"/>
                <w:color w:val="000000"/>
                <w:kern w:val="0"/>
                <w14:ligatures w14:val="none"/>
              </w:rPr>
            </w:pPr>
            <w:r w:rsidRPr="00D34324">
              <w:rPr>
                <w:rFonts w:ascii="Times" w:eastAsia="Times New Roman" w:hAnsi="Times" w:cs="Calibri"/>
                <w:color w:val="000000"/>
                <w:kern w:val="0"/>
                <w14:ligatures w14:val="none"/>
              </w:rPr>
              <w:t>0.30</w:t>
            </w:r>
          </w:p>
        </w:tc>
        <w:tc>
          <w:tcPr>
            <w:tcW w:w="1614" w:type="dxa"/>
            <w:noWrap/>
            <w:hideMark/>
          </w:tcPr>
          <w:p w14:paraId="1DAFE37A" w14:textId="29A48322" w:rsidR="00D34324" w:rsidRPr="00D34324" w:rsidRDefault="00D34324" w:rsidP="00D34324">
            <w:pPr>
              <w:jc w:val="center"/>
              <w:rPr>
                <w:rFonts w:ascii="Times" w:eastAsia="Times New Roman" w:hAnsi="Times" w:cs="Calibri"/>
                <w:color w:val="000000"/>
                <w:kern w:val="0"/>
                <w14:ligatures w14:val="none"/>
              </w:rPr>
            </w:pPr>
            <w:r w:rsidRPr="00D34324">
              <w:rPr>
                <w:rFonts w:ascii="Times" w:eastAsia="Times New Roman" w:hAnsi="Times" w:cs="Calibri"/>
                <w:color w:val="000000"/>
                <w:kern w:val="0"/>
                <w14:ligatures w14:val="none"/>
              </w:rPr>
              <w:t>0.24</w:t>
            </w:r>
          </w:p>
        </w:tc>
      </w:tr>
      <w:tr w:rsidR="00D34324" w:rsidRPr="00D34324" w14:paraId="4440FA8B" w14:textId="77777777" w:rsidTr="00D34324">
        <w:trPr>
          <w:trHeight w:val="300"/>
        </w:trPr>
        <w:tc>
          <w:tcPr>
            <w:tcW w:w="5380" w:type="dxa"/>
            <w:noWrap/>
            <w:hideMark/>
          </w:tcPr>
          <w:p w14:paraId="14CF1440" w14:textId="77777777" w:rsidR="00D34324" w:rsidRPr="00D34324" w:rsidRDefault="00D34324" w:rsidP="00D34324">
            <w:pPr>
              <w:ind w:firstLineChars="100" w:firstLine="240"/>
              <w:rPr>
                <w:rFonts w:ascii="Times" w:eastAsia="Times New Roman" w:hAnsi="Times" w:cs="Calibri"/>
                <w:color w:val="000000"/>
                <w:kern w:val="0"/>
                <w14:ligatures w14:val="none"/>
              </w:rPr>
            </w:pPr>
            <w:r w:rsidRPr="00D34324">
              <w:rPr>
                <w:rFonts w:ascii="Times" w:eastAsia="Times New Roman" w:hAnsi="Times" w:cs="Calibri"/>
                <w:color w:val="000000"/>
                <w:kern w:val="0"/>
                <w14:ligatures w14:val="none"/>
              </w:rPr>
              <w:t>Net margin</w:t>
            </w:r>
          </w:p>
        </w:tc>
        <w:tc>
          <w:tcPr>
            <w:tcW w:w="1614" w:type="dxa"/>
            <w:noWrap/>
            <w:hideMark/>
          </w:tcPr>
          <w:p w14:paraId="67489C83" w14:textId="7D643A1C" w:rsidR="00D34324" w:rsidRPr="00D34324" w:rsidRDefault="00D34324" w:rsidP="00D34324">
            <w:pPr>
              <w:jc w:val="center"/>
              <w:rPr>
                <w:rFonts w:ascii="Times" w:eastAsia="Times New Roman" w:hAnsi="Times" w:cs="Calibri"/>
                <w:color w:val="000000"/>
                <w:kern w:val="0"/>
                <w14:ligatures w14:val="none"/>
              </w:rPr>
            </w:pPr>
            <w:r w:rsidRPr="00D34324">
              <w:rPr>
                <w:rFonts w:ascii="Times" w:eastAsia="Times New Roman" w:hAnsi="Times" w:cs="Calibri"/>
                <w:color w:val="000000"/>
                <w:kern w:val="0"/>
                <w14:ligatures w14:val="none"/>
              </w:rPr>
              <w:t>0.25</w:t>
            </w:r>
          </w:p>
        </w:tc>
        <w:tc>
          <w:tcPr>
            <w:tcW w:w="1614" w:type="dxa"/>
            <w:noWrap/>
            <w:hideMark/>
          </w:tcPr>
          <w:p w14:paraId="67A92F72" w14:textId="344FFF62" w:rsidR="00D34324" w:rsidRPr="00D34324" w:rsidRDefault="00D34324" w:rsidP="00D34324">
            <w:pPr>
              <w:jc w:val="center"/>
              <w:rPr>
                <w:rFonts w:ascii="Times" w:eastAsia="Times New Roman" w:hAnsi="Times" w:cs="Calibri"/>
                <w:color w:val="000000"/>
                <w:kern w:val="0"/>
                <w14:ligatures w14:val="none"/>
              </w:rPr>
            </w:pPr>
            <w:r w:rsidRPr="00D34324">
              <w:rPr>
                <w:rFonts w:ascii="Times" w:eastAsia="Times New Roman" w:hAnsi="Times" w:cs="Calibri"/>
                <w:color w:val="000000"/>
                <w:kern w:val="0"/>
                <w14:ligatures w14:val="none"/>
              </w:rPr>
              <w:t>0.26</w:t>
            </w:r>
          </w:p>
        </w:tc>
        <w:tc>
          <w:tcPr>
            <w:tcW w:w="1614" w:type="dxa"/>
            <w:noWrap/>
            <w:hideMark/>
          </w:tcPr>
          <w:p w14:paraId="608E0ACB" w14:textId="6DF6D7AD" w:rsidR="00D34324" w:rsidRPr="00D34324" w:rsidRDefault="00D34324" w:rsidP="00D34324">
            <w:pPr>
              <w:jc w:val="center"/>
              <w:rPr>
                <w:rFonts w:ascii="Times" w:eastAsia="Times New Roman" w:hAnsi="Times" w:cs="Calibri"/>
                <w:color w:val="000000"/>
                <w:kern w:val="0"/>
                <w14:ligatures w14:val="none"/>
              </w:rPr>
            </w:pPr>
            <w:r w:rsidRPr="00D34324">
              <w:rPr>
                <w:rFonts w:ascii="Times" w:eastAsia="Times New Roman" w:hAnsi="Times" w:cs="Calibri"/>
                <w:color w:val="000000"/>
                <w:kern w:val="0"/>
                <w14:ligatures w14:val="none"/>
              </w:rPr>
              <w:t>0.21</w:t>
            </w:r>
          </w:p>
        </w:tc>
      </w:tr>
    </w:tbl>
    <w:p w14:paraId="41BD27AA" w14:textId="77777777" w:rsidR="00D34324" w:rsidRDefault="00D34324">
      <w:pPr>
        <w:rPr>
          <w:rFonts w:ascii="Times" w:hAnsi="Times"/>
        </w:rPr>
      </w:pPr>
    </w:p>
    <w:p w14:paraId="45550F9A" w14:textId="41EDA70A" w:rsidR="00224E74" w:rsidRDefault="00967537" w:rsidP="00967537">
      <w:pPr>
        <w:jc w:val="center"/>
        <w:rPr>
          <w:rFonts w:ascii="Times" w:hAnsi="Times"/>
        </w:rPr>
      </w:pPr>
      <w:r>
        <w:rPr>
          <w:noProof/>
        </w:rPr>
        <w:drawing>
          <wp:inline distT="0" distB="0" distL="0" distR="0" wp14:anchorId="552E0944" wp14:editId="0F77267B">
            <wp:extent cx="4572000" cy="2743200"/>
            <wp:effectExtent l="0" t="0" r="12700" b="12700"/>
            <wp:docPr id="1081844683" name="Chart 1">
              <a:extLst xmlns:a="http://schemas.openxmlformats.org/drawingml/2006/main">
                <a:ext uri="{FF2B5EF4-FFF2-40B4-BE49-F238E27FC236}">
                  <a16:creationId xmlns:a16="http://schemas.microsoft.com/office/drawing/2014/main" id="{5C1605B2-20D3-8A52-D559-81336CA7F87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9B4CB85" w14:textId="77777777" w:rsidR="00224E74" w:rsidRDefault="00224E74">
      <w:pPr>
        <w:rPr>
          <w:rFonts w:ascii="Times" w:hAnsi="Times"/>
        </w:rPr>
      </w:pPr>
    </w:p>
    <w:p w14:paraId="163F4E96" w14:textId="1C9CD1F7" w:rsidR="00D34324" w:rsidRPr="00D34324" w:rsidRDefault="00224E74">
      <w:pPr>
        <w:rPr>
          <w:rFonts w:ascii="Times" w:hAnsi="Times"/>
          <w:b/>
          <w:bCs/>
        </w:rPr>
      </w:pPr>
      <w:r>
        <w:rPr>
          <w:rFonts w:ascii="Times" w:hAnsi="Times"/>
          <w:b/>
          <w:bCs/>
        </w:rPr>
        <w:t>Leverage</w:t>
      </w:r>
    </w:p>
    <w:p w14:paraId="1D7CD3C5" w14:textId="77777777" w:rsidR="00224E74" w:rsidRPr="00224E74" w:rsidRDefault="00224E74" w:rsidP="00224E74">
      <w:pPr>
        <w:spacing w:line="360" w:lineRule="auto"/>
        <w:rPr>
          <w:rFonts w:ascii="Times" w:hAnsi="Times"/>
        </w:rPr>
      </w:pPr>
      <w:r w:rsidRPr="00224E74">
        <w:rPr>
          <w:rFonts w:ascii="Times" w:hAnsi="Times"/>
        </w:rPr>
        <w:t>Apple's debt to equity, debt to total assets, and long-term debt to capital ratios have all increased since 2020, indicating a rise in the company's debt levels. However, the times interest earned ratio has also improved, signaling Apple's enhanced ability to cover its interest obligations.</w:t>
      </w:r>
    </w:p>
    <w:tbl>
      <w:tblPr>
        <w:tblStyle w:val="TableGrid"/>
        <w:tblW w:w="10222" w:type="dxa"/>
        <w:tblLook w:val="04A0" w:firstRow="1" w:lastRow="0" w:firstColumn="1" w:lastColumn="0" w:noHBand="0" w:noVBand="1"/>
      </w:tblPr>
      <w:tblGrid>
        <w:gridCol w:w="5380"/>
        <w:gridCol w:w="1614"/>
        <w:gridCol w:w="1614"/>
        <w:gridCol w:w="1614"/>
      </w:tblGrid>
      <w:tr w:rsidR="00D34324" w:rsidRPr="00D34324" w14:paraId="01DA5AF9" w14:textId="77777777" w:rsidTr="00D34324">
        <w:trPr>
          <w:trHeight w:val="300"/>
        </w:trPr>
        <w:tc>
          <w:tcPr>
            <w:tcW w:w="5380" w:type="dxa"/>
            <w:noWrap/>
            <w:hideMark/>
          </w:tcPr>
          <w:p w14:paraId="1D90E4A7" w14:textId="4EBAFB0A" w:rsidR="00D34324" w:rsidRPr="00D34324" w:rsidRDefault="00224E74" w:rsidP="00D34324">
            <w:pPr>
              <w:rPr>
                <w:rFonts w:ascii="Times" w:eastAsia="Times New Roman" w:hAnsi="Times" w:cs="Calibri"/>
                <w:b/>
                <w:bCs/>
                <w:color w:val="000000"/>
                <w:kern w:val="0"/>
                <w14:ligatures w14:val="none"/>
              </w:rPr>
            </w:pPr>
            <w:r>
              <w:rPr>
                <w:rFonts w:ascii="Times" w:eastAsia="Times New Roman" w:hAnsi="Times" w:cs="Calibri"/>
                <w:b/>
                <w:bCs/>
                <w:color w:val="000000"/>
                <w:kern w:val="0"/>
                <w14:ligatures w14:val="none"/>
              </w:rPr>
              <w:t>Leverage</w:t>
            </w:r>
            <w:r w:rsidR="00D34324">
              <w:rPr>
                <w:rFonts w:ascii="Times" w:eastAsia="Times New Roman" w:hAnsi="Times" w:cs="Calibri"/>
                <w:b/>
                <w:bCs/>
                <w:color w:val="000000"/>
                <w:kern w:val="0"/>
                <w14:ligatures w14:val="none"/>
              </w:rPr>
              <w:t xml:space="preserve"> Ratios</w:t>
            </w:r>
          </w:p>
        </w:tc>
        <w:tc>
          <w:tcPr>
            <w:tcW w:w="1614" w:type="dxa"/>
            <w:noWrap/>
            <w:hideMark/>
          </w:tcPr>
          <w:p w14:paraId="5AA09A35" w14:textId="03C714E5" w:rsidR="00D34324" w:rsidRPr="00D34324" w:rsidRDefault="00D34324" w:rsidP="00D34324">
            <w:pPr>
              <w:rPr>
                <w:rFonts w:ascii="Times" w:eastAsia="Times New Roman" w:hAnsi="Times" w:cs="Calibri"/>
                <w:b/>
                <w:bCs/>
                <w:color w:val="000000"/>
                <w:kern w:val="0"/>
                <w14:ligatures w14:val="none"/>
              </w:rPr>
            </w:pPr>
            <w:r w:rsidRPr="00DD367D">
              <w:rPr>
                <w:rFonts w:ascii="Times" w:eastAsia="Times New Roman" w:hAnsi="Times" w:cs="Calibri"/>
                <w:b/>
                <w:bCs/>
                <w:color w:val="000000"/>
                <w:kern w:val="0"/>
                <w14:ligatures w14:val="none"/>
              </w:rPr>
              <w:t>2022</w:t>
            </w:r>
          </w:p>
        </w:tc>
        <w:tc>
          <w:tcPr>
            <w:tcW w:w="1614" w:type="dxa"/>
            <w:noWrap/>
            <w:hideMark/>
          </w:tcPr>
          <w:p w14:paraId="5E48BE4A" w14:textId="07795662" w:rsidR="00D34324" w:rsidRPr="00D34324" w:rsidRDefault="00D34324" w:rsidP="00D34324">
            <w:pPr>
              <w:rPr>
                <w:rFonts w:ascii="Times" w:eastAsia="Times New Roman" w:hAnsi="Times" w:cs="Times New Roman"/>
                <w:kern w:val="0"/>
                <w14:ligatures w14:val="none"/>
              </w:rPr>
            </w:pPr>
            <w:r w:rsidRPr="00DD367D">
              <w:rPr>
                <w:rFonts w:ascii="Times" w:eastAsia="Times New Roman" w:hAnsi="Times" w:cs="Calibri"/>
                <w:b/>
                <w:bCs/>
                <w:color w:val="000000"/>
                <w:kern w:val="0"/>
                <w14:ligatures w14:val="none"/>
              </w:rPr>
              <w:t>2021</w:t>
            </w:r>
          </w:p>
        </w:tc>
        <w:tc>
          <w:tcPr>
            <w:tcW w:w="1614" w:type="dxa"/>
            <w:noWrap/>
            <w:hideMark/>
          </w:tcPr>
          <w:p w14:paraId="27B91153" w14:textId="54F3A220" w:rsidR="00D34324" w:rsidRPr="00D34324" w:rsidRDefault="00D34324" w:rsidP="00D34324">
            <w:pPr>
              <w:rPr>
                <w:rFonts w:ascii="Times" w:eastAsia="Times New Roman" w:hAnsi="Times" w:cs="Times New Roman"/>
                <w:kern w:val="0"/>
                <w14:ligatures w14:val="none"/>
              </w:rPr>
            </w:pPr>
            <w:r w:rsidRPr="00DD367D">
              <w:rPr>
                <w:rFonts w:ascii="Times" w:eastAsia="Times New Roman" w:hAnsi="Times" w:cs="Calibri"/>
                <w:b/>
                <w:bCs/>
                <w:color w:val="000000"/>
                <w:kern w:val="0"/>
                <w14:ligatures w14:val="none"/>
              </w:rPr>
              <w:t>2020</w:t>
            </w:r>
          </w:p>
        </w:tc>
      </w:tr>
      <w:tr w:rsidR="00D34324" w:rsidRPr="00D34324" w14:paraId="5BADE394" w14:textId="77777777" w:rsidTr="00D34324">
        <w:trPr>
          <w:trHeight w:val="300"/>
        </w:trPr>
        <w:tc>
          <w:tcPr>
            <w:tcW w:w="5380" w:type="dxa"/>
            <w:noWrap/>
            <w:hideMark/>
          </w:tcPr>
          <w:p w14:paraId="30E0B050" w14:textId="77777777" w:rsidR="00D34324" w:rsidRPr="00D34324" w:rsidRDefault="00D34324" w:rsidP="00D34324">
            <w:pPr>
              <w:ind w:firstLineChars="100" w:firstLine="240"/>
              <w:rPr>
                <w:rFonts w:ascii="Times" w:eastAsia="Times New Roman" w:hAnsi="Times" w:cs="Calibri"/>
                <w:color w:val="000000"/>
                <w:kern w:val="0"/>
                <w14:ligatures w14:val="none"/>
              </w:rPr>
            </w:pPr>
            <w:r w:rsidRPr="00D34324">
              <w:rPr>
                <w:rFonts w:ascii="Times" w:eastAsia="Times New Roman" w:hAnsi="Times" w:cs="Calibri"/>
                <w:color w:val="000000"/>
                <w:kern w:val="0"/>
                <w14:ligatures w14:val="none"/>
              </w:rPr>
              <w:t>Debt to equity (D/E)</w:t>
            </w:r>
          </w:p>
        </w:tc>
        <w:tc>
          <w:tcPr>
            <w:tcW w:w="1614" w:type="dxa"/>
            <w:noWrap/>
            <w:hideMark/>
          </w:tcPr>
          <w:p w14:paraId="36D8CD33" w14:textId="46BC5193" w:rsidR="00D34324" w:rsidRPr="00D34324" w:rsidRDefault="00D34324" w:rsidP="00D34324">
            <w:pPr>
              <w:jc w:val="center"/>
              <w:rPr>
                <w:rFonts w:ascii="Times" w:eastAsia="Times New Roman" w:hAnsi="Times" w:cs="Calibri"/>
                <w:color w:val="000000"/>
                <w:kern w:val="0"/>
                <w14:ligatures w14:val="none"/>
              </w:rPr>
            </w:pPr>
            <w:r w:rsidRPr="00D34324">
              <w:rPr>
                <w:rFonts w:ascii="Times" w:eastAsia="Times New Roman" w:hAnsi="Times" w:cs="Calibri"/>
                <w:color w:val="000000"/>
                <w:kern w:val="0"/>
                <w14:ligatures w14:val="none"/>
              </w:rPr>
              <w:t>5.96</w:t>
            </w:r>
          </w:p>
        </w:tc>
        <w:tc>
          <w:tcPr>
            <w:tcW w:w="1614" w:type="dxa"/>
            <w:noWrap/>
            <w:hideMark/>
          </w:tcPr>
          <w:p w14:paraId="3644E9BB" w14:textId="24D07232" w:rsidR="00D34324" w:rsidRPr="00D34324" w:rsidRDefault="00D34324" w:rsidP="00D34324">
            <w:pPr>
              <w:jc w:val="center"/>
              <w:rPr>
                <w:rFonts w:ascii="Times" w:eastAsia="Times New Roman" w:hAnsi="Times" w:cs="Calibri"/>
                <w:color w:val="000000"/>
                <w:kern w:val="0"/>
                <w14:ligatures w14:val="none"/>
              </w:rPr>
            </w:pPr>
            <w:r w:rsidRPr="00D34324">
              <w:rPr>
                <w:rFonts w:ascii="Times" w:eastAsia="Times New Roman" w:hAnsi="Times" w:cs="Calibri"/>
                <w:color w:val="000000"/>
                <w:kern w:val="0"/>
                <w14:ligatures w14:val="none"/>
              </w:rPr>
              <w:t>4.56</w:t>
            </w:r>
          </w:p>
        </w:tc>
        <w:tc>
          <w:tcPr>
            <w:tcW w:w="1614" w:type="dxa"/>
            <w:noWrap/>
            <w:hideMark/>
          </w:tcPr>
          <w:p w14:paraId="0CC77A5C" w14:textId="504332CF" w:rsidR="00D34324" w:rsidRPr="00D34324" w:rsidRDefault="00D34324" w:rsidP="00D34324">
            <w:pPr>
              <w:jc w:val="center"/>
              <w:rPr>
                <w:rFonts w:ascii="Times" w:eastAsia="Times New Roman" w:hAnsi="Times" w:cs="Calibri"/>
                <w:color w:val="000000"/>
                <w:kern w:val="0"/>
                <w14:ligatures w14:val="none"/>
              </w:rPr>
            </w:pPr>
            <w:r w:rsidRPr="00D34324">
              <w:rPr>
                <w:rFonts w:ascii="Times" w:eastAsia="Times New Roman" w:hAnsi="Times" w:cs="Calibri"/>
                <w:color w:val="000000"/>
                <w:kern w:val="0"/>
                <w14:ligatures w14:val="none"/>
              </w:rPr>
              <w:t>3.96</w:t>
            </w:r>
          </w:p>
        </w:tc>
      </w:tr>
      <w:tr w:rsidR="00D34324" w:rsidRPr="00D34324" w14:paraId="75C98A1C" w14:textId="77777777" w:rsidTr="00D34324">
        <w:trPr>
          <w:trHeight w:val="300"/>
        </w:trPr>
        <w:tc>
          <w:tcPr>
            <w:tcW w:w="5380" w:type="dxa"/>
            <w:noWrap/>
            <w:hideMark/>
          </w:tcPr>
          <w:p w14:paraId="39007B89" w14:textId="77777777" w:rsidR="00D34324" w:rsidRPr="00D34324" w:rsidRDefault="00D34324" w:rsidP="00D34324">
            <w:pPr>
              <w:ind w:firstLineChars="100" w:firstLine="240"/>
              <w:rPr>
                <w:rFonts w:ascii="Times" w:eastAsia="Times New Roman" w:hAnsi="Times" w:cs="Calibri"/>
                <w:color w:val="000000"/>
                <w:kern w:val="0"/>
                <w14:ligatures w14:val="none"/>
              </w:rPr>
            </w:pPr>
            <w:r w:rsidRPr="00D34324">
              <w:rPr>
                <w:rFonts w:ascii="Times" w:eastAsia="Times New Roman" w:hAnsi="Times" w:cs="Calibri"/>
                <w:color w:val="000000"/>
                <w:kern w:val="0"/>
                <w14:ligatures w14:val="none"/>
              </w:rPr>
              <w:t>Debt to total assets</w:t>
            </w:r>
          </w:p>
        </w:tc>
        <w:tc>
          <w:tcPr>
            <w:tcW w:w="1614" w:type="dxa"/>
            <w:noWrap/>
            <w:hideMark/>
          </w:tcPr>
          <w:p w14:paraId="628FF748" w14:textId="6F67EC67" w:rsidR="00D34324" w:rsidRPr="00D34324" w:rsidRDefault="00D34324" w:rsidP="00D34324">
            <w:pPr>
              <w:jc w:val="center"/>
              <w:rPr>
                <w:rFonts w:ascii="Times" w:eastAsia="Times New Roman" w:hAnsi="Times" w:cs="Calibri"/>
                <w:color w:val="000000"/>
                <w:kern w:val="0"/>
                <w14:ligatures w14:val="none"/>
              </w:rPr>
            </w:pPr>
            <w:r w:rsidRPr="00D34324">
              <w:rPr>
                <w:rFonts w:ascii="Times" w:eastAsia="Times New Roman" w:hAnsi="Times" w:cs="Calibri"/>
                <w:color w:val="000000"/>
                <w:kern w:val="0"/>
                <w14:ligatures w14:val="none"/>
              </w:rPr>
              <w:t>0.86</w:t>
            </w:r>
          </w:p>
        </w:tc>
        <w:tc>
          <w:tcPr>
            <w:tcW w:w="1614" w:type="dxa"/>
            <w:noWrap/>
            <w:hideMark/>
          </w:tcPr>
          <w:p w14:paraId="480E6E0E" w14:textId="6E15BA90" w:rsidR="00D34324" w:rsidRPr="00D34324" w:rsidRDefault="00D34324" w:rsidP="00D34324">
            <w:pPr>
              <w:jc w:val="center"/>
              <w:rPr>
                <w:rFonts w:ascii="Times" w:eastAsia="Times New Roman" w:hAnsi="Times" w:cs="Calibri"/>
                <w:color w:val="000000"/>
                <w:kern w:val="0"/>
                <w14:ligatures w14:val="none"/>
              </w:rPr>
            </w:pPr>
            <w:r w:rsidRPr="00D34324">
              <w:rPr>
                <w:rFonts w:ascii="Times" w:eastAsia="Times New Roman" w:hAnsi="Times" w:cs="Calibri"/>
                <w:color w:val="000000"/>
                <w:kern w:val="0"/>
                <w14:ligatures w14:val="none"/>
              </w:rPr>
              <w:t>0.82</w:t>
            </w:r>
          </w:p>
        </w:tc>
        <w:tc>
          <w:tcPr>
            <w:tcW w:w="1614" w:type="dxa"/>
            <w:noWrap/>
            <w:hideMark/>
          </w:tcPr>
          <w:p w14:paraId="6CA0F450" w14:textId="5873CE61" w:rsidR="00D34324" w:rsidRPr="00D34324" w:rsidRDefault="00D34324" w:rsidP="00D34324">
            <w:pPr>
              <w:jc w:val="center"/>
              <w:rPr>
                <w:rFonts w:ascii="Times" w:eastAsia="Times New Roman" w:hAnsi="Times" w:cs="Calibri"/>
                <w:color w:val="000000"/>
                <w:kern w:val="0"/>
                <w14:ligatures w14:val="none"/>
              </w:rPr>
            </w:pPr>
            <w:r w:rsidRPr="00D34324">
              <w:rPr>
                <w:rFonts w:ascii="Times" w:eastAsia="Times New Roman" w:hAnsi="Times" w:cs="Calibri"/>
                <w:color w:val="000000"/>
                <w:kern w:val="0"/>
                <w14:ligatures w14:val="none"/>
              </w:rPr>
              <w:t>0.80</w:t>
            </w:r>
          </w:p>
        </w:tc>
      </w:tr>
      <w:tr w:rsidR="00D34324" w:rsidRPr="00D34324" w14:paraId="7B89BF11" w14:textId="77777777" w:rsidTr="00D34324">
        <w:trPr>
          <w:trHeight w:val="300"/>
        </w:trPr>
        <w:tc>
          <w:tcPr>
            <w:tcW w:w="5380" w:type="dxa"/>
            <w:noWrap/>
            <w:hideMark/>
          </w:tcPr>
          <w:p w14:paraId="4FC44756" w14:textId="77777777" w:rsidR="00D34324" w:rsidRPr="00D34324" w:rsidRDefault="00D34324" w:rsidP="00D34324">
            <w:pPr>
              <w:ind w:firstLineChars="100" w:firstLine="240"/>
              <w:rPr>
                <w:rFonts w:ascii="Times" w:eastAsia="Times New Roman" w:hAnsi="Times" w:cs="Calibri"/>
                <w:color w:val="000000"/>
                <w:kern w:val="0"/>
                <w14:ligatures w14:val="none"/>
              </w:rPr>
            </w:pPr>
            <w:r w:rsidRPr="00D34324">
              <w:rPr>
                <w:rFonts w:ascii="Times" w:eastAsia="Times New Roman" w:hAnsi="Times" w:cs="Calibri"/>
                <w:color w:val="000000"/>
                <w:kern w:val="0"/>
                <w14:ligatures w14:val="none"/>
              </w:rPr>
              <w:t>Long-term debt to capital</w:t>
            </w:r>
          </w:p>
        </w:tc>
        <w:tc>
          <w:tcPr>
            <w:tcW w:w="1614" w:type="dxa"/>
            <w:noWrap/>
            <w:hideMark/>
          </w:tcPr>
          <w:p w14:paraId="37F18F20" w14:textId="28A366D8" w:rsidR="00D34324" w:rsidRPr="00D34324" w:rsidRDefault="00D34324" w:rsidP="00D34324">
            <w:pPr>
              <w:jc w:val="center"/>
              <w:rPr>
                <w:rFonts w:ascii="Times" w:eastAsia="Times New Roman" w:hAnsi="Times" w:cs="Calibri"/>
                <w:color w:val="000000"/>
                <w:kern w:val="0"/>
                <w14:ligatures w14:val="none"/>
              </w:rPr>
            </w:pPr>
            <w:r w:rsidRPr="00D34324">
              <w:rPr>
                <w:rFonts w:ascii="Times" w:eastAsia="Times New Roman" w:hAnsi="Times" w:cs="Calibri"/>
                <w:color w:val="000000"/>
                <w:kern w:val="0"/>
                <w14:ligatures w14:val="none"/>
              </w:rPr>
              <w:t>1.95</w:t>
            </w:r>
          </w:p>
        </w:tc>
        <w:tc>
          <w:tcPr>
            <w:tcW w:w="1614" w:type="dxa"/>
            <w:noWrap/>
            <w:hideMark/>
          </w:tcPr>
          <w:p w14:paraId="490C9325" w14:textId="53F3A771" w:rsidR="00D34324" w:rsidRPr="00D34324" w:rsidRDefault="00D34324" w:rsidP="00D34324">
            <w:pPr>
              <w:jc w:val="center"/>
              <w:rPr>
                <w:rFonts w:ascii="Times" w:eastAsia="Times New Roman" w:hAnsi="Times" w:cs="Calibri"/>
                <w:color w:val="000000"/>
                <w:kern w:val="0"/>
                <w14:ligatures w14:val="none"/>
              </w:rPr>
            </w:pPr>
            <w:r w:rsidRPr="00D34324">
              <w:rPr>
                <w:rFonts w:ascii="Times" w:eastAsia="Times New Roman" w:hAnsi="Times" w:cs="Calibri"/>
                <w:color w:val="000000"/>
                <w:kern w:val="0"/>
                <w14:ligatures w14:val="none"/>
              </w:rPr>
              <w:t>1.73</w:t>
            </w:r>
          </w:p>
        </w:tc>
        <w:tc>
          <w:tcPr>
            <w:tcW w:w="1614" w:type="dxa"/>
            <w:noWrap/>
            <w:hideMark/>
          </w:tcPr>
          <w:p w14:paraId="0275C817" w14:textId="4740F861" w:rsidR="00D34324" w:rsidRPr="00D34324" w:rsidRDefault="00D34324" w:rsidP="00D34324">
            <w:pPr>
              <w:jc w:val="center"/>
              <w:rPr>
                <w:rFonts w:ascii="Times" w:eastAsia="Times New Roman" w:hAnsi="Times" w:cs="Calibri"/>
                <w:color w:val="000000"/>
                <w:kern w:val="0"/>
                <w14:ligatures w14:val="none"/>
              </w:rPr>
            </w:pPr>
            <w:r w:rsidRPr="00D34324">
              <w:rPr>
                <w:rFonts w:ascii="Times" w:eastAsia="Times New Roman" w:hAnsi="Times" w:cs="Calibri"/>
                <w:color w:val="000000"/>
                <w:kern w:val="0"/>
                <w14:ligatures w14:val="none"/>
              </w:rPr>
              <w:t>1.51</w:t>
            </w:r>
          </w:p>
        </w:tc>
      </w:tr>
      <w:tr w:rsidR="00D34324" w:rsidRPr="00D34324" w14:paraId="16F9EAA4" w14:textId="77777777" w:rsidTr="00D34324">
        <w:trPr>
          <w:trHeight w:val="300"/>
        </w:trPr>
        <w:tc>
          <w:tcPr>
            <w:tcW w:w="5380" w:type="dxa"/>
            <w:noWrap/>
            <w:hideMark/>
          </w:tcPr>
          <w:p w14:paraId="6E73EF87" w14:textId="77777777" w:rsidR="00D34324" w:rsidRPr="00D34324" w:rsidRDefault="00D34324" w:rsidP="00D34324">
            <w:pPr>
              <w:ind w:firstLineChars="100" w:firstLine="240"/>
              <w:rPr>
                <w:rFonts w:ascii="Times" w:eastAsia="Times New Roman" w:hAnsi="Times" w:cs="Calibri"/>
                <w:color w:val="000000"/>
                <w:kern w:val="0"/>
                <w14:ligatures w14:val="none"/>
              </w:rPr>
            </w:pPr>
            <w:r w:rsidRPr="00D34324">
              <w:rPr>
                <w:rFonts w:ascii="Times" w:eastAsia="Times New Roman" w:hAnsi="Times" w:cs="Calibri"/>
                <w:color w:val="000000"/>
                <w:kern w:val="0"/>
                <w14:ligatures w14:val="none"/>
              </w:rPr>
              <w:t>Times interest earned</w:t>
            </w:r>
          </w:p>
        </w:tc>
        <w:tc>
          <w:tcPr>
            <w:tcW w:w="1614" w:type="dxa"/>
            <w:noWrap/>
            <w:hideMark/>
          </w:tcPr>
          <w:p w14:paraId="70B904A7" w14:textId="745F907D" w:rsidR="00D34324" w:rsidRPr="00D34324" w:rsidRDefault="00D34324" w:rsidP="00D34324">
            <w:pPr>
              <w:jc w:val="center"/>
              <w:rPr>
                <w:rFonts w:ascii="Times" w:eastAsia="Times New Roman" w:hAnsi="Times" w:cs="Calibri"/>
                <w:color w:val="000000"/>
                <w:kern w:val="0"/>
                <w14:ligatures w14:val="none"/>
              </w:rPr>
            </w:pPr>
            <w:r w:rsidRPr="00D34324">
              <w:rPr>
                <w:rFonts w:ascii="Times" w:eastAsia="Times New Roman" w:hAnsi="Times" w:cs="Calibri"/>
                <w:color w:val="000000"/>
                <w:kern w:val="0"/>
                <w14:ligatures w14:val="none"/>
              </w:rPr>
              <w:t>40.75</w:t>
            </w:r>
          </w:p>
        </w:tc>
        <w:tc>
          <w:tcPr>
            <w:tcW w:w="1614" w:type="dxa"/>
            <w:noWrap/>
            <w:hideMark/>
          </w:tcPr>
          <w:p w14:paraId="04F46931" w14:textId="0644291E" w:rsidR="00D34324" w:rsidRPr="00D34324" w:rsidRDefault="00D34324" w:rsidP="00D34324">
            <w:pPr>
              <w:jc w:val="center"/>
              <w:rPr>
                <w:rFonts w:ascii="Times" w:eastAsia="Times New Roman" w:hAnsi="Times" w:cs="Calibri"/>
                <w:color w:val="000000"/>
                <w:kern w:val="0"/>
                <w14:ligatures w14:val="none"/>
              </w:rPr>
            </w:pPr>
            <w:r w:rsidRPr="00D34324">
              <w:rPr>
                <w:rFonts w:ascii="Times" w:eastAsia="Times New Roman" w:hAnsi="Times" w:cs="Calibri"/>
                <w:color w:val="000000"/>
                <w:kern w:val="0"/>
                <w14:ligatures w14:val="none"/>
              </w:rPr>
              <w:t>41.19</w:t>
            </w:r>
          </w:p>
        </w:tc>
        <w:tc>
          <w:tcPr>
            <w:tcW w:w="1614" w:type="dxa"/>
            <w:noWrap/>
            <w:hideMark/>
          </w:tcPr>
          <w:p w14:paraId="2F742D48" w14:textId="500E8C63" w:rsidR="00D34324" w:rsidRPr="00D34324" w:rsidRDefault="00D34324" w:rsidP="00D34324">
            <w:pPr>
              <w:jc w:val="center"/>
              <w:rPr>
                <w:rFonts w:ascii="Times" w:eastAsia="Times New Roman" w:hAnsi="Times" w:cs="Calibri"/>
                <w:color w:val="000000"/>
                <w:kern w:val="0"/>
                <w14:ligatures w14:val="none"/>
              </w:rPr>
            </w:pPr>
            <w:r w:rsidRPr="00D34324">
              <w:rPr>
                <w:rFonts w:ascii="Times" w:eastAsia="Times New Roman" w:hAnsi="Times" w:cs="Calibri"/>
                <w:color w:val="000000"/>
                <w:kern w:val="0"/>
                <w14:ligatures w14:val="none"/>
              </w:rPr>
              <w:t>23.07</w:t>
            </w:r>
          </w:p>
        </w:tc>
      </w:tr>
      <w:tr w:rsidR="00D34324" w:rsidRPr="00D34324" w14:paraId="230A6901" w14:textId="77777777" w:rsidTr="00D34324">
        <w:trPr>
          <w:trHeight w:val="300"/>
        </w:trPr>
        <w:tc>
          <w:tcPr>
            <w:tcW w:w="5380" w:type="dxa"/>
            <w:noWrap/>
            <w:hideMark/>
          </w:tcPr>
          <w:p w14:paraId="0CAB53FF" w14:textId="77777777" w:rsidR="00D34324" w:rsidRPr="00D34324" w:rsidRDefault="00D34324" w:rsidP="00D34324">
            <w:pPr>
              <w:ind w:firstLineChars="100" w:firstLine="240"/>
              <w:rPr>
                <w:rFonts w:ascii="Times" w:eastAsia="Times New Roman" w:hAnsi="Times" w:cs="Calibri"/>
                <w:color w:val="000000"/>
                <w:kern w:val="0"/>
                <w14:ligatures w14:val="none"/>
              </w:rPr>
            </w:pPr>
            <w:r w:rsidRPr="00D34324">
              <w:rPr>
                <w:rFonts w:ascii="Times" w:eastAsia="Times New Roman" w:hAnsi="Times" w:cs="Calibri"/>
                <w:color w:val="000000"/>
                <w:kern w:val="0"/>
                <w14:ligatures w14:val="none"/>
              </w:rPr>
              <w:t>Debt coverage</w:t>
            </w:r>
          </w:p>
        </w:tc>
        <w:tc>
          <w:tcPr>
            <w:tcW w:w="1614" w:type="dxa"/>
            <w:noWrap/>
            <w:hideMark/>
          </w:tcPr>
          <w:p w14:paraId="23C21CE1" w14:textId="1CABB322" w:rsidR="00D34324" w:rsidRPr="00D34324" w:rsidRDefault="00D34324" w:rsidP="00D34324">
            <w:pPr>
              <w:jc w:val="center"/>
              <w:rPr>
                <w:rFonts w:ascii="Times" w:eastAsia="Times New Roman" w:hAnsi="Times" w:cs="Calibri"/>
                <w:color w:val="000000"/>
                <w:kern w:val="0"/>
                <w14:ligatures w14:val="none"/>
              </w:rPr>
            </w:pPr>
            <w:r w:rsidRPr="00D34324">
              <w:rPr>
                <w:rFonts w:ascii="Times" w:eastAsia="Times New Roman" w:hAnsi="Times" w:cs="Calibri"/>
                <w:color w:val="000000"/>
                <w:kern w:val="0"/>
                <w14:ligatures w14:val="none"/>
              </w:rPr>
              <w:t>5.66</w:t>
            </w:r>
          </w:p>
        </w:tc>
        <w:tc>
          <w:tcPr>
            <w:tcW w:w="1614" w:type="dxa"/>
            <w:noWrap/>
            <w:hideMark/>
          </w:tcPr>
          <w:p w14:paraId="68DAA2E7" w14:textId="67B620F2" w:rsidR="00D34324" w:rsidRPr="00D34324" w:rsidRDefault="00D34324" w:rsidP="00D34324">
            <w:pPr>
              <w:jc w:val="center"/>
              <w:rPr>
                <w:rFonts w:ascii="Times" w:eastAsia="Times New Roman" w:hAnsi="Times" w:cs="Calibri"/>
                <w:color w:val="000000"/>
                <w:kern w:val="0"/>
                <w14:ligatures w14:val="none"/>
              </w:rPr>
            </w:pPr>
            <w:r w:rsidRPr="00D34324">
              <w:rPr>
                <w:rFonts w:ascii="Times" w:eastAsia="Times New Roman" w:hAnsi="Times" w:cs="Calibri"/>
                <w:color w:val="000000"/>
                <w:kern w:val="0"/>
                <w14:ligatures w14:val="none"/>
              </w:rPr>
              <w:t>6.98</w:t>
            </w:r>
          </w:p>
        </w:tc>
        <w:tc>
          <w:tcPr>
            <w:tcW w:w="1614" w:type="dxa"/>
            <w:noWrap/>
            <w:hideMark/>
          </w:tcPr>
          <w:p w14:paraId="26A8567B" w14:textId="0B197057" w:rsidR="00D34324" w:rsidRPr="00D34324" w:rsidRDefault="00D34324" w:rsidP="00D34324">
            <w:pPr>
              <w:jc w:val="center"/>
              <w:rPr>
                <w:rFonts w:ascii="Times" w:eastAsia="Times New Roman" w:hAnsi="Times" w:cs="Calibri"/>
                <w:color w:val="000000"/>
                <w:kern w:val="0"/>
                <w14:ligatures w14:val="none"/>
              </w:rPr>
            </w:pPr>
            <w:r w:rsidRPr="00D34324">
              <w:rPr>
                <w:rFonts w:ascii="Times" w:eastAsia="Times New Roman" w:hAnsi="Times" w:cs="Calibri"/>
                <w:color w:val="000000"/>
                <w:kern w:val="0"/>
                <w14:ligatures w14:val="none"/>
              </w:rPr>
              <w:t>4.81</w:t>
            </w:r>
          </w:p>
        </w:tc>
      </w:tr>
    </w:tbl>
    <w:p w14:paraId="712AEF54" w14:textId="77777777" w:rsidR="00D34324" w:rsidRDefault="00D34324">
      <w:pPr>
        <w:rPr>
          <w:rFonts w:ascii="Times" w:hAnsi="Times"/>
        </w:rPr>
      </w:pPr>
    </w:p>
    <w:p w14:paraId="20891725" w14:textId="27C0A71D" w:rsidR="00967537" w:rsidRDefault="00967537" w:rsidP="00967537">
      <w:pPr>
        <w:jc w:val="center"/>
        <w:rPr>
          <w:rFonts w:ascii="Times" w:hAnsi="Times"/>
        </w:rPr>
      </w:pPr>
      <w:r>
        <w:rPr>
          <w:noProof/>
        </w:rPr>
        <w:lastRenderedPageBreak/>
        <w:drawing>
          <wp:inline distT="0" distB="0" distL="0" distR="0" wp14:anchorId="24D7C10E" wp14:editId="690BE584">
            <wp:extent cx="4572000" cy="2743200"/>
            <wp:effectExtent l="0" t="0" r="12700" b="12700"/>
            <wp:docPr id="362450319" name="Chart 1">
              <a:extLst xmlns:a="http://schemas.openxmlformats.org/drawingml/2006/main">
                <a:ext uri="{FF2B5EF4-FFF2-40B4-BE49-F238E27FC236}">
                  <a16:creationId xmlns:a16="http://schemas.microsoft.com/office/drawing/2014/main" id="{B94E65F0-EA1A-D14A-A574-52B55874A1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0079C3E" w14:textId="77777777" w:rsidR="00967537" w:rsidRDefault="00967537" w:rsidP="00967537">
      <w:pPr>
        <w:rPr>
          <w:rFonts w:ascii="Times" w:hAnsi="Times"/>
        </w:rPr>
      </w:pPr>
    </w:p>
    <w:p w14:paraId="37D0A16C" w14:textId="4B9D3F4B" w:rsidR="00967537" w:rsidRDefault="00967537" w:rsidP="00967537">
      <w:pPr>
        <w:jc w:val="center"/>
        <w:rPr>
          <w:rFonts w:ascii="Times" w:hAnsi="Times"/>
        </w:rPr>
      </w:pPr>
      <w:r>
        <w:rPr>
          <w:noProof/>
        </w:rPr>
        <w:drawing>
          <wp:inline distT="0" distB="0" distL="0" distR="0" wp14:anchorId="6A9201E0" wp14:editId="0870F8EF">
            <wp:extent cx="4572000" cy="2743200"/>
            <wp:effectExtent l="0" t="0" r="12700" b="12700"/>
            <wp:docPr id="953233503" name="Chart 1">
              <a:extLst xmlns:a="http://schemas.openxmlformats.org/drawingml/2006/main">
                <a:ext uri="{FF2B5EF4-FFF2-40B4-BE49-F238E27FC236}">
                  <a16:creationId xmlns:a16="http://schemas.microsoft.com/office/drawing/2014/main" id="{A5111F54-6D7F-1EE0-6CA9-EE898B7D864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5E09DA3" w14:textId="77777777" w:rsidR="00967537" w:rsidRDefault="00967537" w:rsidP="00967537">
      <w:pPr>
        <w:rPr>
          <w:rFonts w:ascii="Times" w:hAnsi="Times"/>
        </w:rPr>
      </w:pPr>
    </w:p>
    <w:p w14:paraId="4B38645E" w14:textId="77777777" w:rsidR="00967537" w:rsidRDefault="00967537" w:rsidP="00967537">
      <w:pPr>
        <w:rPr>
          <w:rFonts w:ascii="Times" w:hAnsi="Times"/>
        </w:rPr>
      </w:pPr>
    </w:p>
    <w:p w14:paraId="4178E81B" w14:textId="77777777" w:rsidR="00967537" w:rsidRDefault="00967537" w:rsidP="00967537">
      <w:pPr>
        <w:rPr>
          <w:rFonts w:ascii="Times" w:hAnsi="Times"/>
        </w:rPr>
      </w:pPr>
    </w:p>
    <w:p w14:paraId="372397F7" w14:textId="77777777" w:rsidR="00967537" w:rsidRDefault="00967537" w:rsidP="00967537">
      <w:pPr>
        <w:rPr>
          <w:rFonts w:ascii="Times" w:hAnsi="Times"/>
        </w:rPr>
      </w:pPr>
    </w:p>
    <w:p w14:paraId="1E9CDDA7" w14:textId="77777777" w:rsidR="00967537" w:rsidRDefault="00967537" w:rsidP="00967537">
      <w:pPr>
        <w:rPr>
          <w:rFonts w:ascii="Times" w:hAnsi="Times"/>
        </w:rPr>
      </w:pPr>
    </w:p>
    <w:p w14:paraId="4D846ACD" w14:textId="77777777" w:rsidR="00967537" w:rsidRDefault="00967537" w:rsidP="00967537">
      <w:pPr>
        <w:rPr>
          <w:rFonts w:ascii="Times" w:hAnsi="Times"/>
        </w:rPr>
      </w:pPr>
    </w:p>
    <w:p w14:paraId="2847D8ED" w14:textId="77777777" w:rsidR="00967537" w:rsidRDefault="00967537" w:rsidP="00967537">
      <w:pPr>
        <w:rPr>
          <w:rFonts w:ascii="Times" w:hAnsi="Times"/>
        </w:rPr>
      </w:pPr>
    </w:p>
    <w:p w14:paraId="6807181F" w14:textId="1EE52304" w:rsidR="00D34324" w:rsidRPr="00224E74" w:rsidRDefault="00224E74">
      <w:pPr>
        <w:rPr>
          <w:rFonts w:ascii="Times" w:hAnsi="Times"/>
          <w:b/>
          <w:bCs/>
        </w:rPr>
      </w:pPr>
      <w:r w:rsidRPr="00224E74">
        <w:rPr>
          <w:rFonts w:ascii="Times" w:hAnsi="Times"/>
          <w:b/>
          <w:bCs/>
        </w:rPr>
        <w:lastRenderedPageBreak/>
        <w:t>Efficiency</w:t>
      </w:r>
    </w:p>
    <w:p w14:paraId="4715B2C3" w14:textId="77777777" w:rsidR="0092529F" w:rsidRPr="0092529F" w:rsidRDefault="0092529F" w:rsidP="0092529F">
      <w:pPr>
        <w:spacing w:line="360" w:lineRule="auto"/>
        <w:rPr>
          <w:rFonts w:ascii="Times" w:hAnsi="Times"/>
        </w:rPr>
      </w:pPr>
      <w:r w:rsidRPr="0092529F">
        <w:rPr>
          <w:rFonts w:ascii="Times" w:hAnsi="Times"/>
        </w:rPr>
        <w:t>In 2022, Apple's total asset turnover and fixed asset turnover ratios improved, indicating more efficient use of both total and fixed assets. However, the inventory turnover ratio declined. Despite this, the return on equity (ROE) and return on capital employed (ROCE) both increased, signaling that Apple is using its capital, including equity, more efficiently to generate profits.</w:t>
      </w:r>
    </w:p>
    <w:tbl>
      <w:tblPr>
        <w:tblStyle w:val="TableGrid"/>
        <w:tblW w:w="8608" w:type="dxa"/>
        <w:tblLook w:val="04A0" w:firstRow="1" w:lastRow="0" w:firstColumn="1" w:lastColumn="0" w:noHBand="0" w:noVBand="1"/>
      </w:tblPr>
      <w:tblGrid>
        <w:gridCol w:w="5380"/>
        <w:gridCol w:w="1614"/>
        <w:gridCol w:w="1614"/>
      </w:tblGrid>
      <w:tr w:rsidR="00224E74" w:rsidRPr="00224E74" w14:paraId="626B8E75" w14:textId="77777777" w:rsidTr="00224E74">
        <w:trPr>
          <w:trHeight w:val="300"/>
        </w:trPr>
        <w:tc>
          <w:tcPr>
            <w:tcW w:w="5380" w:type="dxa"/>
            <w:noWrap/>
            <w:hideMark/>
          </w:tcPr>
          <w:p w14:paraId="152F77C4" w14:textId="5B4EBE0B" w:rsidR="00224E74" w:rsidRPr="00224E74" w:rsidRDefault="00224E74" w:rsidP="00224E74">
            <w:pPr>
              <w:rPr>
                <w:rFonts w:ascii="Times" w:hAnsi="Times"/>
                <w:b/>
                <w:bCs/>
              </w:rPr>
            </w:pPr>
            <w:r w:rsidRPr="00224E74">
              <w:rPr>
                <w:rFonts w:ascii="Times" w:hAnsi="Times"/>
                <w:b/>
                <w:bCs/>
              </w:rPr>
              <w:t>Efficiency</w:t>
            </w:r>
            <w:r w:rsidRPr="00224E74">
              <w:rPr>
                <w:rFonts w:ascii="Times" w:eastAsia="Times New Roman" w:hAnsi="Times" w:cs="Calibri"/>
                <w:b/>
                <w:bCs/>
                <w:color w:val="000000"/>
                <w:kern w:val="0"/>
                <w14:ligatures w14:val="none"/>
              </w:rPr>
              <w:t xml:space="preserve"> Ratios</w:t>
            </w:r>
          </w:p>
        </w:tc>
        <w:tc>
          <w:tcPr>
            <w:tcW w:w="1614" w:type="dxa"/>
            <w:noWrap/>
            <w:hideMark/>
          </w:tcPr>
          <w:p w14:paraId="59124C54" w14:textId="0245CB97" w:rsidR="00224E74" w:rsidRPr="00224E74" w:rsidRDefault="00224E74" w:rsidP="00224E74">
            <w:pPr>
              <w:rPr>
                <w:rFonts w:ascii="Times" w:eastAsia="Times New Roman" w:hAnsi="Times" w:cs="Calibri"/>
                <w:b/>
                <w:bCs/>
                <w:color w:val="000000"/>
                <w:kern w:val="0"/>
                <w14:ligatures w14:val="none"/>
              </w:rPr>
            </w:pPr>
            <w:r w:rsidRPr="00DD367D">
              <w:rPr>
                <w:rFonts w:ascii="Times" w:eastAsia="Times New Roman" w:hAnsi="Times" w:cs="Calibri"/>
                <w:b/>
                <w:bCs/>
                <w:color w:val="000000"/>
                <w:kern w:val="0"/>
                <w14:ligatures w14:val="none"/>
              </w:rPr>
              <w:t>2022</w:t>
            </w:r>
          </w:p>
        </w:tc>
        <w:tc>
          <w:tcPr>
            <w:tcW w:w="1614" w:type="dxa"/>
            <w:noWrap/>
            <w:hideMark/>
          </w:tcPr>
          <w:p w14:paraId="2E072036" w14:textId="4AA001A6" w:rsidR="00224E74" w:rsidRPr="00224E74" w:rsidRDefault="00224E74" w:rsidP="00224E74">
            <w:pPr>
              <w:rPr>
                <w:rFonts w:ascii="Times" w:eastAsia="Times New Roman" w:hAnsi="Times" w:cs="Times New Roman"/>
                <w:kern w:val="0"/>
                <w14:ligatures w14:val="none"/>
              </w:rPr>
            </w:pPr>
            <w:r w:rsidRPr="00DD367D">
              <w:rPr>
                <w:rFonts w:ascii="Times" w:eastAsia="Times New Roman" w:hAnsi="Times" w:cs="Calibri"/>
                <w:b/>
                <w:bCs/>
                <w:color w:val="000000"/>
                <w:kern w:val="0"/>
                <w14:ligatures w14:val="none"/>
              </w:rPr>
              <w:t>2021</w:t>
            </w:r>
          </w:p>
        </w:tc>
      </w:tr>
      <w:tr w:rsidR="0092529F" w:rsidRPr="00224E74" w14:paraId="19AA7B76" w14:textId="77777777" w:rsidTr="0024037F">
        <w:trPr>
          <w:trHeight w:val="300"/>
        </w:trPr>
        <w:tc>
          <w:tcPr>
            <w:tcW w:w="5380" w:type="dxa"/>
            <w:noWrap/>
            <w:hideMark/>
          </w:tcPr>
          <w:p w14:paraId="53450C59" w14:textId="77777777" w:rsidR="0092529F" w:rsidRPr="00224E74" w:rsidRDefault="0092529F" w:rsidP="0092529F">
            <w:pPr>
              <w:ind w:firstLineChars="100" w:firstLine="240"/>
              <w:rPr>
                <w:rFonts w:ascii="Times" w:eastAsia="Times New Roman" w:hAnsi="Times" w:cs="Calibri"/>
                <w:color w:val="000000"/>
                <w:kern w:val="0"/>
                <w14:ligatures w14:val="none"/>
              </w:rPr>
            </w:pPr>
            <w:r w:rsidRPr="00224E74">
              <w:rPr>
                <w:rFonts w:ascii="Times" w:eastAsia="Times New Roman" w:hAnsi="Times" w:cs="Calibri"/>
                <w:color w:val="000000"/>
                <w:kern w:val="0"/>
                <w14:ligatures w14:val="none"/>
              </w:rPr>
              <w:t>Total asset turnover</w:t>
            </w:r>
          </w:p>
        </w:tc>
        <w:tc>
          <w:tcPr>
            <w:tcW w:w="1614" w:type="dxa"/>
            <w:noWrap/>
            <w:vAlign w:val="bottom"/>
            <w:hideMark/>
          </w:tcPr>
          <w:p w14:paraId="1AF7971D" w14:textId="0B8E95C2" w:rsidR="0092529F" w:rsidRPr="00224E74" w:rsidRDefault="0092529F" w:rsidP="0092529F">
            <w:pPr>
              <w:jc w:val="center"/>
              <w:rPr>
                <w:rFonts w:ascii="Times" w:eastAsia="Times New Roman" w:hAnsi="Times" w:cs="Calibri"/>
                <w:color w:val="000000"/>
                <w:kern w:val="0"/>
                <w14:ligatures w14:val="none"/>
              </w:rPr>
            </w:pPr>
            <w:r w:rsidRPr="0092529F">
              <w:rPr>
                <w:rFonts w:ascii="Times" w:hAnsi="Times" w:cs="Calibri"/>
                <w:color w:val="000000"/>
              </w:rPr>
              <w:t>1.12</w:t>
            </w:r>
          </w:p>
        </w:tc>
        <w:tc>
          <w:tcPr>
            <w:tcW w:w="1614" w:type="dxa"/>
            <w:noWrap/>
            <w:vAlign w:val="bottom"/>
            <w:hideMark/>
          </w:tcPr>
          <w:p w14:paraId="276CF2C7" w14:textId="2E9E4FAB" w:rsidR="0092529F" w:rsidRPr="00224E74" w:rsidRDefault="0092529F" w:rsidP="0092529F">
            <w:pPr>
              <w:jc w:val="center"/>
              <w:rPr>
                <w:rFonts w:ascii="Times" w:eastAsia="Times New Roman" w:hAnsi="Times" w:cs="Calibri"/>
                <w:color w:val="000000"/>
                <w:kern w:val="0"/>
                <w14:ligatures w14:val="none"/>
              </w:rPr>
            </w:pPr>
            <w:r w:rsidRPr="0092529F">
              <w:rPr>
                <w:rFonts w:ascii="Times" w:hAnsi="Times" w:cs="Calibri"/>
                <w:color w:val="000000"/>
              </w:rPr>
              <w:t>1.08</w:t>
            </w:r>
          </w:p>
        </w:tc>
      </w:tr>
      <w:tr w:rsidR="0092529F" w:rsidRPr="00224E74" w14:paraId="04950F19" w14:textId="77777777" w:rsidTr="0024037F">
        <w:trPr>
          <w:trHeight w:val="300"/>
        </w:trPr>
        <w:tc>
          <w:tcPr>
            <w:tcW w:w="5380" w:type="dxa"/>
            <w:noWrap/>
            <w:hideMark/>
          </w:tcPr>
          <w:p w14:paraId="3C4F1610" w14:textId="77777777" w:rsidR="0092529F" w:rsidRPr="00224E74" w:rsidRDefault="0092529F" w:rsidP="0092529F">
            <w:pPr>
              <w:ind w:firstLineChars="100" w:firstLine="240"/>
              <w:rPr>
                <w:rFonts w:ascii="Times" w:eastAsia="Times New Roman" w:hAnsi="Times" w:cs="Calibri"/>
                <w:color w:val="000000"/>
                <w:kern w:val="0"/>
                <w14:ligatures w14:val="none"/>
              </w:rPr>
            </w:pPr>
            <w:r w:rsidRPr="00224E74">
              <w:rPr>
                <w:rFonts w:ascii="Times" w:eastAsia="Times New Roman" w:hAnsi="Times" w:cs="Calibri"/>
                <w:color w:val="000000"/>
                <w:kern w:val="0"/>
                <w14:ligatures w14:val="none"/>
              </w:rPr>
              <w:t>Fixed asset turnover</w:t>
            </w:r>
          </w:p>
        </w:tc>
        <w:tc>
          <w:tcPr>
            <w:tcW w:w="1614" w:type="dxa"/>
            <w:noWrap/>
            <w:vAlign w:val="bottom"/>
            <w:hideMark/>
          </w:tcPr>
          <w:p w14:paraId="410E467E" w14:textId="169BCF41" w:rsidR="0092529F" w:rsidRPr="00224E74" w:rsidRDefault="0092529F" w:rsidP="0092529F">
            <w:pPr>
              <w:jc w:val="center"/>
              <w:rPr>
                <w:rFonts w:ascii="Times" w:eastAsia="Times New Roman" w:hAnsi="Times" w:cs="Calibri"/>
                <w:color w:val="000000"/>
                <w:kern w:val="0"/>
                <w14:ligatures w14:val="none"/>
              </w:rPr>
            </w:pPr>
            <w:r w:rsidRPr="0092529F">
              <w:rPr>
                <w:rFonts w:ascii="Times" w:hAnsi="Times" w:cs="Calibri"/>
                <w:color w:val="000000"/>
              </w:rPr>
              <w:t>9.67</w:t>
            </w:r>
          </w:p>
        </w:tc>
        <w:tc>
          <w:tcPr>
            <w:tcW w:w="1614" w:type="dxa"/>
            <w:noWrap/>
            <w:vAlign w:val="bottom"/>
            <w:hideMark/>
          </w:tcPr>
          <w:p w14:paraId="5BB33214" w14:textId="008793A2" w:rsidR="0092529F" w:rsidRPr="00224E74" w:rsidRDefault="0092529F" w:rsidP="0092529F">
            <w:pPr>
              <w:jc w:val="center"/>
              <w:rPr>
                <w:rFonts w:ascii="Times" w:eastAsia="Times New Roman" w:hAnsi="Times" w:cs="Calibri"/>
                <w:color w:val="000000"/>
                <w:kern w:val="0"/>
                <w14:ligatures w14:val="none"/>
              </w:rPr>
            </w:pPr>
            <w:r w:rsidRPr="0092529F">
              <w:rPr>
                <w:rFonts w:ascii="Times" w:hAnsi="Times" w:cs="Calibri"/>
                <w:color w:val="000000"/>
              </w:rPr>
              <w:t>9.60</w:t>
            </w:r>
          </w:p>
        </w:tc>
      </w:tr>
      <w:tr w:rsidR="0092529F" w:rsidRPr="00224E74" w14:paraId="6FA24FC7" w14:textId="77777777" w:rsidTr="0024037F">
        <w:trPr>
          <w:trHeight w:val="300"/>
        </w:trPr>
        <w:tc>
          <w:tcPr>
            <w:tcW w:w="5380" w:type="dxa"/>
            <w:noWrap/>
            <w:hideMark/>
          </w:tcPr>
          <w:p w14:paraId="6570DFC9" w14:textId="77777777" w:rsidR="0092529F" w:rsidRPr="00224E74" w:rsidRDefault="0092529F" w:rsidP="0092529F">
            <w:pPr>
              <w:ind w:firstLineChars="100" w:firstLine="240"/>
              <w:rPr>
                <w:rFonts w:ascii="Times" w:eastAsia="Times New Roman" w:hAnsi="Times" w:cs="Calibri"/>
                <w:color w:val="000000"/>
                <w:kern w:val="0"/>
                <w14:ligatures w14:val="none"/>
              </w:rPr>
            </w:pPr>
            <w:r w:rsidRPr="00224E74">
              <w:rPr>
                <w:rFonts w:ascii="Times" w:eastAsia="Times New Roman" w:hAnsi="Times" w:cs="Calibri"/>
                <w:color w:val="000000"/>
                <w:kern w:val="0"/>
                <w14:ligatures w14:val="none"/>
              </w:rPr>
              <w:t>Inventory turnover</w:t>
            </w:r>
          </w:p>
        </w:tc>
        <w:tc>
          <w:tcPr>
            <w:tcW w:w="1614" w:type="dxa"/>
            <w:noWrap/>
            <w:vAlign w:val="bottom"/>
            <w:hideMark/>
          </w:tcPr>
          <w:p w14:paraId="36461A94" w14:textId="258C0EF2" w:rsidR="0092529F" w:rsidRPr="00224E74" w:rsidRDefault="0092529F" w:rsidP="0092529F">
            <w:pPr>
              <w:jc w:val="center"/>
              <w:rPr>
                <w:rFonts w:ascii="Times" w:eastAsia="Times New Roman" w:hAnsi="Times" w:cs="Calibri"/>
                <w:color w:val="000000"/>
                <w:kern w:val="0"/>
                <w14:ligatures w14:val="none"/>
              </w:rPr>
            </w:pPr>
            <w:r w:rsidRPr="0092529F">
              <w:rPr>
                <w:rFonts w:ascii="Times" w:hAnsi="Times" w:cs="Calibri"/>
                <w:color w:val="000000"/>
              </w:rPr>
              <w:t>38.79</w:t>
            </w:r>
          </w:p>
        </w:tc>
        <w:tc>
          <w:tcPr>
            <w:tcW w:w="1614" w:type="dxa"/>
            <w:noWrap/>
            <w:vAlign w:val="bottom"/>
            <w:hideMark/>
          </w:tcPr>
          <w:p w14:paraId="3A768392" w14:textId="18885134" w:rsidR="0092529F" w:rsidRPr="00224E74" w:rsidRDefault="0092529F" w:rsidP="0092529F">
            <w:pPr>
              <w:jc w:val="center"/>
              <w:rPr>
                <w:rFonts w:ascii="Times" w:eastAsia="Times New Roman" w:hAnsi="Times" w:cs="Calibri"/>
                <w:color w:val="000000"/>
                <w:kern w:val="0"/>
                <w14:ligatures w14:val="none"/>
              </w:rPr>
            </w:pPr>
            <w:r w:rsidRPr="0092529F">
              <w:rPr>
                <w:rFonts w:ascii="Times" w:hAnsi="Times" w:cs="Calibri"/>
                <w:color w:val="000000"/>
              </w:rPr>
              <w:t>40.03</w:t>
            </w:r>
          </w:p>
        </w:tc>
      </w:tr>
      <w:tr w:rsidR="0092529F" w:rsidRPr="00224E74" w14:paraId="1DD3200F" w14:textId="77777777" w:rsidTr="0024037F">
        <w:trPr>
          <w:trHeight w:val="300"/>
        </w:trPr>
        <w:tc>
          <w:tcPr>
            <w:tcW w:w="5380" w:type="dxa"/>
            <w:noWrap/>
            <w:hideMark/>
          </w:tcPr>
          <w:p w14:paraId="40DB7A08" w14:textId="77777777" w:rsidR="0092529F" w:rsidRPr="00224E74" w:rsidRDefault="0092529F" w:rsidP="0092529F">
            <w:pPr>
              <w:ind w:firstLineChars="100" w:firstLine="240"/>
              <w:rPr>
                <w:rFonts w:ascii="Times" w:eastAsia="Times New Roman" w:hAnsi="Times" w:cs="Calibri"/>
                <w:color w:val="000000"/>
                <w:kern w:val="0"/>
                <w14:ligatures w14:val="none"/>
              </w:rPr>
            </w:pPr>
            <w:r w:rsidRPr="00224E74">
              <w:rPr>
                <w:rFonts w:ascii="Times" w:eastAsia="Times New Roman" w:hAnsi="Times" w:cs="Calibri"/>
                <w:color w:val="000000"/>
                <w:kern w:val="0"/>
                <w14:ligatures w14:val="none"/>
              </w:rPr>
              <w:t>Return on assets (ROA)</w:t>
            </w:r>
          </w:p>
        </w:tc>
        <w:tc>
          <w:tcPr>
            <w:tcW w:w="1614" w:type="dxa"/>
            <w:noWrap/>
            <w:vAlign w:val="bottom"/>
            <w:hideMark/>
          </w:tcPr>
          <w:p w14:paraId="3EE55E99" w14:textId="53CFF2E7" w:rsidR="0092529F" w:rsidRPr="00224E74" w:rsidRDefault="0092529F" w:rsidP="0092529F">
            <w:pPr>
              <w:jc w:val="center"/>
              <w:rPr>
                <w:rFonts w:ascii="Times" w:eastAsia="Times New Roman" w:hAnsi="Times" w:cs="Calibri"/>
                <w:color w:val="000000"/>
                <w:kern w:val="0"/>
                <w14:ligatures w14:val="none"/>
              </w:rPr>
            </w:pPr>
            <w:r w:rsidRPr="0092529F">
              <w:rPr>
                <w:rFonts w:ascii="Times" w:hAnsi="Times" w:cs="Calibri"/>
                <w:color w:val="000000"/>
              </w:rPr>
              <w:t>0.28</w:t>
            </w:r>
          </w:p>
        </w:tc>
        <w:tc>
          <w:tcPr>
            <w:tcW w:w="1614" w:type="dxa"/>
            <w:noWrap/>
            <w:vAlign w:val="bottom"/>
            <w:hideMark/>
          </w:tcPr>
          <w:p w14:paraId="006AD752" w14:textId="6B9083A9" w:rsidR="0092529F" w:rsidRPr="00224E74" w:rsidRDefault="0092529F" w:rsidP="0092529F">
            <w:pPr>
              <w:jc w:val="center"/>
              <w:rPr>
                <w:rFonts w:ascii="Times" w:eastAsia="Times New Roman" w:hAnsi="Times" w:cs="Calibri"/>
                <w:color w:val="000000"/>
                <w:kern w:val="0"/>
                <w14:ligatures w14:val="none"/>
              </w:rPr>
            </w:pPr>
            <w:r w:rsidRPr="0092529F">
              <w:rPr>
                <w:rFonts w:ascii="Times" w:hAnsi="Times" w:cs="Calibri"/>
                <w:color w:val="000000"/>
              </w:rPr>
              <w:t>0.28</w:t>
            </w:r>
          </w:p>
        </w:tc>
      </w:tr>
      <w:tr w:rsidR="0092529F" w:rsidRPr="00224E74" w14:paraId="437FE6BE" w14:textId="77777777" w:rsidTr="0024037F">
        <w:trPr>
          <w:trHeight w:val="300"/>
        </w:trPr>
        <w:tc>
          <w:tcPr>
            <w:tcW w:w="5380" w:type="dxa"/>
            <w:noWrap/>
            <w:hideMark/>
          </w:tcPr>
          <w:p w14:paraId="4781ACED" w14:textId="77777777" w:rsidR="0092529F" w:rsidRPr="00224E74" w:rsidRDefault="0092529F" w:rsidP="0092529F">
            <w:pPr>
              <w:ind w:firstLineChars="100" w:firstLine="240"/>
              <w:rPr>
                <w:rFonts w:ascii="Times" w:eastAsia="Times New Roman" w:hAnsi="Times" w:cs="Calibri"/>
                <w:color w:val="000000"/>
                <w:kern w:val="0"/>
                <w14:ligatures w14:val="none"/>
              </w:rPr>
            </w:pPr>
            <w:r w:rsidRPr="00224E74">
              <w:rPr>
                <w:rFonts w:ascii="Times" w:eastAsia="Times New Roman" w:hAnsi="Times" w:cs="Calibri"/>
                <w:color w:val="000000"/>
                <w:kern w:val="0"/>
                <w14:ligatures w14:val="none"/>
              </w:rPr>
              <w:t>Return on equity (ROE)</w:t>
            </w:r>
          </w:p>
        </w:tc>
        <w:tc>
          <w:tcPr>
            <w:tcW w:w="1614" w:type="dxa"/>
            <w:noWrap/>
            <w:vAlign w:val="bottom"/>
            <w:hideMark/>
          </w:tcPr>
          <w:p w14:paraId="54D3DE65" w14:textId="07AA22B3" w:rsidR="0092529F" w:rsidRPr="00224E74" w:rsidRDefault="0092529F" w:rsidP="0092529F">
            <w:pPr>
              <w:jc w:val="center"/>
              <w:rPr>
                <w:rFonts w:ascii="Times" w:eastAsia="Times New Roman" w:hAnsi="Times" w:cs="Calibri"/>
                <w:color w:val="000000"/>
                <w:kern w:val="0"/>
                <w14:ligatures w14:val="none"/>
              </w:rPr>
            </w:pPr>
            <w:r w:rsidRPr="0092529F">
              <w:rPr>
                <w:rFonts w:ascii="Times" w:hAnsi="Times" w:cs="Calibri"/>
                <w:color w:val="000000"/>
              </w:rPr>
              <w:t>1.75</w:t>
            </w:r>
          </w:p>
        </w:tc>
        <w:tc>
          <w:tcPr>
            <w:tcW w:w="1614" w:type="dxa"/>
            <w:noWrap/>
            <w:vAlign w:val="bottom"/>
            <w:hideMark/>
          </w:tcPr>
          <w:p w14:paraId="5F07A633" w14:textId="5364EE2A" w:rsidR="0092529F" w:rsidRPr="00224E74" w:rsidRDefault="0092529F" w:rsidP="0092529F">
            <w:pPr>
              <w:jc w:val="center"/>
              <w:rPr>
                <w:rFonts w:ascii="Times" w:eastAsia="Times New Roman" w:hAnsi="Times" w:cs="Calibri"/>
                <w:color w:val="000000"/>
                <w:kern w:val="0"/>
                <w14:ligatures w14:val="none"/>
              </w:rPr>
            </w:pPr>
            <w:r w:rsidRPr="0092529F">
              <w:rPr>
                <w:rFonts w:ascii="Times" w:hAnsi="Times" w:cs="Calibri"/>
                <w:color w:val="000000"/>
              </w:rPr>
              <w:t>1.47</w:t>
            </w:r>
          </w:p>
        </w:tc>
      </w:tr>
      <w:tr w:rsidR="0092529F" w:rsidRPr="00224E74" w14:paraId="4ECC1B53" w14:textId="77777777" w:rsidTr="0024037F">
        <w:trPr>
          <w:trHeight w:val="300"/>
        </w:trPr>
        <w:tc>
          <w:tcPr>
            <w:tcW w:w="5380" w:type="dxa"/>
            <w:noWrap/>
            <w:hideMark/>
          </w:tcPr>
          <w:p w14:paraId="1CC3D64D" w14:textId="77777777" w:rsidR="0092529F" w:rsidRPr="00224E74" w:rsidRDefault="0092529F" w:rsidP="0092529F">
            <w:pPr>
              <w:ind w:firstLineChars="100" w:firstLine="240"/>
              <w:rPr>
                <w:rFonts w:ascii="Times" w:eastAsia="Times New Roman" w:hAnsi="Times" w:cs="Calibri"/>
                <w:color w:val="000000"/>
                <w:kern w:val="0"/>
                <w14:ligatures w14:val="none"/>
              </w:rPr>
            </w:pPr>
            <w:r w:rsidRPr="00224E74">
              <w:rPr>
                <w:rFonts w:ascii="Times" w:eastAsia="Times New Roman" w:hAnsi="Times" w:cs="Calibri"/>
                <w:color w:val="000000"/>
                <w:kern w:val="0"/>
                <w14:ligatures w14:val="none"/>
              </w:rPr>
              <w:t>Return on capital employed (ROCE)</w:t>
            </w:r>
          </w:p>
        </w:tc>
        <w:tc>
          <w:tcPr>
            <w:tcW w:w="1614" w:type="dxa"/>
            <w:noWrap/>
            <w:vAlign w:val="bottom"/>
            <w:hideMark/>
          </w:tcPr>
          <w:p w14:paraId="20010232" w14:textId="5A57EA28" w:rsidR="0092529F" w:rsidRPr="00224E74" w:rsidRDefault="0092529F" w:rsidP="0092529F">
            <w:pPr>
              <w:jc w:val="center"/>
              <w:rPr>
                <w:rFonts w:ascii="Times" w:eastAsia="Times New Roman" w:hAnsi="Times" w:cs="Calibri"/>
                <w:color w:val="000000"/>
                <w:kern w:val="0"/>
                <w14:ligatures w14:val="none"/>
              </w:rPr>
            </w:pPr>
            <w:r w:rsidRPr="0092529F">
              <w:rPr>
                <w:rFonts w:ascii="Times" w:hAnsi="Times" w:cs="Calibri"/>
                <w:color w:val="000000"/>
              </w:rPr>
              <w:t>0.56</w:t>
            </w:r>
          </w:p>
        </w:tc>
        <w:tc>
          <w:tcPr>
            <w:tcW w:w="1614" w:type="dxa"/>
            <w:noWrap/>
            <w:vAlign w:val="bottom"/>
            <w:hideMark/>
          </w:tcPr>
          <w:p w14:paraId="61BDF0CF" w14:textId="2A141CF4" w:rsidR="0092529F" w:rsidRPr="00224E74" w:rsidRDefault="0092529F" w:rsidP="0092529F">
            <w:pPr>
              <w:jc w:val="center"/>
              <w:rPr>
                <w:rFonts w:ascii="Times" w:eastAsia="Times New Roman" w:hAnsi="Times" w:cs="Calibri"/>
                <w:color w:val="000000"/>
                <w:kern w:val="0"/>
                <w14:ligatures w14:val="none"/>
              </w:rPr>
            </w:pPr>
            <w:r w:rsidRPr="0092529F">
              <w:rPr>
                <w:rFonts w:ascii="Times" w:hAnsi="Times" w:cs="Calibri"/>
                <w:color w:val="000000"/>
              </w:rPr>
              <w:t>0.49</w:t>
            </w:r>
          </w:p>
        </w:tc>
      </w:tr>
    </w:tbl>
    <w:p w14:paraId="696AE30C" w14:textId="77777777" w:rsidR="00224E74" w:rsidRDefault="00224E74">
      <w:pPr>
        <w:rPr>
          <w:rFonts w:ascii="Times" w:hAnsi="Times"/>
        </w:rPr>
      </w:pPr>
    </w:p>
    <w:p w14:paraId="66884990" w14:textId="07D2BB26" w:rsidR="0009407E" w:rsidRPr="00D374CB" w:rsidRDefault="0009407E" w:rsidP="0009407E">
      <w:pPr>
        <w:jc w:val="center"/>
        <w:rPr>
          <w:rFonts w:ascii="Times" w:hAnsi="Times"/>
        </w:rPr>
      </w:pPr>
      <w:r>
        <w:rPr>
          <w:noProof/>
        </w:rPr>
        <w:drawing>
          <wp:inline distT="0" distB="0" distL="0" distR="0" wp14:anchorId="3A624BAA" wp14:editId="67FD8EB3">
            <wp:extent cx="4572000" cy="2743200"/>
            <wp:effectExtent l="0" t="0" r="0" b="0"/>
            <wp:docPr id="899204200" name="Chart 1">
              <a:extLst xmlns:a="http://schemas.openxmlformats.org/drawingml/2006/main">
                <a:ext uri="{FF2B5EF4-FFF2-40B4-BE49-F238E27FC236}">
                  <a16:creationId xmlns:a16="http://schemas.microsoft.com/office/drawing/2014/main" id="{4A50A592-EE41-E873-4E26-3338EF71486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sectPr w:rsidR="0009407E" w:rsidRPr="00D374CB" w:rsidSect="00F82B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8D7"/>
    <w:rsid w:val="0009407E"/>
    <w:rsid w:val="00224E74"/>
    <w:rsid w:val="00253710"/>
    <w:rsid w:val="00335E1E"/>
    <w:rsid w:val="003B48D7"/>
    <w:rsid w:val="004909C4"/>
    <w:rsid w:val="007F7F0B"/>
    <w:rsid w:val="0085144C"/>
    <w:rsid w:val="008D4EF3"/>
    <w:rsid w:val="0092529F"/>
    <w:rsid w:val="00967537"/>
    <w:rsid w:val="00AA7BF9"/>
    <w:rsid w:val="00B919BE"/>
    <w:rsid w:val="00C112EC"/>
    <w:rsid w:val="00C8465A"/>
    <w:rsid w:val="00CD7BED"/>
    <w:rsid w:val="00D34324"/>
    <w:rsid w:val="00D374CB"/>
    <w:rsid w:val="00D64D55"/>
    <w:rsid w:val="00DA4573"/>
    <w:rsid w:val="00DD367D"/>
    <w:rsid w:val="00E301DC"/>
    <w:rsid w:val="00F4306A"/>
    <w:rsid w:val="00F75BB8"/>
    <w:rsid w:val="00F82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CE49697"/>
  <w14:defaultImageDpi w14:val="32767"/>
  <w15:chartTrackingRefBased/>
  <w15:docId w15:val="{7997C7CB-168D-E448-AF1D-077BAA92E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48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48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48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48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48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48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48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48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48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48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48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48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48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48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48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48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48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48D7"/>
    <w:rPr>
      <w:rFonts w:eastAsiaTheme="majorEastAsia" w:cstheme="majorBidi"/>
      <w:color w:val="272727" w:themeColor="text1" w:themeTint="D8"/>
    </w:rPr>
  </w:style>
  <w:style w:type="paragraph" w:styleId="Title">
    <w:name w:val="Title"/>
    <w:basedOn w:val="Normal"/>
    <w:next w:val="Normal"/>
    <w:link w:val="TitleChar"/>
    <w:uiPriority w:val="10"/>
    <w:qFormat/>
    <w:rsid w:val="003B48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48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48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48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48D7"/>
    <w:pPr>
      <w:spacing w:before="160"/>
      <w:jc w:val="center"/>
    </w:pPr>
    <w:rPr>
      <w:i/>
      <w:iCs/>
      <w:color w:val="404040" w:themeColor="text1" w:themeTint="BF"/>
    </w:rPr>
  </w:style>
  <w:style w:type="character" w:customStyle="1" w:styleId="QuoteChar">
    <w:name w:val="Quote Char"/>
    <w:basedOn w:val="DefaultParagraphFont"/>
    <w:link w:val="Quote"/>
    <w:uiPriority w:val="29"/>
    <w:rsid w:val="003B48D7"/>
    <w:rPr>
      <w:i/>
      <w:iCs/>
      <w:color w:val="404040" w:themeColor="text1" w:themeTint="BF"/>
    </w:rPr>
  </w:style>
  <w:style w:type="paragraph" w:styleId="ListParagraph">
    <w:name w:val="List Paragraph"/>
    <w:basedOn w:val="Normal"/>
    <w:uiPriority w:val="34"/>
    <w:qFormat/>
    <w:rsid w:val="003B48D7"/>
    <w:pPr>
      <w:ind w:left="720"/>
      <w:contextualSpacing/>
    </w:pPr>
  </w:style>
  <w:style w:type="character" w:styleId="IntenseEmphasis">
    <w:name w:val="Intense Emphasis"/>
    <w:basedOn w:val="DefaultParagraphFont"/>
    <w:uiPriority w:val="21"/>
    <w:qFormat/>
    <w:rsid w:val="003B48D7"/>
    <w:rPr>
      <w:i/>
      <w:iCs/>
      <w:color w:val="0F4761" w:themeColor="accent1" w:themeShade="BF"/>
    </w:rPr>
  </w:style>
  <w:style w:type="paragraph" w:styleId="IntenseQuote">
    <w:name w:val="Intense Quote"/>
    <w:basedOn w:val="Normal"/>
    <w:next w:val="Normal"/>
    <w:link w:val="IntenseQuoteChar"/>
    <w:uiPriority w:val="30"/>
    <w:qFormat/>
    <w:rsid w:val="003B48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48D7"/>
    <w:rPr>
      <w:i/>
      <w:iCs/>
      <w:color w:val="0F4761" w:themeColor="accent1" w:themeShade="BF"/>
    </w:rPr>
  </w:style>
  <w:style w:type="character" w:styleId="IntenseReference">
    <w:name w:val="Intense Reference"/>
    <w:basedOn w:val="DefaultParagraphFont"/>
    <w:uiPriority w:val="32"/>
    <w:qFormat/>
    <w:rsid w:val="003B48D7"/>
    <w:rPr>
      <w:b/>
      <w:bCs/>
      <w:smallCaps/>
      <w:color w:val="0F4761" w:themeColor="accent1" w:themeShade="BF"/>
      <w:spacing w:val="5"/>
    </w:rPr>
  </w:style>
  <w:style w:type="table" w:styleId="GridTable1Light-Accent3">
    <w:name w:val="Grid Table 1 Light Accent 3"/>
    <w:basedOn w:val="TableNormal"/>
    <w:uiPriority w:val="46"/>
    <w:rsid w:val="00DD367D"/>
    <w:pPr>
      <w:spacing w:after="0" w:line="240" w:lineRule="auto"/>
    </w:pPr>
    <w:tblPr>
      <w:tblStyleRowBandSize w:val="1"/>
      <w:tblStyleColBandSize w:val="1"/>
      <w:tblBorders>
        <w:top w:val="single" w:sz="4" w:space="0" w:color="84E290" w:themeColor="accent3" w:themeTint="66"/>
        <w:left w:val="single" w:sz="4" w:space="0" w:color="84E290" w:themeColor="accent3" w:themeTint="66"/>
        <w:bottom w:val="single" w:sz="4" w:space="0" w:color="84E290" w:themeColor="accent3" w:themeTint="66"/>
        <w:right w:val="single" w:sz="4" w:space="0" w:color="84E290" w:themeColor="accent3" w:themeTint="66"/>
        <w:insideH w:val="single" w:sz="4" w:space="0" w:color="84E290" w:themeColor="accent3" w:themeTint="66"/>
        <w:insideV w:val="single" w:sz="4" w:space="0" w:color="84E290" w:themeColor="accent3" w:themeTint="66"/>
      </w:tblBorders>
    </w:tblPr>
    <w:tblStylePr w:type="firstRow">
      <w:rPr>
        <w:b/>
        <w:bCs/>
      </w:rPr>
      <w:tblPr/>
      <w:tcPr>
        <w:tcBorders>
          <w:bottom w:val="single" w:sz="12" w:space="0" w:color="47D459" w:themeColor="accent3" w:themeTint="99"/>
        </w:tcBorders>
      </w:tcPr>
    </w:tblStylePr>
    <w:tblStylePr w:type="lastRow">
      <w:rPr>
        <w:b/>
        <w:bCs/>
      </w:rPr>
      <w:tblPr/>
      <w:tcPr>
        <w:tcBorders>
          <w:top w:val="double" w:sz="2" w:space="0" w:color="47D459" w:themeColor="accent3" w:themeTint="99"/>
        </w:tcBorders>
      </w:tcPr>
    </w:tblStylePr>
    <w:tblStylePr w:type="firstCol">
      <w:rPr>
        <w:b/>
        <w:bCs/>
      </w:rPr>
    </w:tblStylePr>
    <w:tblStylePr w:type="lastCol">
      <w:rPr>
        <w:b/>
        <w:bCs/>
      </w:rPr>
    </w:tblStylePr>
  </w:style>
  <w:style w:type="table" w:styleId="TableGrid">
    <w:name w:val="Table Grid"/>
    <w:basedOn w:val="TableNormal"/>
    <w:uiPriority w:val="39"/>
    <w:rsid w:val="00DD36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780567">
      <w:bodyDiv w:val="1"/>
      <w:marLeft w:val="0"/>
      <w:marRight w:val="0"/>
      <w:marTop w:val="0"/>
      <w:marBottom w:val="0"/>
      <w:divBdr>
        <w:top w:val="none" w:sz="0" w:space="0" w:color="auto"/>
        <w:left w:val="none" w:sz="0" w:space="0" w:color="auto"/>
        <w:bottom w:val="none" w:sz="0" w:space="0" w:color="auto"/>
        <w:right w:val="none" w:sz="0" w:space="0" w:color="auto"/>
      </w:divBdr>
    </w:div>
    <w:div w:id="266041735">
      <w:bodyDiv w:val="1"/>
      <w:marLeft w:val="0"/>
      <w:marRight w:val="0"/>
      <w:marTop w:val="0"/>
      <w:marBottom w:val="0"/>
      <w:divBdr>
        <w:top w:val="none" w:sz="0" w:space="0" w:color="auto"/>
        <w:left w:val="none" w:sz="0" w:space="0" w:color="auto"/>
        <w:bottom w:val="none" w:sz="0" w:space="0" w:color="auto"/>
        <w:right w:val="none" w:sz="0" w:space="0" w:color="auto"/>
      </w:divBdr>
    </w:div>
    <w:div w:id="283780764">
      <w:bodyDiv w:val="1"/>
      <w:marLeft w:val="0"/>
      <w:marRight w:val="0"/>
      <w:marTop w:val="0"/>
      <w:marBottom w:val="0"/>
      <w:divBdr>
        <w:top w:val="none" w:sz="0" w:space="0" w:color="auto"/>
        <w:left w:val="none" w:sz="0" w:space="0" w:color="auto"/>
        <w:bottom w:val="none" w:sz="0" w:space="0" w:color="auto"/>
        <w:right w:val="none" w:sz="0" w:space="0" w:color="auto"/>
      </w:divBdr>
    </w:div>
    <w:div w:id="713964536">
      <w:bodyDiv w:val="1"/>
      <w:marLeft w:val="0"/>
      <w:marRight w:val="0"/>
      <w:marTop w:val="0"/>
      <w:marBottom w:val="0"/>
      <w:divBdr>
        <w:top w:val="none" w:sz="0" w:space="0" w:color="auto"/>
        <w:left w:val="none" w:sz="0" w:space="0" w:color="auto"/>
        <w:bottom w:val="none" w:sz="0" w:space="0" w:color="auto"/>
        <w:right w:val="none" w:sz="0" w:space="0" w:color="auto"/>
      </w:divBdr>
    </w:div>
    <w:div w:id="865413173">
      <w:bodyDiv w:val="1"/>
      <w:marLeft w:val="0"/>
      <w:marRight w:val="0"/>
      <w:marTop w:val="0"/>
      <w:marBottom w:val="0"/>
      <w:divBdr>
        <w:top w:val="none" w:sz="0" w:space="0" w:color="auto"/>
        <w:left w:val="none" w:sz="0" w:space="0" w:color="auto"/>
        <w:bottom w:val="none" w:sz="0" w:space="0" w:color="auto"/>
        <w:right w:val="none" w:sz="0" w:space="0" w:color="auto"/>
      </w:divBdr>
    </w:div>
    <w:div w:id="1200436875">
      <w:bodyDiv w:val="1"/>
      <w:marLeft w:val="0"/>
      <w:marRight w:val="0"/>
      <w:marTop w:val="0"/>
      <w:marBottom w:val="0"/>
      <w:divBdr>
        <w:top w:val="none" w:sz="0" w:space="0" w:color="auto"/>
        <w:left w:val="none" w:sz="0" w:space="0" w:color="auto"/>
        <w:bottom w:val="none" w:sz="0" w:space="0" w:color="auto"/>
        <w:right w:val="none" w:sz="0" w:space="0" w:color="auto"/>
      </w:divBdr>
    </w:div>
    <w:div w:id="1234391731">
      <w:bodyDiv w:val="1"/>
      <w:marLeft w:val="0"/>
      <w:marRight w:val="0"/>
      <w:marTop w:val="0"/>
      <w:marBottom w:val="0"/>
      <w:divBdr>
        <w:top w:val="none" w:sz="0" w:space="0" w:color="auto"/>
        <w:left w:val="none" w:sz="0" w:space="0" w:color="auto"/>
        <w:bottom w:val="none" w:sz="0" w:space="0" w:color="auto"/>
        <w:right w:val="none" w:sz="0" w:space="0" w:color="auto"/>
      </w:divBdr>
    </w:div>
    <w:div w:id="1502351744">
      <w:bodyDiv w:val="1"/>
      <w:marLeft w:val="0"/>
      <w:marRight w:val="0"/>
      <w:marTop w:val="0"/>
      <w:marBottom w:val="0"/>
      <w:divBdr>
        <w:top w:val="none" w:sz="0" w:space="0" w:color="auto"/>
        <w:left w:val="none" w:sz="0" w:space="0" w:color="auto"/>
        <w:bottom w:val="none" w:sz="0" w:space="0" w:color="auto"/>
        <w:right w:val="none" w:sz="0" w:space="0" w:color="auto"/>
      </w:divBdr>
    </w:div>
    <w:div w:id="1596478035">
      <w:bodyDiv w:val="1"/>
      <w:marLeft w:val="0"/>
      <w:marRight w:val="0"/>
      <w:marTop w:val="0"/>
      <w:marBottom w:val="0"/>
      <w:divBdr>
        <w:top w:val="none" w:sz="0" w:space="0" w:color="auto"/>
        <w:left w:val="none" w:sz="0" w:space="0" w:color="auto"/>
        <w:bottom w:val="none" w:sz="0" w:space="0" w:color="auto"/>
        <w:right w:val="none" w:sz="0" w:space="0" w:color="auto"/>
      </w:divBdr>
    </w:div>
    <w:div w:id="1849057448">
      <w:bodyDiv w:val="1"/>
      <w:marLeft w:val="0"/>
      <w:marRight w:val="0"/>
      <w:marTop w:val="0"/>
      <w:marBottom w:val="0"/>
      <w:divBdr>
        <w:top w:val="none" w:sz="0" w:space="0" w:color="auto"/>
        <w:left w:val="none" w:sz="0" w:space="0" w:color="auto"/>
        <w:bottom w:val="none" w:sz="0" w:space="0" w:color="auto"/>
        <w:right w:val="none" w:sz="0" w:space="0" w:color="auto"/>
      </w:divBdr>
    </w:div>
    <w:div w:id="1931547963">
      <w:bodyDiv w:val="1"/>
      <w:marLeft w:val="0"/>
      <w:marRight w:val="0"/>
      <w:marTop w:val="0"/>
      <w:marBottom w:val="0"/>
      <w:divBdr>
        <w:top w:val="none" w:sz="0" w:space="0" w:color="auto"/>
        <w:left w:val="none" w:sz="0" w:space="0" w:color="auto"/>
        <w:bottom w:val="none" w:sz="0" w:space="0" w:color="auto"/>
        <w:right w:val="none" w:sz="0" w:space="0" w:color="auto"/>
      </w:divBdr>
    </w:div>
    <w:div w:id="212874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5.xml"/><Relationship Id="rId3" Type="http://schemas.openxmlformats.org/officeDocument/2006/relationships/webSettings" Target="webSettings.xml"/><Relationship Id="rId7" Type="http://schemas.openxmlformats.org/officeDocument/2006/relationships/chart" Target="charts/chart4.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3.xml"/><Relationship Id="rId11" Type="http://schemas.openxmlformats.org/officeDocument/2006/relationships/fontTable" Target="fontTable.xml"/><Relationship Id="rId5" Type="http://schemas.openxmlformats.org/officeDocument/2006/relationships/chart" Target="charts/chart2.xml"/><Relationship Id="rId10" Type="http://schemas.openxmlformats.org/officeDocument/2006/relationships/chart" Target="charts/chart7.xml"/><Relationship Id="rId4" Type="http://schemas.openxmlformats.org/officeDocument/2006/relationships/chart" Target="charts/chart1.xml"/><Relationship Id="rId9" Type="http://schemas.openxmlformats.org/officeDocument/2006/relationships/chart" Target="charts/chart6.xml"/></Relationships>
</file>

<file path=word/charts/_rels/chart1.xml.rels><?xml version="1.0" encoding="UTF-8" standalone="yes"?>
<Relationships xmlns="http://schemas.openxmlformats.org/package/2006/relationships"><Relationship Id="rId3" Type="http://schemas.openxmlformats.org/officeDocument/2006/relationships/oleObject" Target="file:////Users/jackietse/Desktop/Task%201%20-%20Ratio%20Calculation.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jackietse/Desktop/Task%201%20-%20Ratio%20Calculation.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Users/jackietse/Desktop/Task%201%20-%20Ratio%20Calculation.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Users/jackietse/Desktop/Task%201%20-%20Ratio%20Calculation.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Users/jackietse/Desktop/Task%201%20-%20Ratio%20Calculation.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Users/jackietse/Desktop/Task%201%20-%20Ratio%20Calculation.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Users/jackietse/Desktop/Task%201%20-%20Ratio%20Calculation.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Liquidity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1"/>
          <c:order val="0"/>
          <c:tx>
            <c:strRef>
              <c:f>'List of Ratios'!$M$4</c:f>
              <c:strCache>
                <c:ptCount val="1"/>
                <c:pt idx="0">
                  <c:v>Current ratio</c:v>
                </c:pt>
              </c:strCache>
            </c:strRef>
          </c:tx>
          <c:spPr>
            <a:ln w="28575" cap="rnd">
              <a:solidFill>
                <a:schemeClr val="accent2"/>
              </a:solidFill>
              <a:round/>
            </a:ln>
            <a:effectLst/>
          </c:spPr>
          <c:marker>
            <c:symbol val="none"/>
          </c:marker>
          <c:cat>
            <c:numRef>
              <c:f>'List of Ratios'!$L$5:$L$7</c:f>
              <c:numCache>
                <c:formatCode>General</c:formatCode>
                <c:ptCount val="3"/>
                <c:pt idx="0">
                  <c:v>2020</c:v>
                </c:pt>
                <c:pt idx="1">
                  <c:v>2021</c:v>
                </c:pt>
                <c:pt idx="2">
                  <c:v>2022</c:v>
                </c:pt>
              </c:numCache>
            </c:numRef>
          </c:cat>
          <c:val>
            <c:numRef>
              <c:f>'List of Ratios'!$M$5:$M$7</c:f>
              <c:numCache>
                <c:formatCode>General</c:formatCode>
                <c:ptCount val="3"/>
                <c:pt idx="0">
                  <c:v>1.3636044481554577</c:v>
                </c:pt>
                <c:pt idx="1">
                  <c:v>1.0745531195957954</c:v>
                </c:pt>
                <c:pt idx="2">
                  <c:v>0.87935602862672257</c:v>
                </c:pt>
              </c:numCache>
            </c:numRef>
          </c:val>
          <c:smooth val="0"/>
          <c:extLst>
            <c:ext xmlns:c16="http://schemas.microsoft.com/office/drawing/2014/chart" uri="{C3380CC4-5D6E-409C-BE32-E72D297353CC}">
              <c16:uniqueId val="{00000000-DE8B-3A41-8000-D11E112D0613}"/>
            </c:ext>
          </c:extLst>
        </c:ser>
        <c:ser>
          <c:idx val="3"/>
          <c:order val="2"/>
          <c:tx>
            <c:strRef>
              <c:f>'List of Ratios'!$O$4</c:f>
              <c:strCache>
                <c:ptCount val="1"/>
                <c:pt idx="0">
                  <c:v>Cash Ratio</c:v>
                </c:pt>
              </c:strCache>
            </c:strRef>
          </c:tx>
          <c:spPr>
            <a:ln w="28575" cap="rnd">
              <a:solidFill>
                <a:schemeClr val="accent4"/>
              </a:solidFill>
              <a:round/>
            </a:ln>
            <a:effectLst/>
          </c:spPr>
          <c:marker>
            <c:symbol val="none"/>
          </c:marker>
          <c:cat>
            <c:numRef>
              <c:f>'List of Ratios'!$L$5:$L$7</c:f>
              <c:numCache>
                <c:formatCode>General</c:formatCode>
                <c:ptCount val="3"/>
                <c:pt idx="0">
                  <c:v>2020</c:v>
                </c:pt>
                <c:pt idx="1">
                  <c:v>2021</c:v>
                </c:pt>
                <c:pt idx="2">
                  <c:v>2022</c:v>
                </c:pt>
              </c:numCache>
            </c:numRef>
          </c:cat>
          <c:val>
            <c:numRef>
              <c:f>'List of Ratios'!$O$5:$O$7</c:f>
              <c:numCache>
                <c:formatCode>General</c:formatCode>
                <c:ptCount val="3"/>
                <c:pt idx="0">
                  <c:v>0.36071049035979963</c:v>
                </c:pt>
                <c:pt idx="1">
                  <c:v>0.27844853005634318</c:v>
                </c:pt>
                <c:pt idx="2">
                  <c:v>0.15356340351469652</c:v>
                </c:pt>
              </c:numCache>
            </c:numRef>
          </c:val>
          <c:smooth val="0"/>
          <c:extLst>
            <c:ext xmlns:c16="http://schemas.microsoft.com/office/drawing/2014/chart" uri="{C3380CC4-5D6E-409C-BE32-E72D297353CC}">
              <c16:uniqueId val="{00000001-DE8B-3A41-8000-D11E112D0613}"/>
            </c:ext>
          </c:extLst>
        </c:ser>
        <c:ser>
          <c:idx val="2"/>
          <c:order val="1"/>
          <c:tx>
            <c:strRef>
              <c:f>'List of Ratios'!$N$4</c:f>
              <c:strCache>
                <c:ptCount val="1"/>
                <c:pt idx="0">
                  <c:v>Quick Ratio</c:v>
                </c:pt>
              </c:strCache>
            </c:strRef>
          </c:tx>
          <c:spPr>
            <a:ln w="28575" cap="rnd">
              <a:solidFill>
                <a:schemeClr val="accent3"/>
              </a:solidFill>
              <a:round/>
            </a:ln>
            <a:effectLst/>
          </c:spPr>
          <c:marker>
            <c:symbol val="none"/>
          </c:marker>
          <c:cat>
            <c:numRef>
              <c:f>'List of Ratios'!$L$5:$L$7</c:f>
              <c:numCache>
                <c:formatCode>General</c:formatCode>
                <c:ptCount val="3"/>
                <c:pt idx="0">
                  <c:v>2020</c:v>
                </c:pt>
                <c:pt idx="1">
                  <c:v>2021</c:v>
                </c:pt>
                <c:pt idx="2">
                  <c:v>2022</c:v>
                </c:pt>
              </c:numCache>
            </c:numRef>
          </c:cat>
          <c:val>
            <c:numRef>
              <c:f>'List of Ratios'!$N$5:$N$7</c:f>
              <c:numCache>
                <c:formatCode>General</c:formatCode>
                <c:ptCount val="3"/>
                <c:pt idx="0">
                  <c:v>1.0158550933657204</c:v>
                </c:pt>
                <c:pt idx="1">
                  <c:v>0.70860927152317876</c:v>
                </c:pt>
                <c:pt idx="2">
                  <c:v>0.49673338442155579</c:v>
                </c:pt>
              </c:numCache>
            </c:numRef>
          </c:val>
          <c:smooth val="0"/>
          <c:extLst>
            <c:ext xmlns:c16="http://schemas.microsoft.com/office/drawing/2014/chart" uri="{C3380CC4-5D6E-409C-BE32-E72D297353CC}">
              <c16:uniqueId val="{00000002-DE8B-3A41-8000-D11E112D0613}"/>
            </c:ext>
          </c:extLst>
        </c:ser>
        <c:ser>
          <c:idx val="4"/>
          <c:order val="3"/>
          <c:tx>
            <c:strRef>
              <c:f>'List of Ratios'!$P$4</c:f>
              <c:strCache>
                <c:ptCount val="1"/>
                <c:pt idx="0">
                  <c:v>Working Capital as a % of Sales</c:v>
                </c:pt>
              </c:strCache>
            </c:strRef>
          </c:tx>
          <c:spPr>
            <a:ln w="28575" cap="rnd">
              <a:solidFill>
                <a:schemeClr val="accent5"/>
              </a:solidFill>
              <a:round/>
            </a:ln>
            <a:effectLst/>
          </c:spPr>
          <c:marker>
            <c:symbol val="none"/>
          </c:marker>
          <c:cat>
            <c:numRef>
              <c:f>'List of Ratios'!$L$5:$L$7</c:f>
              <c:numCache>
                <c:formatCode>General</c:formatCode>
                <c:ptCount val="3"/>
                <c:pt idx="0">
                  <c:v>2020</c:v>
                </c:pt>
                <c:pt idx="1">
                  <c:v>2021</c:v>
                </c:pt>
                <c:pt idx="2">
                  <c:v>2022</c:v>
                </c:pt>
              </c:numCache>
            </c:numRef>
          </c:cat>
          <c:val>
            <c:numRef>
              <c:f>'List of Ratios'!$P$5:$P$7</c:f>
              <c:numCache>
                <c:formatCode>General</c:formatCode>
                <c:ptCount val="3"/>
                <c:pt idx="0">
                  <c:v>0.13959528623208203</c:v>
                </c:pt>
                <c:pt idx="1">
                  <c:v>2.557289573748623E-2</c:v>
                </c:pt>
                <c:pt idx="2">
                  <c:v>-4.711052727678481E-2</c:v>
                </c:pt>
              </c:numCache>
            </c:numRef>
          </c:val>
          <c:smooth val="0"/>
          <c:extLst>
            <c:ext xmlns:c16="http://schemas.microsoft.com/office/drawing/2014/chart" uri="{C3380CC4-5D6E-409C-BE32-E72D297353CC}">
              <c16:uniqueId val="{00000003-DE8B-3A41-8000-D11E112D0613}"/>
            </c:ext>
          </c:extLst>
        </c:ser>
        <c:dLbls>
          <c:showLegendKey val="0"/>
          <c:showVal val="0"/>
          <c:showCatName val="0"/>
          <c:showSerName val="0"/>
          <c:showPercent val="0"/>
          <c:showBubbleSize val="0"/>
        </c:dLbls>
        <c:smooth val="0"/>
        <c:axId val="1148353648"/>
        <c:axId val="1361205503"/>
      </c:lineChart>
      <c:catAx>
        <c:axId val="1148353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61205503"/>
        <c:crosses val="autoZero"/>
        <c:auto val="1"/>
        <c:lblAlgn val="ctr"/>
        <c:lblOffset val="100"/>
        <c:noMultiLvlLbl val="0"/>
      </c:catAx>
      <c:valAx>
        <c:axId val="1361205503"/>
        <c:scaling>
          <c:orientation val="minMax"/>
        </c:scaling>
        <c:delete val="0"/>
        <c:axPos val="l"/>
        <c:majorGridlines>
          <c:spPr>
            <a:ln w="9525" cap="flat" cmpd="sng" algn="ctr">
              <a:solidFill>
                <a:schemeClr val="tx1">
                  <a:lumMod val="15000"/>
                  <a:lumOff val="85000"/>
                </a:schemeClr>
              </a:solidFill>
              <a:round/>
            </a:ln>
            <a:effectLst/>
          </c:spPr>
        </c:majorGridlines>
        <c:title>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4835364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col"/>
        <c:grouping val="clustered"/>
        <c:varyColors val="0"/>
        <c:ser>
          <c:idx val="0"/>
          <c:order val="0"/>
          <c:tx>
            <c:strRef>
              <c:f>'List of Ratios'!$G$13</c:f>
              <c:strCache>
                <c:ptCount val="1"/>
                <c:pt idx="0">
                  <c:v>Defensive Interval</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'List of Ratios'!$H$12:$J$12</c:f>
              <c:numCache>
                <c:formatCode>General</c:formatCode>
                <c:ptCount val="3"/>
                <c:pt idx="0">
                  <c:v>2020</c:v>
                </c:pt>
                <c:pt idx="1">
                  <c:v>2021</c:v>
                </c:pt>
                <c:pt idx="2">
                  <c:v>2022</c:v>
                </c:pt>
              </c:numCache>
            </c:numRef>
          </c:cat>
          <c:val>
            <c:numRef>
              <c:f>'List of Ratios'!$H$13:$J$13</c:f>
              <c:numCache>
                <c:formatCode>_(* #,##0.00_);_(* \(#,##0.00\);_(* "-"??_);_(@_)</c:formatCode>
                <c:ptCount val="3"/>
                <c:pt idx="0">
                  <c:v>1415.254056207446</c:v>
                </c:pt>
                <c:pt idx="1">
                  <c:v>995.4514921939699</c:v>
                </c:pt>
                <c:pt idx="2">
                  <c:v>693.77301756914596</c:v>
                </c:pt>
              </c:numCache>
            </c:numRef>
          </c:val>
          <c:extLst>
            <c:ext xmlns:c16="http://schemas.microsoft.com/office/drawing/2014/chart" uri="{C3380CC4-5D6E-409C-BE32-E72D297353CC}">
              <c16:uniqueId val="{00000000-20EC-9942-AF40-4ABCF5DB7EFC}"/>
            </c:ext>
          </c:extLst>
        </c:ser>
        <c:dLbls>
          <c:dLblPos val="outEnd"/>
          <c:showLegendKey val="0"/>
          <c:showVal val="1"/>
          <c:showCatName val="0"/>
          <c:showSerName val="0"/>
          <c:showPercent val="0"/>
          <c:showBubbleSize val="0"/>
        </c:dLbls>
        <c:gapWidth val="100"/>
        <c:overlap val="-24"/>
        <c:axId val="566944960"/>
        <c:axId val="431019232"/>
      </c:barChart>
      <c:catAx>
        <c:axId val="566944960"/>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431019232"/>
        <c:crosses val="autoZero"/>
        <c:auto val="1"/>
        <c:lblAlgn val="ctr"/>
        <c:lblOffset val="100"/>
        <c:noMultiLvlLbl val="0"/>
      </c:catAx>
      <c:valAx>
        <c:axId val="431019232"/>
        <c:scaling>
          <c:orientation val="minMax"/>
        </c:scaling>
        <c:delete val="0"/>
        <c:axPos val="l"/>
        <c:majorGridlines>
          <c:spPr>
            <a:ln w="9525" cap="flat" cmpd="sng" algn="ctr">
              <a:solidFill>
                <a:schemeClr val="lt1">
                  <a:lumMod val="95000"/>
                  <a:alpha val="10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566944960"/>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Net Trading Cycle</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col"/>
        <c:grouping val="clustered"/>
        <c:varyColors val="0"/>
        <c:ser>
          <c:idx val="0"/>
          <c:order val="0"/>
          <c:tx>
            <c:strRef>
              <c:f>'List of Ratios'!$G$16</c:f>
              <c:strCache>
                <c:ptCount val="1"/>
                <c:pt idx="0">
                  <c:v>Net trading cycle</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'List of Ratios'!$H$15:$J$15</c:f>
              <c:numCache>
                <c:formatCode>General</c:formatCode>
                <c:ptCount val="3"/>
                <c:pt idx="0">
                  <c:v>2020</c:v>
                </c:pt>
                <c:pt idx="1">
                  <c:v>2021</c:v>
                </c:pt>
                <c:pt idx="2">
                  <c:v>2022</c:v>
                </c:pt>
              </c:numCache>
            </c:numRef>
          </c:cat>
          <c:val>
            <c:numRef>
              <c:f>'List of Ratios'!$H$16:$J$16</c:f>
              <c:numCache>
                <c:formatCode>_(* #,##0.00_);_(* \(#,##0.00\);_(* "-"??_);_(@_)</c:formatCode>
                <c:ptCount val="3"/>
                <c:pt idx="0">
                  <c:v>-60.872869206641553</c:v>
                </c:pt>
                <c:pt idx="1">
                  <c:v>-56.355166632892512</c:v>
                </c:pt>
                <c:pt idx="2">
                  <c:v>-70.521753872831582</c:v>
                </c:pt>
              </c:numCache>
            </c:numRef>
          </c:val>
          <c:extLst>
            <c:ext xmlns:c16="http://schemas.microsoft.com/office/drawing/2014/chart" uri="{C3380CC4-5D6E-409C-BE32-E72D297353CC}">
              <c16:uniqueId val="{00000000-20A3-AA48-A093-AF83EFB85FD0}"/>
            </c:ext>
          </c:extLst>
        </c:ser>
        <c:dLbls>
          <c:dLblPos val="inEnd"/>
          <c:showLegendKey val="0"/>
          <c:showVal val="1"/>
          <c:showCatName val="0"/>
          <c:showSerName val="0"/>
          <c:showPercent val="0"/>
          <c:showBubbleSize val="0"/>
        </c:dLbls>
        <c:gapWidth val="100"/>
        <c:overlap val="-24"/>
        <c:axId val="605349472"/>
        <c:axId val="605195712"/>
      </c:barChart>
      <c:catAx>
        <c:axId val="605349472"/>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605195712"/>
        <c:crosses val="autoZero"/>
        <c:auto val="1"/>
        <c:lblAlgn val="ctr"/>
        <c:lblOffset val="100"/>
        <c:noMultiLvlLbl val="0"/>
      </c:catAx>
      <c:valAx>
        <c:axId val="605195712"/>
        <c:scaling>
          <c:orientation val="minMax"/>
        </c:scaling>
        <c:delete val="0"/>
        <c:axPos val="l"/>
        <c:majorGridlines>
          <c:spPr>
            <a:ln w="9525" cap="flat" cmpd="sng" algn="ctr">
              <a:solidFill>
                <a:schemeClr val="lt1">
                  <a:lumMod val="95000"/>
                  <a:alpha val="10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605349472"/>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Profitability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1"/>
          <c:order val="0"/>
          <c:tx>
            <c:strRef>
              <c:f>'List of Ratios'!$G$22</c:f>
              <c:strCache>
                <c:ptCount val="1"/>
                <c:pt idx="0">
                  <c:v>Gross margin</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 of Ratios'!$H$21:$J$21</c:f>
              <c:numCache>
                <c:formatCode>General</c:formatCode>
                <c:ptCount val="3"/>
                <c:pt idx="0">
                  <c:v>2020</c:v>
                </c:pt>
                <c:pt idx="1">
                  <c:v>2021</c:v>
                </c:pt>
                <c:pt idx="2">
                  <c:v>2022</c:v>
                </c:pt>
              </c:numCache>
            </c:numRef>
          </c:cat>
          <c:val>
            <c:numRef>
              <c:f>'List of Ratios'!$H$22:$J$22</c:f>
              <c:numCache>
                <c:formatCode>_(* #,##0.00_);_(* \(#,##0.00\);_(* "-"??_);_(@_)</c:formatCode>
                <c:ptCount val="3"/>
                <c:pt idx="0">
                  <c:v>0.38233247727810865</c:v>
                </c:pt>
                <c:pt idx="1">
                  <c:v>0.41779359625167778</c:v>
                </c:pt>
                <c:pt idx="2">
                  <c:v>0.43309630561360085</c:v>
                </c:pt>
              </c:numCache>
            </c:numRef>
          </c:val>
          <c:smooth val="0"/>
          <c:extLst>
            <c:ext xmlns:c16="http://schemas.microsoft.com/office/drawing/2014/chart" uri="{C3380CC4-5D6E-409C-BE32-E72D297353CC}">
              <c16:uniqueId val="{00000000-FDDB-7340-B126-280B293CFD2B}"/>
            </c:ext>
          </c:extLst>
        </c:ser>
        <c:ser>
          <c:idx val="2"/>
          <c:order val="1"/>
          <c:tx>
            <c:strRef>
              <c:f>'List of Ratios'!$G$23</c:f>
              <c:strCache>
                <c:ptCount val="1"/>
                <c:pt idx="0">
                  <c:v>EBITDA margin</c:v>
                </c:pt>
              </c:strCache>
            </c:strRef>
          </c:tx>
          <c:spPr>
            <a:ln w="2857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 of Ratios'!$H$21:$J$21</c:f>
              <c:numCache>
                <c:formatCode>General</c:formatCode>
                <c:ptCount val="3"/>
                <c:pt idx="0">
                  <c:v>2020</c:v>
                </c:pt>
                <c:pt idx="1">
                  <c:v>2021</c:v>
                </c:pt>
                <c:pt idx="2">
                  <c:v>2022</c:v>
                </c:pt>
              </c:numCache>
            </c:numRef>
          </c:cat>
          <c:val>
            <c:numRef>
              <c:f>'List of Ratios'!$H$23:$J$23</c:f>
              <c:numCache>
                <c:formatCode>_(* #,##0.00_);_(* \(#,##0.00\);_(* "-"??_);_(@_)</c:formatCode>
                <c:ptCount val="3"/>
                <c:pt idx="0">
                  <c:v>0.2817478097736007</c:v>
                </c:pt>
                <c:pt idx="1">
                  <c:v>0.32866979938056462</c:v>
                </c:pt>
                <c:pt idx="2">
                  <c:v>0.3310467428130896</c:v>
                </c:pt>
              </c:numCache>
            </c:numRef>
          </c:val>
          <c:smooth val="0"/>
          <c:extLst>
            <c:ext xmlns:c16="http://schemas.microsoft.com/office/drawing/2014/chart" uri="{C3380CC4-5D6E-409C-BE32-E72D297353CC}">
              <c16:uniqueId val="{00000001-FDDB-7340-B126-280B293CFD2B}"/>
            </c:ext>
          </c:extLst>
        </c:ser>
        <c:ser>
          <c:idx val="3"/>
          <c:order val="2"/>
          <c:tx>
            <c:strRef>
              <c:f>'List of Ratios'!$G$24</c:f>
              <c:strCache>
                <c:ptCount val="1"/>
                <c:pt idx="0">
                  <c:v>EBIT margin</c:v>
                </c:pt>
              </c:strCache>
            </c:strRef>
          </c:tx>
          <c:spPr>
            <a:ln w="28575" cap="rnd">
              <a:solidFill>
                <a:schemeClr val="accent4"/>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 of Ratios'!$H$21:$J$21</c:f>
              <c:numCache>
                <c:formatCode>General</c:formatCode>
                <c:ptCount val="3"/>
                <c:pt idx="0">
                  <c:v>2020</c:v>
                </c:pt>
                <c:pt idx="1">
                  <c:v>2021</c:v>
                </c:pt>
                <c:pt idx="2">
                  <c:v>2022</c:v>
                </c:pt>
              </c:numCache>
            </c:numRef>
          </c:cat>
          <c:val>
            <c:numRef>
              <c:f>'List of Ratios'!$H$24:$J$24</c:f>
              <c:numCache>
                <c:formatCode>_(* #,##0.00_);_(* \(#,##0.00\);_(* "-"??_);_(@_)</c:formatCode>
                <c:ptCount val="3"/>
                <c:pt idx="0">
                  <c:v>0.24147314354406862</c:v>
                </c:pt>
                <c:pt idx="1">
                  <c:v>0.29782377527561593</c:v>
                </c:pt>
                <c:pt idx="2">
                  <c:v>0.30288744395528594</c:v>
                </c:pt>
              </c:numCache>
            </c:numRef>
          </c:val>
          <c:smooth val="0"/>
          <c:extLst>
            <c:ext xmlns:c16="http://schemas.microsoft.com/office/drawing/2014/chart" uri="{C3380CC4-5D6E-409C-BE32-E72D297353CC}">
              <c16:uniqueId val="{00000002-FDDB-7340-B126-280B293CFD2B}"/>
            </c:ext>
          </c:extLst>
        </c:ser>
        <c:ser>
          <c:idx val="4"/>
          <c:order val="3"/>
          <c:tx>
            <c:strRef>
              <c:f>'List of Ratios'!$G$25</c:f>
              <c:strCache>
                <c:ptCount val="1"/>
                <c:pt idx="0">
                  <c:v>Net margin</c:v>
                </c:pt>
              </c:strCache>
            </c:strRef>
          </c:tx>
          <c:spPr>
            <a:ln w="28575" cap="rnd">
              <a:solidFill>
                <a:schemeClr val="accent5"/>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 of Ratios'!$H$21:$J$21</c:f>
              <c:numCache>
                <c:formatCode>General</c:formatCode>
                <c:ptCount val="3"/>
                <c:pt idx="0">
                  <c:v>2020</c:v>
                </c:pt>
                <c:pt idx="1">
                  <c:v>2021</c:v>
                </c:pt>
                <c:pt idx="2">
                  <c:v>2022</c:v>
                </c:pt>
              </c:numCache>
            </c:numRef>
          </c:cat>
          <c:val>
            <c:numRef>
              <c:f>'List of Ratios'!$H$25:$J$25</c:f>
              <c:numCache>
                <c:formatCode>_(* #,##0.00_);_(* \(#,##0.00\);_(* "-"??_);_(@_)</c:formatCode>
                <c:ptCount val="3"/>
                <c:pt idx="0">
                  <c:v>0.20913611278072236</c:v>
                </c:pt>
                <c:pt idx="1">
                  <c:v>0.25881793355694238</c:v>
                </c:pt>
                <c:pt idx="2">
                  <c:v>0.25309640705199732</c:v>
                </c:pt>
              </c:numCache>
            </c:numRef>
          </c:val>
          <c:smooth val="0"/>
          <c:extLst>
            <c:ext xmlns:c16="http://schemas.microsoft.com/office/drawing/2014/chart" uri="{C3380CC4-5D6E-409C-BE32-E72D297353CC}">
              <c16:uniqueId val="{00000003-FDDB-7340-B126-280B293CFD2B}"/>
            </c:ext>
          </c:extLst>
        </c:ser>
        <c:dLbls>
          <c:showLegendKey val="0"/>
          <c:showVal val="1"/>
          <c:showCatName val="0"/>
          <c:showSerName val="0"/>
          <c:showPercent val="0"/>
          <c:showBubbleSize val="0"/>
        </c:dLbls>
        <c:smooth val="0"/>
        <c:axId val="592087152"/>
        <c:axId val="575087216"/>
      </c:lineChart>
      <c:catAx>
        <c:axId val="592087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5087216"/>
        <c:crosses val="autoZero"/>
        <c:auto val="1"/>
        <c:lblAlgn val="ctr"/>
        <c:lblOffset val="100"/>
        <c:noMultiLvlLbl val="0"/>
      </c:catAx>
      <c:valAx>
        <c:axId val="575087216"/>
        <c:scaling>
          <c:orientation val="minMax"/>
        </c:scaling>
        <c:delete val="1"/>
        <c:axPos val="l"/>
        <c:numFmt formatCode="_(* #,##0.00_);_(* \(#,##0.00\);_(* &quot;-&quot;??_);_(@_)" sourceLinked="1"/>
        <c:majorTickMark val="none"/>
        <c:minorTickMark val="none"/>
        <c:tickLblPos val="nextTo"/>
        <c:crossAx val="59208715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Leverage</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lineChart>
        <c:grouping val="standard"/>
        <c:varyColors val="0"/>
        <c:ser>
          <c:idx val="1"/>
          <c:order val="0"/>
          <c:tx>
            <c:strRef>
              <c:f>'List of Ratios'!$G$30</c:f>
              <c:strCache>
                <c:ptCount val="1"/>
                <c:pt idx="0">
                  <c:v>Debt to equity (D/E)</c:v>
                </c:pt>
              </c:strCache>
            </c:strRef>
          </c:tx>
          <c:spPr>
            <a:ln w="31750" cap="rnd">
              <a:solidFill>
                <a:schemeClr val="accent2"/>
              </a:solidFill>
              <a:round/>
            </a:ln>
            <a:effectLst/>
          </c:spPr>
          <c:marker>
            <c:symbol val="circle"/>
            <c:size val="17"/>
            <c:spPr>
              <a:solidFill>
                <a:schemeClr val="accent2"/>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'List of Ratios'!$H$29:$J$29</c:f>
              <c:numCache>
                <c:formatCode>General</c:formatCode>
                <c:ptCount val="3"/>
                <c:pt idx="0">
                  <c:v>2020</c:v>
                </c:pt>
                <c:pt idx="1">
                  <c:v>2021</c:v>
                </c:pt>
                <c:pt idx="2">
                  <c:v>2022</c:v>
                </c:pt>
              </c:numCache>
            </c:numRef>
          </c:cat>
          <c:val>
            <c:numRef>
              <c:f>'List of Ratios'!$H$30:$J$30</c:f>
              <c:numCache>
                <c:formatCode>_(* #,##0.00_);_(* \(#,##0.00\);_(* "-"??_);_(@_)</c:formatCode>
                <c:ptCount val="3"/>
                <c:pt idx="0">
                  <c:v>3.9570394404566951</c:v>
                </c:pt>
                <c:pt idx="1">
                  <c:v>4.5635124425423994</c:v>
                </c:pt>
                <c:pt idx="2">
                  <c:v>5.9615369434796337</c:v>
                </c:pt>
              </c:numCache>
            </c:numRef>
          </c:val>
          <c:smooth val="0"/>
          <c:extLst>
            <c:ext xmlns:c16="http://schemas.microsoft.com/office/drawing/2014/chart" uri="{C3380CC4-5D6E-409C-BE32-E72D297353CC}">
              <c16:uniqueId val="{00000000-D7CD-444D-89AB-1C1F8B9A79ED}"/>
            </c:ext>
          </c:extLst>
        </c:ser>
        <c:ser>
          <c:idx val="2"/>
          <c:order val="1"/>
          <c:tx>
            <c:strRef>
              <c:f>'List of Ratios'!$G$31</c:f>
              <c:strCache>
                <c:ptCount val="1"/>
                <c:pt idx="0">
                  <c:v>Debt to total assets</c:v>
                </c:pt>
              </c:strCache>
            </c:strRef>
          </c:tx>
          <c:spPr>
            <a:ln w="31750" cap="rnd">
              <a:solidFill>
                <a:schemeClr val="accent3"/>
              </a:solidFill>
              <a:round/>
            </a:ln>
            <a:effectLst/>
          </c:spPr>
          <c:marker>
            <c:symbol val="circle"/>
            <c:size val="17"/>
            <c:spPr>
              <a:solidFill>
                <a:schemeClr val="accent3"/>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'List of Ratios'!$H$29:$J$29</c:f>
              <c:numCache>
                <c:formatCode>General</c:formatCode>
                <c:ptCount val="3"/>
                <c:pt idx="0">
                  <c:v>2020</c:v>
                </c:pt>
                <c:pt idx="1">
                  <c:v>2021</c:v>
                </c:pt>
                <c:pt idx="2">
                  <c:v>2022</c:v>
                </c:pt>
              </c:numCache>
            </c:numRef>
          </c:cat>
          <c:val>
            <c:numRef>
              <c:f>'List of Ratios'!$H$31:$J$31</c:f>
              <c:numCache>
                <c:formatCode>_(* #,##0.00_);_(* \(#,##0.00\);_(* "-"??_);_(@_)</c:formatCode>
                <c:ptCount val="3"/>
                <c:pt idx="0">
                  <c:v>0.79826668477992391</c:v>
                </c:pt>
                <c:pt idx="1">
                  <c:v>0.82025743443057308</c:v>
                </c:pt>
                <c:pt idx="2">
                  <c:v>0.85635355983614692</c:v>
                </c:pt>
              </c:numCache>
            </c:numRef>
          </c:val>
          <c:smooth val="0"/>
          <c:extLst>
            <c:ext xmlns:c16="http://schemas.microsoft.com/office/drawing/2014/chart" uri="{C3380CC4-5D6E-409C-BE32-E72D297353CC}">
              <c16:uniqueId val="{00000001-D7CD-444D-89AB-1C1F8B9A79ED}"/>
            </c:ext>
          </c:extLst>
        </c:ser>
        <c:ser>
          <c:idx val="3"/>
          <c:order val="2"/>
          <c:tx>
            <c:strRef>
              <c:f>'List of Ratios'!$G$32</c:f>
              <c:strCache>
                <c:ptCount val="1"/>
                <c:pt idx="0">
                  <c:v>Long-term debt to capital</c:v>
                </c:pt>
              </c:strCache>
            </c:strRef>
          </c:tx>
          <c:spPr>
            <a:ln w="31750" cap="rnd">
              <a:solidFill>
                <a:schemeClr val="accent4"/>
              </a:solidFill>
              <a:round/>
            </a:ln>
            <a:effectLst/>
          </c:spPr>
          <c:marker>
            <c:symbol val="circle"/>
            <c:size val="17"/>
            <c:spPr>
              <a:solidFill>
                <a:schemeClr val="accent4"/>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'List of Ratios'!$H$29:$J$29</c:f>
              <c:numCache>
                <c:formatCode>General</c:formatCode>
                <c:ptCount val="3"/>
                <c:pt idx="0">
                  <c:v>2020</c:v>
                </c:pt>
                <c:pt idx="1">
                  <c:v>2021</c:v>
                </c:pt>
                <c:pt idx="2">
                  <c:v>2022</c:v>
                </c:pt>
              </c:numCache>
            </c:numRef>
          </c:cat>
          <c:val>
            <c:numRef>
              <c:f>'List of Ratios'!$H$32:$J$32</c:f>
              <c:numCache>
                <c:formatCode>_(* #,##0.00_);_(* \(#,##0.00\);_(* "-"??_);_(@_)</c:formatCode>
                <c:ptCount val="3"/>
                <c:pt idx="0">
                  <c:v>1.5100782075024104</c:v>
                </c:pt>
                <c:pt idx="1">
                  <c:v>1.729370740212395</c:v>
                </c:pt>
                <c:pt idx="2">
                  <c:v>1.9529325860435744</c:v>
                </c:pt>
              </c:numCache>
            </c:numRef>
          </c:val>
          <c:smooth val="0"/>
          <c:extLst>
            <c:ext xmlns:c16="http://schemas.microsoft.com/office/drawing/2014/chart" uri="{C3380CC4-5D6E-409C-BE32-E72D297353CC}">
              <c16:uniqueId val="{00000002-D7CD-444D-89AB-1C1F8B9A79ED}"/>
            </c:ext>
          </c:extLst>
        </c:ser>
        <c:dLbls>
          <c:dLblPos val="ctr"/>
          <c:showLegendKey val="0"/>
          <c:showVal val="1"/>
          <c:showCatName val="0"/>
          <c:showSerName val="0"/>
          <c:showPercent val="0"/>
          <c:showBubbleSize val="0"/>
        </c:dLbls>
        <c:marker val="1"/>
        <c:smooth val="0"/>
        <c:axId val="566623696"/>
        <c:axId val="967563455"/>
      </c:lineChart>
      <c:catAx>
        <c:axId val="56662369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967563455"/>
        <c:crosses val="autoZero"/>
        <c:auto val="1"/>
        <c:lblAlgn val="ctr"/>
        <c:lblOffset val="100"/>
        <c:noMultiLvlLbl val="0"/>
      </c:catAx>
      <c:valAx>
        <c:axId val="967563455"/>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_(* #,##0.00_);_(* \(#,##0.00\);_(* &quot;-&quot;??_);_(@_)" sourceLinked="1"/>
        <c:majorTickMark val="none"/>
        <c:minorTickMark val="none"/>
        <c:tickLblPos val="nextTo"/>
        <c:crossAx val="566623696"/>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Times Interest Earned</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lineChart>
        <c:grouping val="standard"/>
        <c:varyColors val="0"/>
        <c:ser>
          <c:idx val="0"/>
          <c:order val="0"/>
          <c:tx>
            <c:strRef>
              <c:f>'List of Ratios'!$G$36</c:f>
              <c:strCache>
                <c:ptCount val="1"/>
                <c:pt idx="0">
                  <c:v>Times interest earned</c:v>
                </c:pt>
              </c:strCache>
            </c:strRef>
          </c:tx>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'List of Ratios'!$H$35:$J$35</c:f>
              <c:numCache>
                <c:formatCode>General</c:formatCode>
                <c:ptCount val="3"/>
                <c:pt idx="0">
                  <c:v>2020</c:v>
                </c:pt>
                <c:pt idx="1">
                  <c:v>2021</c:v>
                </c:pt>
                <c:pt idx="2">
                  <c:v>2022</c:v>
                </c:pt>
              </c:numCache>
            </c:numRef>
          </c:cat>
          <c:val>
            <c:numRef>
              <c:f>'List of Ratios'!$H$36:$J$36</c:f>
              <c:numCache>
                <c:formatCode>_(* #,##0.00_);_(* \(#,##0.00\);_(* "-"??_);_(@_)</c:formatCode>
                <c:ptCount val="3"/>
                <c:pt idx="0">
                  <c:v>23.072746258266619</c:v>
                </c:pt>
                <c:pt idx="1">
                  <c:v>41.190548204158787</c:v>
                </c:pt>
                <c:pt idx="2">
                  <c:v>40.749573524394407</c:v>
                </c:pt>
              </c:numCache>
            </c:numRef>
          </c:val>
          <c:smooth val="0"/>
          <c:extLst>
            <c:ext xmlns:c16="http://schemas.microsoft.com/office/drawing/2014/chart" uri="{C3380CC4-5D6E-409C-BE32-E72D297353CC}">
              <c16:uniqueId val="{00000000-83C8-534E-8D20-1151C829C7A8}"/>
            </c:ext>
          </c:extLst>
        </c:ser>
        <c:dLbls>
          <c:dLblPos val="ctr"/>
          <c:showLegendKey val="0"/>
          <c:showVal val="1"/>
          <c:showCatName val="0"/>
          <c:showSerName val="0"/>
          <c:showPercent val="0"/>
          <c:showBubbleSize val="0"/>
        </c:dLbls>
        <c:marker val="1"/>
        <c:smooth val="0"/>
        <c:axId val="606016816"/>
        <c:axId val="431041104"/>
      </c:lineChart>
      <c:catAx>
        <c:axId val="60601681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431041104"/>
        <c:crosses val="autoZero"/>
        <c:auto val="1"/>
        <c:lblAlgn val="ctr"/>
        <c:lblOffset val="100"/>
        <c:noMultiLvlLbl val="0"/>
      </c:catAx>
      <c:valAx>
        <c:axId val="431041104"/>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_(* #,##0.00_);_(* \(#,##0.00\);_(* &quot;-&quot;??_);_(@_)" sourceLinked="1"/>
        <c:majorTickMark val="none"/>
        <c:minorTickMark val="none"/>
        <c:tickLblPos val="nextTo"/>
        <c:crossAx val="6060168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Efficiency</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lineChart>
        <c:grouping val="standard"/>
        <c:varyColors val="0"/>
        <c:ser>
          <c:idx val="0"/>
          <c:order val="0"/>
          <c:tx>
            <c:strRef>
              <c:f>'List of Ratios'!$G$48</c:f>
              <c:strCache>
                <c:ptCount val="1"/>
                <c:pt idx="0">
                  <c:v>Return on equity (ROE)</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'List of Ratios'!$H$47:$I$47</c:f>
              <c:numCache>
                <c:formatCode>General</c:formatCode>
                <c:ptCount val="2"/>
                <c:pt idx="0">
                  <c:v>2021</c:v>
                </c:pt>
                <c:pt idx="1">
                  <c:v>2022</c:v>
                </c:pt>
              </c:numCache>
            </c:numRef>
          </c:cat>
          <c:val>
            <c:numRef>
              <c:f>'List of Ratios'!$H$48:$I$48</c:f>
              <c:numCache>
                <c:formatCode>_(* #,##0.00_);_(* \(#,##0.00\);_(* "-"??_);_(@_)</c:formatCode>
                <c:ptCount val="2"/>
                <c:pt idx="0">
                  <c:v>1.4744333444938449</c:v>
                </c:pt>
                <c:pt idx="1">
                  <c:v>1.7545929220653644</c:v>
                </c:pt>
              </c:numCache>
            </c:numRef>
          </c:val>
          <c:smooth val="0"/>
          <c:extLst>
            <c:ext xmlns:c16="http://schemas.microsoft.com/office/drawing/2014/chart" uri="{C3380CC4-5D6E-409C-BE32-E72D297353CC}">
              <c16:uniqueId val="{00000000-765B-674D-98F0-C1C613C18737}"/>
            </c:ext>
          </c:extLst>
        </c:ser>
        <c:ser>
          <c:idx val="1"/>
          <c:order val="1"/>
          <c:tx>
            <c:strRef>
              <c:f>'List of Ratios'!$G$49</c:f>
              <c:strCache>
                <c:ptCount val="1"/>
                <c:pt idx="0">
                  <c:v>Return on capital employed (ROCE)</c:v>
                </c:pt>
              </c:strCache>
            </c:strRef>
          </c:tx>
          <c:spPr>
            <a:ln w="34925" cap="rnd">
              <a:solidFill>
                <a:schemeClr val="accent2"/>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'List of Ratios'!$H$47:$I$47</c:f>
              <c:numCache>
                <c:formatCode>General</c:formatCode>
                <c:ptCount val="2"/>
                <c:pt idx="0">
                  <c:v>2021</c:v>
                </c:pt>
                <c:pt idx="1">
                  <c:v>2022</c:v>
                </c:pt>
              </c:numCache>
            </c:numRef>
          </c:cat>
          <c:val>
            <c:numRef>
              <c:f>'List of Ratios'!$H$49:$I$49</c:f>
              <c:numCache>
                <c:formatCode>_(* #,##0.00_);_(* \(#,##0.00\);_(* "-"??_);_(@_)</c:formatCode>
                <c:ptCount val="2"/>
                <c:pt idx="0">
                  <c:v>0.49074247157203438</c:v>
                </c:pt>
                <c:pt idx="1">
                  <c:v>0.56299169915200309</c:v>
                </c:pt>
              </c:numCache>
            </c:numRef>
          </c:val>
          <c:smooth val="0"/>
          <c:extLst>
            <c:ext xmlns:c16="http://schemas.microsoft.com/office/drawing/2014/chart" uri="{C3380CC4-5D6E-409C-BE32-E72D297353CC}">
              <c16:uniqueId val="{00000001-765B-674D-98F0-C1C613C18737}"/>
            </c:ext>
          </c:extLst>
        </c:ser>
        <c:dLbls>
          <c:dLblPos val="ctr"/>
          <c:showLegendKey val="0"/>
          <c:showVal val="1"/>
          <c:showCatName val="0"/>
          <c:showSerName val="0"/>
          <c:showPercent val="0"/>
          <c:showBubbleSize val="0"/>
        </c:dLbls>
        <c:smooth val="0"/>
        <c:axId val="820669168"/>
        <c:axId val="545254400"/>
      </c:lineChart>
      <c:catAx>
        <c:axId val="820669168"/>
        <c:scaling>
          <c:orientation val="minMax"/>
        </c:scaling>
        <c:delete val="0"/>
        <c:axPos val="b"/>
        <c:numFmt formatCode="General"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545254400"/>
        <c:crosses val="autoZero"/>
        <c:auto val="1"/>
        <c:lblAlgn val="ctr"/>
        <c:lblOffset val="100"/>
        <c:noMultiLvlLbl val="0"/>
      </c:catAx>
      <c:valAx>
        <c:axId val="545254400"/>
        <c:scaling>
          <c:orientation val="minMax"/>
        </c:scaling>
        <c:delete val="0"/>
        <c:axPos val="l"/>
        <c:majorGridlines>
          <c:spPr>
            <a:ln w="9525" cap="flat" cmpd="sng" algn="ctr">
              <a:solidFill>
                <a:schemeClr val="lt1">
                  <a:lumMod val="95000"/>
                  <a:alpha val="10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8206691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33">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9525" cap="flat" cmpd="sng" algn="ctr">
        <a:solidFill>
          <a:schemeClr val="lt1">
            <a:lumMod val="95000"/>
            <a:alpha val="10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5</Pages>
  <Words>406</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Xie</dc:creator>
  <cp:keywords/>
  <dc:description/>
  <cp:lastModifiedBy>Jackie Xie</cp:lastModifiedBy>
  <cp:revision>3</cp:revision>
  <dcterms:created xsi:type="dcterms:W3CDTF">2024-09-02T00:22:00Z</dcterms:created>
  <dcterms:modified xsi:type="dcterms:W3CDTF">2024-09-03T01:09:00Z</dcterms:modified>
</cp:coreProperties>
</file>