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5539E" w14:textId="77777777" w:rsidR="00A56E4D" w:rsidRPr="00A56E4D" w:rsidRDefault="00A56E4D" w:rsidP="00A56E4D">
      <w:pPr>
        <w:rPr>
          <w:b/>
          <w:bCs/>
          <w:sz w:val="24"/>
          <w:szCs w:val="24"/>
        </w:rPr>
      </w:pPr>
      <w:r w:rsidRPr="00A56E4D">
        <w:rPr>
          <w:b/>
          <w:bCs/>
          <w:sz w:val="24"/>
          <w:szCs w:val="24"/>
        </w:rPr>
        <w:t>Financial Analysis Report</w:t>
      </w:r>
    </w:p>
    <w:p w14:paraId="7777DBCE" w14:textId="21E95CC7" w:rsidR="00A56E4D" w:rsidRPr="00A56E4D" w:rsidRDefault="003C2958" w:rsidP="00A56E4D">
      <w:pPr>
        <w:rPr>
          <w:b/>
          <w:bCs/>
          <w:sz w:val="24"/>
          <w:szCs w:val="24"/>
        </w:rPr>
      </w:pPr>
      <w:r w:rsidRPr="003C2958">
        <w:rPr>
          <w:sz w:val="24"/>
          <w:szCs w:val="24"/>
        </w:rPr>
        <w:t xml:space="preserve">This Financial Analysis Report provides a comprehensive examination of the company's financial performance over the fiscal years 2020, 2021, and 2022. By delving into key financial metrics, including liquidity, profitability, solvency, asset utilization, and market ratios, this report aims to offer a thorough understanding of the company’s financial health and operational efficiency. Utilizing a combination of graphs and charts, we present trends and changes across these metrics to illustrate how the company has evolved over </w:t>
      </w:r>
      <w:r>
        <w:rPr>
          <w:sz w:val="24"/>
          <w:szCs w:val="24"/>
        </w:rPr>
        <w:t>the three years</w:t>
      </w:r>
      <w:r w:rsidRPr="003C2958">
        <w:rPr>
          <w:sz w:val="24"/>
          <w:szCs w:val="24"/>
        </w:rPr>
        <w:t>. This analysis will aid stakeholders in making informed decisions by highlighting areas of strength and potential concerns.</w:t>
      </w:r>
    </w:p>
    <w:p w14:paraId="4C385CF4" w14:textId="77777777" w:rsidR="00A56E4D" w:rsidRPr="00A56E4D" w:rsidRDefault="00A56E4D" w:rsidP="00A56E4D">
      <w:pPr>
        <w:rPr>
          <w:sz w:val="24"/>
          <w:szCs w:val="24"/>
        </w:rPr>
      </w:pPr>
      <w:r w:rsidRPr="00A56E4D">
        <w:rPr>
          <w:b/>
          <w:bCs/>
          <w:sz w:val="24"/>
          <w:szCs w:val="24"/>
        </w:rPr>
        <w:t>Liquidity Ratios:</w:t>
      </w:r>
    </w:p>
    <w:p w14:paraId="2952E4DE" w14:textId="77777777" w:rsidR="00A56E4D" w:rsidRPr="00A56E4D" w:rsidRDefault="00A56E4D" w:rsidP="00A56E4D">
      <w:pPr>
        <w:numPr>
          <w:ilvl w:val="0"/>
          <w:numId w:val="1"/>
        </w:numPr>
        <w:rPr>
          <w:sz w:val="24"/>
          <w:szCs w:val="24"/>
        </w:rPr>
      </w:pPr>
      <w:r w:rsidRPr="00A56E4D">
        <w:rPr>
          <w:b/>
          <w:bCs/>
          <w:sz w:val="24"/>
          <w:szCs w:val="24"/>
        </w:rPr>
        <w:t>Current Ratio:</w:t>
      </w:r>
    </w:p>
    <w:p w14:paraId="6C22E586" w14:textId="77777777" w:rsidR="00A56E4D" w:rsidRPr="00A56E4D" w:rsidRDefault="00A56E4D" w:rsidP="00A56E4D">
      <w:pPr>
        <w:numPr>
          <w:ilvl w:val="1"/>
          <w:numId w:val="1"/>
        </w:numPr>
        <w:rPr>
          <w:sz w:val="24"/>
          <w:szCs w:val="24"/>
        </w:rPr>
      </w:pPr>
      <w:r w:rsidRPr="00A56E4D">
        <w:rPr>
          <w:sz w:val="24"/>
          <w:szCs w:val="24"/>
        </w:rPr>
        <w:t>2022: 0.88</w:t>
      </w:r>
    </w:p>
    <w:p w14:paraId="11CC2D75" w14:textId="77777777" w:rsidR="00A56E4D" w:rsidRPr="00A56E4D" w:rsidRDefault="00A56E4D" w:rsidP="00A56E4D">
      <w:pPr>
        <w:numPr>
          <w:ilvl w:val="1"/>
          <w:numId w:val="1"/>
        </w:numPr>
        <w:rPr>
          <w:sz w:val="24"/>
          <w:szCs w:val="24"/>
        </w:rPr>
      </w:pPr>
      <w:r w:rsidRPr="00A56E4D">
        <w:rPr>
          <w:sz w:val="24"/>
          <w:szCs w:val="24"/>
        </w:rPr>
        <w:t>2021: 1.07</w:t>
      </w:r>
    </w:p>
    <w:p w14:paraId="60F8AB02" w14:textId="77777777" w:rsidR="00A56E4D" w:rsidRPr="00A56E4D" w:rsidRDefault="00A56E4D" w:rsidP="00A56E4D">
      <w:pPr>
        <w:numPr>
          <w:ilvl w:val="1"/>
          <w:numId w:val="1"/>
        </w:numPr>
        <w:rPr>
          <w:sz w:val="24"/>
          <w:szCs w:val="24"/>
        </w:rPr>
      </w:pPr>
      <w:r w:rsidRPr="00A56E4D">
        <w:rPr>
          <w:sz w:val="24"/>
          <w:szCs w:val="24"/>
        </w:rPr>
        <w:t>2020: 1.36</w:t>
      </w:r>
    </w:p>
    <w:p w14:paraId="3EC54CD6" w14:textId="6ABD9D9D" w:rsidR="00A56E4D" w:rsidRPr="00A56E4D" w:rsidRDefault="00A56E4D" w:rsidP="00A56E4D">
      <w:pPr>
        <w:numPr>
          <w:ilvl w:val="0"/>
          <w:numId w:val="1"/>
        </w:numPr>
        <w:rPr>
          <w:sz w:val="24"/>
          <w:szCs w:val="24"/>
        </w:rPr>
      </w:pPr>
      <w:r w:rsidRPr="00A56E4D">
        <w:rPr>
          <w:b/>
          <w:bCs/>
          <w:sz w:val="24"/>
          <w:szCs w:val="24"/>
        </w:rPr>
        <w:t>Quick Ratio:</w:t>
      </w:r>
    </w:p>
    <w:p w14:paraId="322170CE" w14:textId="234155D6" w:rsidR="00A56E4D" w:rsidRPr="00A56E4D" w:rsidRDefault="00A56E4D" w:rsidP="00A56E4D">
      <w:pPr>
        <w:numPr>
          <w:ilvl w:val="1"/>
          <w:numId w:val="1"/>
        </w:numPr>
        <w:rPr>
          <w:sz w:val="24"/>
          <w:szCs w:val="24"/>
        </w:rPr>
      </w:pPr>
      <w:r w:rsidRPr="00A56E4D">
        <w:rPr>
          <w:sz w:val="24"/>
          <w:szCs w:val="24"/>
        </w:rPr>
        <w:t>2022: 0.85</w:t>
      </w:r>
    </w:p>
    <w:p w14:paraId="47F1581E" w14:textId="01C4A555" w:rsidR="00A56E4D" w:rsidRPr="00A56E4D" w:rsidRDefault="00A56E4D" w:rsidP="00A56E4D">
      <w:pPr>
        <w:numPr>
          <w:ilvl w:val="1"/>
          <w:numId w:val="1"/>
        </w:numPr>
        <w:rPr>
          <w:sz w:val="24"/>
          <w:szCs w:val="24"/>
        </w:rPr>
      </w:pPr>
      <w:r w:rsidRPr="00A56E4D">
        <w:rPr>
          <w:sz w:val="24"/>
          <w:szCs w:val="24"/>
        </w:rPr>
        <w:t>2021: 1.07</w:t>
      </w:r>
    </w:p>
    <w:p w14:paraId="10CE431B" w14:textId="20186333" w:rsidR="00A56E4D" w:rsidRPr="00A56E4D" w:rsidRDefault="00A56E4D" w:rsidP="00A56E4D">
      <w:pPr>
        <w:numPr>
          <w:ilvl w:val="1"/>
          <w:numId w:val="1"/>
        </w:numPr>
        <w:rPr>
          <w:sz w:val="24"/>
          <w:szCs w:val="24"/>
        </w:rPr>
      </w:pPr>
      <w:r w:rsidRPr="00A56E4D">
        <w:rPr>
          <w:sz w:val="24"/>
          <w:szCs w:val="24"/>
        </w:rPr>
        <w:t>2020: 1.33</w:t>
      </w:r>
    </w:p>
    <w:p w14:paraId="53F10BDE" w14:textId="62FDA78A" w:rsidR="00A56E4D" w:rsidRPr="00A56E4D" w:rsidRDefault="00A56E4D" w:rsidP="00A56E4D">
      <w:pPr>
        <w:numPr>
          <w:ilvl w:val="0"/>
          <w:numId w:val="1"/>
        </w:numPr>
        <w:rPr>
          <w:sz w:val="24"/>
          <w:szCs w:val="24"/>
        </w:rPr>
      </w:pPr>
      <w:r w:rsidRPr="00A56E4D">
        <w:rPr>
          <w:b/>
          <w:bCs/>
          <w:sz w:val="24"/>
          <w:szCs w:val="24"/>
        </w:rPr>
        <w:t>Cash Ratio:</w:t>
      </w:r>
    </w:p>
    <w:p w14:paraId="6161322A" w14:textId="473C72D9" w:rsidR="00A56E4D" w:rsidRPr="00A56E4D" w:rsidRDefault="00A56E4D" w:rsidP="00A56E4D">
      <w:pPr>
        <w:numPr>
          <w:ilvl w:val="1"/>
          <w:numId w:val="1"/>
        </w:numPr>
        <w:rPr>
          <w:sz w:val="24"/>
          <w:szCs w:val="24"/>
        </w:rPr>
      </w:pPr>
      <w:r w:rsidRPr="00A56E4D">
        <w:rPr>
          <w:sz w:val="24"/>
          <w:szCs w:val="24"/>
        </w:rPr>
        <w:t>2022: 0.15</w:t>
      </w:r>
    </w:p>
    <w:p w14:paraId="68CE7263" w14:textId="5F9B2536" w:rsidR="00A56E4D" w:rsidRPr="00A56E4D" w:rsidRDefault="00A56E4D" w:rsidP="00A56E4D">
      <w:pPr>
        <w:numPr>
          <w:ilvl w:val="1"/>
          <w:numId w:val="1"/>
        </w:numPr>
        <w:rPr>
          <w:sz w:val="24"/>
          <w:szCs w:val="24"/>
        </w:rPr>
      </w:pPr>
      <w:r w:rsidRPr="00A56E4D">
        <w:rPr>
          <w:sz w:val="24"/>
          <w:szCs w:val="24"/>
        </w:rPr>
        <w:t>2021: 0.28</w:t>
      </w:r>
    </w:p>
    <w:p w14:paraId="530726D7" w14:textId="2C6FEF10" w:rsidR="00A56E4D" w:rsidRPr="00564C87" w:rsidRDefault="00A56E4D" w:rsidP="00A56E4D">
      <w:pPr>
        <w:numPr>
          <w:ilvl w:val="1"/>
          <w:numId w:val="1"/>
        </w:numPr>
        <w:rPr>
          <w:sz w:val="24"/>
          <w:szCs w:val="24"/>
        </w:rPr>
      </w:pPr>
      <w:r w:rsidRPr="00A56E4D">
        <w:rPr>
          <w:sz w:val="24"/>
          <w:szCs w:val="24"/>
        </w:rPr>
        <w:t>2020: 0.36</w:t>
      </w:r>
    </w:p>
    <w:p w14:paraId="6F44F1E6" w14:textId="5D330876" w:rsidR="00A56E4D" w:rsidRPr="00564C87" w:rsidRDefault="00564C87" w:rsidP="00A56E4D">
      <w:pPr>
        <w:rPr>
          <w:sz w:val="24"/>
          <w:szCs w:val="24"/>
        </w:rPr>
      </w:pPr>
      <w:r w:rsidRPr="00564C87">
        <w:rPr>
          <w:noProof/>
          <w:sz w:val="24"/>
          <w:szCs w:val="24"/>
        </w:rPr>
        <w:drawing>
          <wp:anchor distT="0" distB="0" distL="114300" distR="114300" simplePos="0" relativeHeight="251657728" behindDoc="0" locked="0" layoutInCell="1" allowOverlap="1" wp14:anchorId="54F6963D" wp14:editId="29B0F371">
            <wp:simplePos x="0" y="0"/>
            <wp:positionH relativeFrom="column">
              <wp:posOffset>381000</wp:posOffset>
            </wp:positionH>
            <wp:positionV relativeFrom="paragraph">
              <wp:posOffset>308610</wp:posOffset>
            </wp:positionV>
            <wp:extent cx="4972050" cy="2962756"/>
            <wp:effectExtent l="0" t="0" r="0" b="0"/>
            <wp:wrapTopAndBottom/>
            <wp:docPr id="1023247632" name="Picture 1" descr="Imagem de saí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m de saíd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2050" cy="29627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AA7D9A" w14:textId="1250CB85" w:rsidR="00A56E4D" w:rsidRPr="00564C87" w:rsidRDefault="00A56E4D" w:rsidP="00A56E4D">
      <w:pPr>
        <w:rPr>
          <w:sz w:val="24"/>
          <w:szCs w:val="24"/>
        </w:rPr>
      </w:pPr>
    </w:p>
    <w:p w14:paraId="22BA28B0" w14:textId="23340E0A" w:rsidR="00A56E4D" w:rsidRPr="00A56E4D" w:rsidRDefault="00A56E4D" w:rsidP="00A56E4D">
      <w:pPr>
        <w:rPr>
          <w:sz w:val="24"/>
          <w:szCs w:val="24"/>
        </w:rPr>
      </w:pPr>
      <w:r w:rsidRPr="00A56E4D">
        <w:rPr>
          <w:b/>
          <w:bCs/>
          <w:sz w:val="24"/>
          <w:szCs w:val="24"/>
        </w:rPr>
        <w:t>Interpretation:</w:t>
      </w:r>
    </w:p>
    <w:p w14:paraId="5AB7B9E8" w14:textId="054895F4" w:rsidR="00A56E4D" w:rsidRPr="00A56E4D" w:rsidRDefault="00A56E4D" w:rsidP="00A56E4D">
      <w:pPr>
        <w:numPr>
          <w:ilvl w:val="0"/>
          <w:numId w:val="2"/>
        </w:numPr>
        <w:rPr>
          <w:sz w:val="24"/>
          <w:szCs w:val="24"/>
        </w:rPr>
      </w:pPr>
      <w:r w:rsidRPr="00A56E4D">
        <w:rPr>
          <w:sz w:val="24"/>
          <w:szCs w:val="24"/>
        </w:rPr>
        <w:t>The liquidity ratios show a decreasing trend, indicating a decline in the company’s ability to cover its short-term obligations. This could signal a potential liquidity issue if the trend continues.</w:t>
      </w:r>
    </w:p>
    <w:p w14:paraId="2BB83D7F" w14:textId="399C4C5F" w:rsidR="00A56E4D" w:rsidRPr="00A56E4D" w:rsidRDefault="00A56E4D" w:rsidP="00A56E4D">
      <w:pPr>
        <w:rPr>
          <w:sz w:val="24"/>
          <w:szCs w:val="24"/>
        </w:rPr>
      </w:pPr>
    </w:p>
    <w:p w14:paraId="561BECEE" w14:textId="77777777" w:rsidR="00A56E4D" w:rsidRPr="00A56E4D" w:rsidRDefault="00A56E4D" w:rsidP="00A56E4D">
      <w:pPr>
        <w:rPr>
          <w:b/>
          <w:bCs/>
          <w:sz w:val="24"/>
          <w:szCs w:val="24"/>
        </w:rPr>
      </w:pPr>
      <w:r w:rsidRPr="00A56E4D">
        <w:rPr>
          <w:b/>
          <w:bCs/>
          <w:sz w:val="24"/>
          <w:szCs w:val="24"/>
        </w:rPr>
        <w:t>2. Profitability Analysis</w:t>
      </w:r>
    </w:p>
    <w:p w14:paraId="085D3E5B" w14:textId="77777777" w:rsidR="00A56E4D" w:rsidRPr="00A56E4D" w:rsidRDefault="00A56E4D" w:rsidP="00A56E4D">
      <w:pPr>
        <w:rPr>
          <w:sz w:val="24"/>
          <w:szCs w:val="24"/>
        </w:rPr>
      </w:pPr>
      <w:r w:rsidRPr="00A56E4D">
        <w:rPr>
          <w:b/>
          <w:bCs/>
          <w:sz w:val="24"/>
          <w:szCs w:val="24"/>
        </w:rPr>
        <w:t>Profitability Ratios:</w:t>
      </w:r>
    </w:p>
    <w:p w14:paraId="7C2DDF01" w14:textId="77777777" w:rsidR="00A56E4D" w:rsidRPr="00A56E4D" w:rsidRDefault="00A56E4D" w:rsidP="00A56E4D">
      <w:pPr>
        <w:numPr>
          <w:ilvl w:val="0"/>
          <w:numId w:val="4"/>
        </w:numPr>
        <w:rPr>
          <w:sz w:val="24"/>
          <w:szCs w:val="24"/>
        </w:rPr>
      </w:pPr>
      <w:r w:rsidRPr="00A56E4D">
        <w:rPr>
          <w:b/>
          <w:bCs/>
          <w:sz w:val="24"/>
          <w:szCs w:val="24"/>
        </w:rPr>
        <w:t>Gross Margin:</w:t>
      </w:r>
    </w:p>
    <w:p w14:paraId="06D1212D" w14:textId="77777777" w:rsidR="00A56E4D" w:rsidRPr="00A56E4D" w:rsidRDefault="00A56E4D" w:rsidP="00A56E4D">
      <w:pPr>
        <w:numPr>
          <w:ilvl w:val="1"/>
          <w:numId w:val="4"/>
        </w:numPr>
        <w:rPr>
          <w:sz w:val="24"/>
          <w:szCs w:val="24"/>
        </w:rPr>
      </w:pPr>
      <w:r w:rsidRPr="00A56E4D">
        <w:rPr>
          <w:sz w:val="24"/>
          <w:szCs w:val="24"/>
        </w:rPr>
        <w:t>2022: 43.30%</w:t>
      </w:r>
    </w:p>
    <w:p w14:paraId="1FF27FE9" w14:textId="77777777" w:rsidR="00A56E4D" w:rsidRPr="00A56E4D" w:rsidRDefault="00A56E4D" w:rsidP="00A56E4D">
      <w:pPr>
        <w:numPr>
          <w:ilvl w:val="1"/>
          <w:numId w:val="4"/>
        </w:numPr>
        <w:rPr>
          <w:sz w:val="24"/>
          <w:szCs w:val="24"/>
        </w:rPr>
      </w:pPr>
      <w:r w:rsidRPr="00A56E4D">
        <w:rPr>
          <w:sz w:val="24"/>
          <w:szCs w:val="24"/>
        </w:rPr>
        <w:t>2021: 41.80%</w:t>
      </w:r>
    </w:p>
    <w:p w14:paraId="3521C8D7" w14:textId="77777777" w:rsidR="00A56E4D" w:rsidRPr="00A56E4D" w:rsidRDefault="00A56E4D" w:rsidP="00A56E4D">
      <w:pPr>
        <w:numPr>
          <w:ilvl w:val="1"/>
          <w:numId w:val="4"/>
        </w:numPr>
        <w:rPr>
          <w:sz w:val="24"/>
          <w:szCs w:val="24"/>
        </w:rPr>
      </w:pPr>
      <w:r w:rsidRPr="00A56E4D">
        <w:rPr>
          <w:sz w:val="24"/>
          <w:szCs w:val="24"/>
        </w:rPr>
        <w:t>2020: 38.20%</w:t>
      </w:r>
    </w:p>
    <w:p w14:paraId="6C22A69C" w14:textId="77777777" w:rsidR="00A56E4D" w:rsidRPr="00A56E4D" w:rsidRDefault="00A56E4D" w:rsidP="00A56E4D">
      <w:pPr>
        <w:numPr>
          <w:ilvl w:val="0"/>
          <w:numId w:val="4"/>
        </w:numPr>
        <w:rPr>
          <w:sz w:val="24"/>
          <w:szCs w:val="24"/>
        </w:rPr>
      </w:pPr>
      <w:r w:rsidRPr="00A56E4D">
        <w:rPr>
          <w:b/>
          <w:bCs/>
          <w:sz w:val="24"/>
          <w:szCs w:val="24"/>
        </w:rPr>
        <w:t>EBITDA Margin:</w:t>
      </w:r>
    </w:p>
    <w:p w14:paraId="085EABF5" w14:textId="77777777" w:rsidR="00A56E4D" w:rsidRPr="00A56E4D" w:rsidRDefault="00A56E4D" w:rsidP="00A56E4D">
      <w:pPr>
        <w:numPr>
          <w:ilvl w:val="1"/>
          <w:numId w:val="4"/>
        </w:numPr>
        <w:rPr>
          <w:sz w:val="24"/>
          <w:szCs w:val="24"/>
        </w:rPr>
      </w:pPr>
      <w:r w:rsidRPr="00A56E4D">
        <w:rPr>
          <w:sz w:val="24"/>
          <w:szCs w:val="24"/>
        </w:rPr>
        <w:t>2022: 40.50%</w:t>
      </w:r>
    </w:p>
    <w:p w14:paraId="32F77E17" w14:textId="77777777" w:rsidR="00A56E4D" w:rsidRPr="00A56E4D" w:rsidRDefault="00A56E4D" w:rsidP="00A56E4D">
      <w:pPr>
        <w:numPr>
          <w:ilvl w:val="1"/>
          <w:numId w:val="4"/>
        </w:numPr>
        <w:rPr>
          <w:sz w:val="24"/>
          <w:szCs w:val="24"/>
        </w:rPr>
      </w:pPr>
      <w:r w:rsidRPr="00A56E4D">
        <w:rPr>
          <w:sz w:val="24"/>
          <w:szCs w:val="24"/>
        </w:rPr>
        <w:t>2021: 38.00%</w:t>
      </w:r>
    </w:p>
    <w:p w14:paraId="5BAD1903" w14:textId="77777777" w:rsidR="00A56E4D" w:rsidRPr="00A56E4D" w:rsidRDefault="00A56E4D" w:rsidP="00A56E4D">
      <w:pPr>
        <w:numPr>
          <w:ilvl w:val="1"/>
          <w:numId w:val="4"/>
        </w:numPr>
        <w:rPr>
          <w:sz w:val="24"/>
          <w:szCs w:val="24"/>
        </w:rPr>
      </w:pPr>
      <w:r w:rsidRPr="00A56E4D">
        <w:rPr>
          <w:sz w:val="24"/>
          <w:szCs w:val="24"/>
        </w:rPr>
        <w:t>2020: 35.30%</w:t>
      </w:r>
    </w:p>
    <w:p w14:paraId="1AA56E12" w14:textId="77777777" w:rsidR="00A56E4D" w:rsidRPr="00A56E4D" w:rsidRDefault="00A56E4D" w:rsidP="00A56E4D">
      <w:pPr>
        <w:numPr>
          <w:ilvl w:val="0"/>
          <w:numId w:val="4"/>
        </w:numPr>
        <w:rPr>
          <w:sz w:val="24"/>
          <w:szCs w:val="24"/>
        </w:rPr>
      </w:pPr>
      <w:r w:rsidRPr="00A56E4D">
        <w:rPr>
          <w:b/>
          <w:bCs/>
          <w:sz w:val="24"/>
          <w:szCs w:val="24"/>
        </w:rPr>
        <w:t>EBIT Margin:</w:t>
      </w:r>
    </w:p>
    <w:p w14:paraId="577C642E" w14:textId="77777777" w:rsidR="00A56E4D" w:rsidRPr="00A56E4D" w:rsidRDefault="00A56E4D" w:rsidP="00A56E4D">
      <w:pPr>
        <w:numPr>
          <w:ilvl w:val="1"/>
          <w:numId w:val="4"/>
        </w:numPr>
        <w:rPr>
          <w:sz w:val="24"/>
          <w:szCs w:val="24"/>
        </w:rPr>
      </w:pPr>
      <w:r w:rsidRPr="00A56E4D">
        <w:rPr>
          <w:sz w:val="24"/>
          <w:szCs w:val="24"/>
        </w:rPr>
        <w:t>2022: 30.30%</w:t>
      </w:r>
    </w:p>
    <w:p w14:paraId="5A1C2907" w14:textId="77777777" w:rsidR="00A56E4D" w:rsidRPr="00A56E4D" w:rsidRDefault="00A56E4D" w:rsidP="00A56E4D">
      <w:pPr>
        <w:numPr>
          <w:ilvl w:val="1"/>
          <w:numId w:val="4"/>
        </w:numPr>
        <w:rPr>
          <w:sz w:val="24"/>
          <w:szCs w:val="24"/>
        </w:rPr>
      </w:pPr>
      <w:r w:rsidRPr="00A56E4D">
        <w:rPr>
          <w:sz w:val="24"/>
          <w:szCs w:val="24"/>
        </w:rPr>
        <w:t>2021: 29.80%</w:t>
      </w:r>
    </w:p>
    <w:p w14:paraId="055ED61A" w14:textId="3760301C" w:rsidR="00A56E4D" w:rsidRPr="00A56E4D" w:rsidRDefault="00A56E4D" w:rsidP="00A56E4D">
      <w:pPr>
        <w:numPr>
          <w:ilvl w:val="1"/>
          <w:numId w:val="4"/>
        </w:numPr>
        <w:rPr>
          <w:sz w:val="24"/>
          <w:szCs w:val="24"/>
        </w:rPr>
      </w:pPr>
      <w:r w:rsidRPr="00A56E4D">
        <w:rPr>
          <w:sz w:val="24"/>
          <w:szCs w:val="24"/>
        </w:rPr>
        <w:t>2020: 24.10%</w:t>
      </w:r>
    </w:p>
    <w:p w14:paraId="22484DC8" w14:textId="69D1D752" w:rsidR="00A56E4D" w:rsidRPr="00A56E4D" w:rsidRDefault="00A56E4D" w:rsidP="00A56E4D">
      <w:pPr>
        <w:numPr>
          <w:ilvl w:val="0"/>
          <w:numId w:val="4"/>
        </w:numPr>
        <w:rPr>
          <w:sz w:val="24"/>
          <w:szCs w:val="24"/>
        </w:rPr>
      </w:pPr>
      <w:r w:rsidRPr="00A56E4D">
        <w:rPr>
          <w:b/>
          <w:bCs/>
          <w:sz w:val="24"/>
          <w:szCs w:val="24"/>
        </w:rPr>
        <w:t>Net Margin:</w:t>
      </w:r>
    </w:p>
    <w:p w14:paraId="4ADCBD2F" w14:textId="0DDE1BB9" w:rsidR="00A56E4D" w:rsidRPr="00A56E4D" w:rsidRDefault="00A56E4D" w:rsidP="00A56E4D">
      <w:pPr>
        <w:numPr>
          <w:ilvl w:val="1"/>
          <w:numId w:val="4"/>
        </w:numPr>
        <w:rPr>
          <w:sz w:val="24"/>
          <w:szCs w:val="24"/>
        </w:rPr>
      </w:pPr>
      <w:r w:rsidRPr="00A56E4D">
        <w:rPr>
          <w:sz w:val="24"/>
          <w:szCs w:val="24"/>
        </w:rPr>
        <w:t>2022: 25.30%</w:t>
      </w:r>
    </w:p>
    <w:p w14:paraId="11529183" w14:textId="5F7FC3FD" w:rsidR="00A56E4D" w:rsidRPr="00A56E4D" w:rsidRDefault="00A56E4D" w:rsidP="00A56E4D">
      <w:pPr>
        <w:numPr>
          <w:ilvl w:val="1"/>
          <w:numId w:val="4"/>
        </w:numPr>
        <w:rPr>
          <w:sz w:val="24"/>
          <w:szCs w:val="24"/>
        </w:rPr>
      </w:pPr>
      <w:r w:rsidRPr="00A56E4D">
        <w:rPr>
          <w:sz w:val="24"/>
          <w:szCs w:val="24"/>
        </w:rPr>
        <w:t>2021: 25.80%</w:t>
      </w:r>
    </w:p>
    <w:p w14:paraId="27A51579" w14:textId="438EB859" w:rsidR="00A56E4D" w:rsidRPr="00A56E4D" w:rsidRDefault="00564C87" w:rsidP="00A56E4D">
      <w:pPr>
        <w:numPr>
          <w:ilvl w:val="1"/>
          <w:numId w:val="4"/>
        </w:numPr>
        <w:rPr>
          <w:sz w:val="24"/>
          <w:szCs w:val="24"/>
        </w:rPr>
      </w:pPr>
      <w:r w:rsidRPr="00564C87">
        <w:rPr>
          <w:noProof/>
          <w:sz w:val="24"/>
          <w:szCs w:val="24"/>
        </w:rPr>
        <w:drawing>
          <wp:anchor distT="0" distB="0" distL="114300" distR="114300" simplePos="0" relativeHeight="251670016" behindDoc="0" locked="0" layoutInCell="1" allowOverlap="1" wp14:anchorId="782EC0A6" wp14:editId="27D4FD67">
            <wp:simplePos x="0" y="0"/>
            <wp:positionH relativeFrom="column">
              <wp:posOffset>951865</wp:posOffset>
            </wp:positionH>
            <wp:positionV relativeFrom="paragraph">
              <wp:posOffset>311785</wp:posOffset>
            </wp:positionV>
            <wp:extent cx="3819525" cy="2276475"/>
            <wp:effectExtent l="0" t="0" r="0" b="0"/>
            <wp:wrapTopAndBottom/>
            <wp:docPr id="16823478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9525" cy="2276475"/>
                    </a:xfrm>
                    <a:prstGeom prst="rect">
                      <a:avLst/>
                    </a:prstGeom>
                    <a:noFill/>
                  </pic:spPr>
                </pic:pic>
              </a:graphicData>
            </a:graphic>
            <wp14:sizeRelH relativeFrom="margin">
              <wp14:pctWidth>0</wp14:pctWidth>
            </wp14:sizeRelH>
            <wp14:sizeRelV relativeFrom="margin">
              <wp14:pctHeight>0</wp14:pctHeight>
            </wp14:sizeRelV>
          </wp:anchor>
        </w:drawing>
      </w:r>
      <w:r w:rsidR="00A56E4D" w:rsidRPr="00A56E4D">
        <w:rPr>
          <w:sz w:val="24"/>
          <w:szCs w:val="24"/>
        </w:rPr>
        <w:t>2020: 20.90%</w:t>
      </w:r>
    </w:p>
    <w:p w14:paraId="0335965B" w14:textId="3C58D840" w:rsidR="00A56E4D" w:rsidRPr="00A56E4D" w:rsidRDefault="00A56E4D" w:rsidP="00A56E4D">
      <w:pPr>
        <w:rPr>
          <w:sz w:val="24"/>
          <w:szCs w:val="24"/>
        </w:rPr>
      </w:pPr>
      <w:r w:rsidRPr="00A56E4D">
        <w:rPr>
          <w:b/>
          <w:bCs/>
          <w:sz w:val="24"/>
          <w:szCs w:val="24"/>
        </w:rPr>
        <w:lastRenderedPageBreak/>
        <w:t>Interpretation:</w:t>
      </w:r>
    </w:p>
    <w:p w14:paraId="39D5DAE7" w14:textId="4D673426" w:rsidR="00A56E4D" w:rsidRPr="00A56E4D" w:rsidRDefault="00A56E4D" w:rsidP="00A56E4D">
      <w:pPr>
        <w:numPr>
          <w:ilvl w:val="0"/>
          <w:numId w:val="5"/>
        </w:numPr>
        <w:rPr>
          <w:sz w:val="24"/>
          <w:szCs w:val="24"/>
        </w:rPr>
      </w:pPr>
      <w:r w:rsidRPr="00A56E4D">
        <w:rPr>
          <w:sz w:val="24"/>
          <w:szCs w:val="24"/>
        </w:rPr>
        <w:t>Profitability has improved consistently over the three years, with gross margin and EBITDA margin increasing. This indicates better cost management and an improved ability to convert sales into profits.</w:t>
      </w:r>
    </w:p>
    <w:p w14:paraId="3A1983CF" w14:textId="2A4661DC" w:rsidR="00A56E4D" w:rsidRPr="00A56E4D" w:rsidRDefault="00A56E4D" w:rsidP="00A56E4D">
      <w:pPr>
        <w:rPr>
          <w:sz w:val="24"/>
          <w:szCs w:val="24"/>
        </w:rPr>
      </w:pPr>
    </w:p>
    <w:p w14:paraId="7FE27057" w14:textId="77777777" w:rsidR="00A56E4D" w:rsidRPr="00A56E4D" w:rsidRDefault="00A56E4D" w:rsidP="00A56E4D">
      <w:pPr>
        <w:rPr>
          <w:b/>
          <w:bCs/>
          <w:sz w:val="24"/>
          <w:szCs w:val="24"/>
        </w:rPr>
      </w:pPr>
      <w:r w:rsidRPr="00A56E4D">
        <w:rPr>
          <w:b/>
          <w:bCs/>
          <w:sz w:val="24"/>
          <w:szCs w:val="24"/>
        </w:rPr>
        <w:t>3. Solvency/Debt Management</w:t>
      </w:r>
    </w:p>
    <w:p w14:paraId="2CFCB923" w14:textId="77777777" w:rsidR="00A56E4D" w:rsidRPr="00A56E4D" w:rsidRDefault="00A56E4D" w:rsidP="00A56E4D">
      <w:pPr>
        <w:rPr>
          <w:sz w:val="24"/>
          <w:szCs w:val="24"/>
        </w:rPr>
      </w:pPr>
      <w:r w:rsidRPr="00A56E4D">
        <w:rPr>
          <w:b/>
          <w:bCs/>
          <w:sz w:val="24"/>
          <w:szCs w:val="24"/>
        </w:rPr>
        <w:t>Solvency Ratios:</w:t>
      </w:r>
    </w:p>
    <w:p w14:paraId="76572D2F" w14:textId="77777777" w:rsidR="00A56E4D" w:rsidRPr="00A56E4D" w:rsidRDefault="00A56E4D" w:rsidP="00A56E4D">
      <w:pPr>
        <w:numPr>
          <w:ilvl w:val="0"/>
          <w:numId w:val="7"/>
        </w:numPr>
        <w:rPr>
          <w:sz w:val="24"/>
          <w:szCs w:val="24"/>
        </w:rPr>
      </w:pPr>
      <w:r w:rsidRPr="00A56E4D">
        <w:rPr>
          <w:b/>
          <w:bCs/>
          <w:sz w:val="24"/>
          <w:szCs w:val="24"/>
        </w:rPr>
        <w:t>Debt to Equity (D/E):</w:t>
      </w:r>
    </w:p>
    <w:p w14:paraId="096D4A21" w14:textId="77777777" w:rsidR="00A56E4D" w:rsidRPr="00A56E4D" w:rsidRDefault="00A56E4D" w:rsidP="00A56E4D">
      <w:pPr>
        <w:numPr>
          <w:ilvl w:val="1"/>
          <w:numId w:val="7"/>
        </w:numPr>
        <w:rPr>
          <w:sz w:val="24"/>
          <w:szCs w:val="24"/>
        </w:rPr>
      </w:pPr>
      <w:r w:rsidRPr="00A56E4D">
        <w:rPr>
          <w:sz w:val="24"/>
          <w:szCs w:val="24"/>
        </w:rPr>
        <w:t>2022: 5.95</w:t>
      </w:r>
    </w:p>
    <w:p w14:paraId="40C196C0" w14:textId="77777777" w:rsidR="00A56E4D" w:rsidRPr="00A56E4D" w:rsidRDefault="00A56E4D" w:rsidP="00A56E4D">
      <w:pPr>
        <w:numPr>
          <w:ilvl w:val="1"/>
          <w:numId w:val="7"/>
        </w:numPr>
        <w:rPr>
          <w:sz w:val="24"/>
          <w:szCs w:val="24"/>
        </w:rPr>
      </w:pPr>
      <w:r w:rsidRPr="00A56E4D">
        <w:rPr>
          <w:sz w:val="24"/>
          <w:szCs w:val="24"/>
        </w:rPr>
        <w:t>2021: 4.56</w:t>
      </w:r>
    </w:p>
    <w:p w14:paraId="5DC11785" w14:textId="77777777" w:rsidR="00A56E4D" w:rsidRPr="00A56E4D" w:rsidRDefault="00A56E4D" w:rsidP="00A56E4D">
      <w:pPr>
        <w:numPr>
          <w:ilvl w:val="1"/>
          <w:numId w:val="7"/>
        </w:numPr>
        <w:rPr>
          <w:sz w:val="24"/>
          <w:szCs w:val="24"/>
        </w:rPr>
      </w:pPr>
      <w:r w:rsidRPr="00A56E4D">
        <w:rPr>
          <w:sz w:val="24"/>
          <w:szCs w:val="24"/>
        </w:rPr>
        <w:t>2020: 4.03</w:t>
      </w:r>
    </w:p>
    <w:p w14:paraId="53B02600" w14:textId="77777777" w:rsidR="00A56E4D" w:rsidRPr="00A56E4D" w:rsidRDefault="00A56E4D" w:rsidP="00A56E4D">
      <w:pPr>
        <w:numPr>
          <w:ilvl w:val="0"/>
          <w:numId w:val="7"/>
        </w:numPr>
        <w:rPr>
          <w:sz w:val="24"/>
          <w:szCs w:val="24"/>
        </w:rPr>
      </w:pPr>
      <w:r w:rsidRPr="00A56E4D">
        <w:rPr>
          <w:b/>
          <w:bCs/>
          <w:sz w:val="24"/>
          <w:szCs w:val="24"/>
        </w:rPr>
        <w:t>Debt to Total Assets:</w:t>
      </w:r>
    </w:p>
    <w:p w14:paraId="27AEC24A" w14:textId="77777777" w:rsidR="00A56E4D" w:rsidRPr="00A56E4D" w:rsidRDefault="00A56E4D" w:rsidP="00A56E4D">
      <w:pPr>
        <w:numPr>
          <w:ilvl w:val="1"/>
          <w:numId w:val="7"/>
        </w:numPr>
        <w:rPr>
          <w:sz w:val="24"/>
          <w:szCs w:val="24"/>
        </w:rPr>
      </w:pPr>
      <w:r w:rsidRPr="00A56E4D">
        <w:rPr>
          <w:sz w:val="24"/>
          <w:szCs w:val="24"/>
        </w:rPr>
        <w:t>2022: 0.86</w:t>
      </w:r>
    </w:p>
    <w:p w14:paraId="7660671F" w14:textId="77777777" w:rsidR="00A56E4D" w:rsidRPr="00A56E4D" w:rsidRDefault="00A56E4D" w:rsidP="00A56E4D">
      <w:pPr>
        <w:numPr>
          <w:ilvl w:val="1"/>
          <w:numId w:val="7"/>
        </w:numPr>
        <w:rPr>
          <w:sz w:val="24"/>
          <w:szCs w:val="24"/>
        </w:rPr>
      </w:pPr>
      <w:r w:rsidRPr="00A56E4D">
        <w:rPr>
          <w:sz w:val="24"/>
          <w:szCs w:val="24"/>
        </w:rPr>
        <w:t>2021: 0.82</w:t>
      </w:r>
    </w:p>
    <w:p w14:paraId="6B611316" w14:textId="77777777" w:rsidR="00A56E4D" w:rsidRPr="00A56E4D" w:rsidRDefault="00A56E4D" w:rsidP="00A56E4D">
      <w:pPr>
        <w:numPr>
          <w:ilvl w:val="1"/>
          <w:numId w:val="7"/>
        </w:numPr>
        <w:rPr>
          <w:sz w:val="24"/>
          <w:szCs w:val="24"/>
        </w:rPr>
      </w:pPr>
      <w:r w:rsidRPr="00A56E4D">
        <w:rPr>
          <w:sz w:val="24"/>
          <w:szCs w:val="24"/>
        </w:rPr>
        <w:t>2020: 0.80</w:t>
      </w:r>
    </w:p>
    <w:p w14:paraId="06261288" w14:textId="39AAE61E" w:rsidR="00A56E4D" w:rsidRPr="00A56E4D" w:rsidRDefault="00A56E4D" w:rsidP="00A56E4D">
      <w:pPr>
        <w:numPr>
          <w:ilvl w:val="0"/>
          <w:numId w:val="7"/>
        </w:numPr>
        <w:rPr>
          <w:sz w:val="24"/>
          <w:szCs w:val="24"/>
        </w:rPr>
      </w:pPr>
      <w:r w:rsidRPr="00A56E4D">
        <w:rPr>
          <w:b/>
          <w:bCs/>
          <w:sz w:val="24"/>
          <w:szCs w:val="24"/>
        </w:rPr>
        <w:t>Times Interest Earned:</w:t>
      </w:r>
    </w:p>
    <w:p w14:paraId="7DA18F4B" w14:textId="067C84F3" w:rsidR="00A56E4D" w:rsidRPr="00A56E4D" w:rsidRDefault="00A56E4D" w:rsidP="00A56E4D">
      <w:pPr>
        <w:numPr>
          <w:ilvl w:val="1"/>
          <w:numId w:val="7"/>
        </w:numPr>
        <w:rPr>
          <w:sz w:val="24"/>
          <w:szCs w:val="24"/>
        </w:rPr>
      </w:pPr>
      <w:r w:rsidRPr="00A56E4D">
        <w:rPr>
          <w:sz w:val="24"/>
          <w:szCs w:val="24"/>
        </w:rPr>
        <w:t>2022: 20.91</w:t>
      </w:r>
    </w:p>
    <w:p w14:paraId="3A0330AD" w14:textId="4AE496C7" w:rsidR="00A56E4D" w:rsidRPr="00A56E4D" w:rsidRDefault="00A56E4D" w:rsidP="00A56E4D">
      <w:pPr>
        <w:numPr>
          <w:ilvl w:val="1"/>
          <w:numId w:val="7"/>
        </w:numPr>
        <w:rPr>
          <w:sz w:val="24"/>
          <w:szCs w:val="24"/>
        </w:rPr>
      </w:pPr>
      <w:r w:rsidRPr="00A56E4D">
        <w:rPr>
          <w:sz w:val="24"/>
          <w:szCs w:val="24"/>
        </w:rPr>
        <w:t>2021: 24.94</w:t>
      </w:r>
    </w:p>
    <w:p w14:paraId="276F1D36" w14:textId="4547834E" w:rsidR="00A56E4D" w:rsidRPr="00A56E4D" w:rsidRDefault="00A56E4D" w:rsidP="00A56E4D">
      <w:pPr>
        <w:numPr>
          <w:ilvl w:val="1"/>
          <w:numId w:val="7"/>
        </w:numPr>
        <w:rPr>
          <w:sz w:val="24"/>
          <w:szCs w:val="24"/>
        </w:rPr>
      </w:pPr>
      <w:r w:rsidRPr="00A56E4D">
        <w:rPr>
          <w:sz w:val="24"/>
          <w:szCs w:val="24"/>
        </w:rPr>
        <w:t>2020: 18.12</w:t>
      </w:r>
    </w:p>
    <w:p w14:paraId="6CC07B94" w14:textId="480E245B" w:rsidR="00A56E4D" w:rsidRPr="00A56E4D" w:rsidRDefault="00A56E4D" w:rsidP="00A56E4D">
      <w:pPr>
        <w:numPr>
          <w:ilvl w:val="0"/>
          <w:numId w:val="7"/>
        </w:numPr>
        <w:rPr>
          <w:sz w:val="24"/>
          <w:szCs w:val="24"/>
        </w:rPr>
      </w:pPr>
      <w:r w:rsidRPr="00A56E4D">
        <w:rPr>
          <w:b/>
          <w:bCs/>
          <w:sz w:val="24"/>
          <w:szCs w:val="24"/>
        </w:rPr>
        <w:t>Debt Coverage:</w:t>
      </w:r>
    </w:p>
    <w:p w14:paraId="2F51CA3D" w14:textId="3596458A" w:rsidR="00A56E4D" w:rsidRPr="00A56E4D" w:rsidRDefault="00A56E4D" w:rsidP="00A56E4D">
      <w:pPr>
        <w:numPr>
          <w:ilvl w:val="1"/>
          <w:numId w:val="7"/>
        </w:numPr>
        <w:rPr>
          <w:sz w:val="24"/>
          <w:szCs w:val="24"/>
        </w:rPr>
      </w:pPr>
      <w:r w:rsidRPr="00A56E4D">
        <w:rPr>
          <w:sz w:val="24"/>
          <w:szCs w:val="24"/>
        </w:rPr>
        <w:t>2022: 10.15</w:t>
      </w:r>
    </w:p>
    <w:p w14:paraId="6FC8482B" w14:textId="221D5695" w:rsidR="00A56E4D" w:rsidRPr="00A56E4D" w:rsidRDefault="00A56E4D" w:rsidP="00A56E4D">
      <w:pPr>
        <w:numPr>
          <w:ilvl w:val="1"/>
          <w:numId w:val="7"/>
        </w:numPr>
        <w:rPr>
          <w:sz w:val="24"/>
          <w:szCs w:val="24"/>
        </w:rPr>
      </w:pPr>
      <w:r w:rsidRPr="00A56E4D">
        <w:rPr>
          <w:sz w:val="24"/>
          <w:szCs w:val="24"/>
        </w:rPr>
        <w:t>2021: 13.11</w:t>
      </w:r>
    </w:p>
    <w:p w14:paraId="1DA42A0E" w14:textId="0ABC52BC" w:rsidR="00A56E4D" w:rsidRPr="00A56E4D" w:rsidRDefault="00A56E4D" w:rsidP="00A56E4D">
      <w:pPr>
        <w:numPr>
          <w:ilvl w:val="1"/>
          <w:numId w:val="7"/>
        </w:numPr>
        <w:rPr>
          <w:sz w:val="24"/>
          <w:szCs w:val="24"/>
        </w:rPr>
      </w:pPr>
      <w:r w:rsidRPr="00564C87">
        <w:rPr>
          <w:noProof/>
          <w:sz w:val="24"/>
          <w:szCs w:val="24"/>
        </w:rPr>
        <w:drawing>
          <wp:anchor distT="0" distB="0" distL="114300" distR="114300" simplePos="0" relativeHeight="251674112" behindDoc="0" locked="0" layoutInCell="1" allowOverlap="1" wp14:anchorId="72638874" wp14:editId="25A0ED01">
            <wp:simplePos x="0" y="0"/>
            <wp:positionH relativeFrom="column">
              <wp:posOffset>733425</wp:posOffset>
            </wp:positionH>
            <wp:positionV relativeFrom="paragraph">
              <wp:posOffset>389890</wp:posOffset>
            </wp:positionV>
            <wp:extent cx="4393565" cy="2620010"/>
            <wp:effectExtent l="0" t="0" r="0" b="0"/>
            <wp:wrapTopAndBottom/>
            <wp:docPr id="21176934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3565" cy="2620010"/>
                    </a:xfrm>
                    <a:prstGeom prst="rect">
                      <a:avLst/>
                    </a:prstGeom>
                    <a:noFill/>
                  </pic:spPr>
                </pic:pic>
              </a:graphicData>
            </a:graphic>
            <wp14:sizeRelH relativeFrom="margin">
              <wp14:pctWidth>0</wp14:pctWidth>
            </wp14:sizeRelH>
            <wp14:sizeRelV relativeFrom="margin">
              <wp14:pctHeight>0</wp14:pctHeight>
            </wp14:sizeRelV>
          </wp:anchor>
        </w:drawing>
      </w:r>
      <w:r w:rsidRPr="00A56E4D">
        <w:rPr>
          <w:sz w:val="24"/>
          <w:szCs w:val="24"/>
        </w:rPr>
        <w:t>2020: 8.77</w:t>
      </w:r>
    </w:p>
    <w:p w14:paraId="2D9063A5" w14:textId="024C96D2" w:rsidR="00A56E4D" w:rsidRPr="00A56E4D" w:rsidRDefault="00A56E4D" w:rsidP="00A56E4D">
      <w:pPr>
        <w:rPr>
          <w:sz w:val="24"/>
          <w:szCs w:val="24"/>
        </w:rPr>
      </w:pPr>
      <w:r w:rsidRPr="00A56E4D">
        <w:rPr>
          <w:b/>
          <w:bCs/>
          <w:sz w:val="24"/>
          <w:szCs w:val="24"/>
        </w:rPr>
        <w:lastRenderedPageBreak/>
        <w:t>Interpretation:</w:t>
      </w:r>
    </w:p>
    <w:p w14:paraId="174B7B33" w14:textId="27D3E5CB" w:rsidR="00A56E4D" w:rsidRPr="00A56E4D" w:rsidRDefault="00A56E4D" w:rsidP="00A56E4D">
      <w:pPr>
        <w:numPr>
          <w:ilvl w:val="0"/>
          <w:numId w:val="8"/>
        </w:numPr>
        <w:rPr>
          <w:sz w:val="24"/>
          <w:szCs w:val="24"/>
        </w:rPr>
      </w:pPr>
      <w:r w:rsidRPr="00A56E4D">
        <w:rPr>
          <w:sz w:val="24"/>
          <w:szCs w:val="24"/>
        </w:rPr>
        <w:t>The company’s solvency position indicates high leverage, with a rising debt-to-equity ratio. However, the ability to cover interest expenses remains strong, as indicated by the times interest earned ratio.</w:t>
      </w:r>
    </w:p>
    <w:p w14:paraId="63EA0754" w14:textId="4C442C33" w:rsidR="00A56E4D" w:rsidRPr="00A56E4D" w:rsidRDefault="00A56E4D" w:rsidP="00A56E4D">
      <w:pPr>
        <w:rPr>
          <w:sz w:val="24"/>
          <w:szCs w:val="24"/>
        </w:rPr>
      </w:pPr>
    </w:p>
    <w:p w14:paraId="2428173B" w14:textId="77777777" w:rsidR="00A56E4D" w:rsidRPr="00A56E4D" w:rsidRDefault="00A56E4D" w:rsidP="00A56E4D">
      <w:pPr>
        <w:rPr>
          <w:b/>
          <w:bCs/>
          <w:sz w:val="24"/>
          <w:szCs w:val="24"/>
        </w:rPr>
      </w:pPr>
      <w:r w:rsidRPr="00A56E4D">
        <w:rPr>
          <w:b/>
          <w:bCs/>
          <w:sz w:val="24"/>
          <w:szCs w:val="24"/>
        </w:rPr>
        <w:t>4. Asset Utilization</w:t>
      </w:r>
    </w:p>
    <w:p w14:paraId="310FF39F" w14:textId="77777777" w:rsidR="00A56E4D" w:rsidRPr="00A56E4D" w:rsidRDefault="00A56E4D" w:rsidP="00A56E4D">
      <w:pPr>
        <w:rPr>
          <w:sz w:val="24"/>
          <w:szCs w:val="24"/>
        </w:rPr>
      </w:pPr>
      <w:r w:rsidRPr="00A56E4D">
        <w:rPr>
          <w:b/>
          <w:bCs/>
          <w:sz w:val="24"/>
          <w:szCs w:val="24"/>
        </w:rPr>
        <w:t>Asset Utilization Ratios:</w:t>
      </w:r>
    </w:p>
    <w:p w14:paraId="4C01F5A6" w14:textId="77777777" w:rsidR="00A56E4D" w:rsidRPr="00A56E4D" w:rsidRDefault="00A56E4D" w:rsidP="00A56E4D">
      <w:pPr>
        <w:numPr>
          <w:ilvl w:val="0"/>
          <w:numId w:val="10"/>
        </w:numPr>
        <w:rPr>
          <w:sz w:val="24"/>
          <w:szCs w:val="24"/>
        </w:rPr>
      </w:pPr>
      <w:r w:rsidRPr="00A56E4D">
        <w:rPr>
          <w:b/>
          <w:bCs/>
          <w:sz w:val="24"/>
          <w:szCs w:val="24"/>
        </w:rPr>
        <w:t>Total Asset Turnover:</w:t>
      </w:r>
    </w:p>
    <w:p w14:paraId="0239C7D0" w14:textId="77777777" w:rsidR="00A56E4D" w:rsidRPr="00A56E4D" w:rsidRDefault="00A56E4D" w:rsidP="00A56E4D">
      <w:pPr>
        <w:numPr>
          <w:ilvl w:val="1"/>
          <w:numId w:val="10"/>
        </w:numPr>
        <w:rPr>
          <w:sz w:val="24"/>
          <w:szCs w:val="24"/>
        </w:rPr>
      </w:pPr>
      <w:r w:rsidRPr="00A56E4D">
        <w:rPr>
          <w:sz w:val="24"/>
          <w:szCs w:val="24"/>
        </w:rPr>
        <w:t>2022: 1.12</w:t>
      </w:r>
    </w:p>
    <w:p w14:paraId="7DB31641" w14:textId="77777777" w:rsidR="00A56E4D" w:rsidRPr="00A56E4D" w:rsidRDefault="00A56E4D" w:rsidP="00A56E4D">
      <w:pPr>
        <w:numPr>
          <w:ilvl w:val="1"/>
          <w:numId w:val="10"/>
        </w:numPr>
        <w:rPr>
          <w:sz w:val="24"/>
          <w:szCs w:val="24"/>
        </w:rPr>
      </w:pPr>
      <w:r w:rsidRPr="00A56E4D">
        <w:rPr>
          <w:sz w:val="24"/>
          <w:szCs w:val="24"/>
        </w:rPr>
        <w:t>2021: 1.04</w:t>
      </w:r>
    </w:p>
    <w:p w14:paraId="5A69B573" w14:textId="77777777" w:rsidR="00A56E4D" w:rsidRPr="00A56E4D" w:rsidRDefault="00A56E4D" w:rsidP="00A56E4D">
      <w:pPr>
        <w:numPr>
          <w:ilvl w:val="1"/>
          <w:numId w:val="10"/>
        </w:numPr>
        <w:rPr>
          <w:sz w:val="24"/>
          <w:szCs w:val="24"/>
        </w:rPr>
      </w:pPr>
      <w:r w:rsidRPr="00A56E4D">
        <w:rPr>
          <w:sz w:val="24"/>
          <w:szCs w:val="24"/>
        </w:rPr>
        <w:t>2020: 0.85</w:t>
      </w:r>
    </w:p>
    <w:p w14:paraId="2462D4AC" w14:textId="77777777" w:rsidR="00A56E4D" w:rsidRPr="00A56E4D" w:rsidRDefault="00A56E4D" w:rsidP="00A56E4D">
      <w:pPr>
        <w:numPr>
          <w:ilvl w:val="0"/>
          <w:numId w:val="10"/>
        </w:numPr>
        <w:rPr>
          <w:sz w:val="24"/>
          <w:szCs w:val="24"/>
        </w:rPr>
      </w:pPr>
      <w:r w:rsidRPr="00A56E4D">
        <w:rPr>
          <w:b/>
          <w:bCs/>
          <w:sz w:val="24"/>
          <w:szCs w:val="24"/>
        </w:rPr>
        <w:t>Fixed Asset Turnover:</w:t>
      </w:r>
    </w:p>
    <w:p w14:paraId="7E85806E" w14:textId="77777777" w:rsidR="00A56E4D" w:rsidRPr="00A56E4D" w:rsidRDefault="00A56E4D" w:rsidP="00A56E4D">
      <w:pPr>
        <w:numPr>
          <w:ilvl w:val="1"/>
          <w:numId w:val="10"/>
        </w:numPr>
        <w:rPr>
          <w:sz w:val="24"/>
          <w:szCs w:val="24"/>
        </w:rPr>
      </w:pPr>
      <w:r w:rsidRPr="00A56E4D">
        <w:rPr>
          <w:sz w:val="24"/>
          <w:szCs w:val="24"/>
        </w:rPr>
        <w:t>2022: 2.50</w:t>
      </w:r>
    </w:p>
    <w:p w14:paraId="629CF3C5" w14:textId="77777777" w:rsidR="00A56E4D" w:rsidRPr="00A56E4D" w:rsidRDefault="00A56E4D" w:rsidP="00A56E4D">
      <w:pPr>
        <w:numPr>
          <w:ilvl w:val="1"/>
          <w:numId w:val="10"/>
        </w:numPr>
        <w:rPr>
          <w:sz w:val="24"/>
          <w:szCs w:val="24"/>
        </w:rPr>
      </w:pPr>
      <w:r w:rsidRPr="00A56E4D">
        <w:rPr>
          <w:sz w:val="24"/>
          <w:szCs w:val="24"/>
        </w:rPr>
        <w:t>2021: 2.75</w:t>
      </w:r>
    </w:p>
    <w:p w14:paraId="3A40B77D" w14:textId="77777777" w:rsidR="00A56E4D" w:rsidRPr="00A56E4D" w:rsidRDefault="00A56E4D" w:rsidP="00A56E4D">
      <w:pPr>
        <w:numPr>
          <w:ilvl w:val="1"/>
          <w:numId w:val="10"/>
        </w:numPr>
        <w:rPr>
          <w:sz w:val="24"/>
          <w:szCs w:val="24"/>
        </w:rPr>
      </w:pPr>
      <w:r w:rsidRPr="00A56E4D">
        <w:rPr>
          <w:sz w:val="24"/>
          <w:szCs w:val="24"/>
        </w:rPr>
        <w:t>2020: 2.16</w:t>
      </w:r>
    </w:p>
    <w:p w14:paraId="5FCC17F7" w14:textId="77777777" w:rsidR="00A56E4D" w:rsidRPr="00A56E4D" w:rsidRDefault="00A56E4D" w:rsidP="00A56E4D">
      <w:pPr>
        <w:numPr>
          <w:ilvl w:val="0"/>
          <w:numId w:val="10"/>
        </w:numPr>
        <w:rPr>
          <w:sz w:val="24"/>
          <w:szCs w:val="24"/>
        </w:rPr>
      </w:pPr>
      <w:r w:rsidRPr="00A56E4D">
        <w:rPr>
          <w:b/>
          <w:bCs/>
          <w:sz w:val="24"/>
          <w:szCs w:val="24"/>
        </w:rPr>
        <w:t>Inventory Turnover:</w:t>
      </w:r>
    </w:p>
    <w:p w14:paraId="33C04B9A" w14:textId="428307D6" w:rsidR="00A56E4D" w:rsidRPr="00A56E4D" w:rsidRDefault="00A56E4D" w:rsidP="00A56E4D">
      <w:pPr>
        <w:numPr>
          <w:ilvl w:val="1"/>
          <w:numId w:val="10"/>
        </w:numPr>
        <w:rPr>
          <w:sz w:val="24"/>
          <w:szCs w:val="24"/>
        </w:rPr>
      </w:pPr>
      <w:r w:rsidRPr="00A56E4D">
        <w:rPr>
          <w:sz w:val="24"/>
          <w:szCs w:val="24"/>
        </w:rPr>
        <w:t>2022: 48.43</w:t>
      </w:r>
    </w:p>
    <w:p w14:paraId="732129DC" w14:textId="6F4442A9" w:rsidR="00A56E4D" w:rsidRPr="00A56E4D" w:rsidRDefault="00A56E4D" w:rsidP="00A56E4D">
      <w:pPr>
        <w:numPr>
          <w:ilvl w:val="1"/>
          <w:numId w:val="10"/>
        </w:numPr>
        <w:rPr>
          <w:sz w:val="24"/>
          <w:szCs w:val="24"/>
        </w:rPr>
      </w:pPr>
      <w:r w:rsidRPr="00A56E4D">
        <w:rPr>
          <w:sz w:val="24"/>
          <w:szCs w:val="24"/>
        </w:rPr>
        <w:t>2021: 47.28</w:t>
      </w:r>
    </w:p>
    <w:p w14:paraId="0E77ECF1" w14:textId="28BE3805" w:rsidR="00564C87" w:rsidRPr="00A56E4D" w:rsidRDefault="00564C87" w:rsidP="00564C87">
      <w:pPr>
        <w:numPr>
          <w:ilvl w:val="1"/>
          <w:numId w:val="10"/>
        </w:numPr>
        <w:rPr>
          <w:sz w:val="24"/>
          <w:szCs w:val="24"/>
        </w:rPr>
      </w:pPr>
      <w:r w:rsidRPr="00564C87">
        <w:rPr>
          <w:sz w:val="24"/>
          <w:szCs w:val="24"/>
        </w:rPr>
        <w:drawing>
          <wp:anchor distT="0" distB="0" distL="114300" distR="114300" simplePos="0" relativeHeight="251677184" behindDoc="0" locked="0" layoutInCell="1" allowOverlap="1" wp14:anchorId="3D1654FA" wp14:editId="3052AAD2">
            <wp:simplePos x="0" y="0"/>
            <wp:positionH relativeFrom="column">
              <wp:posOffset>-38100</wp:posOffset>
            </wp:positionH>
            <wp:positionV relativeFrom="paragraph">
              <wp:posOffset>542290</wp:posOffset>
            </wp:positionV>
            <wp:extent cx="5775325" cy="2876550"/>
            <wp:effectExtent l="0" t="0" r="0" b="0"/>
            <wp:wrapSquare wrapText="bothSides"/>
            <wp:docPr id="195078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787421" name=""/>
                    <pic:cNvPicPr/>
                  </pic:nvPicPr>
                  <pic:blipFill>
                    <a:blip r:embed="rId8">
                      <a:extLst>
                        <a:ext uri="{28A0092B-C50C-407E-A947-70E740481C1C}">
                          <a14:useLocalDpi xmlns:a14="http://schemas.microsoft.com/office/drawing/2010/main" val="0"/>
                        </a:ext>
                      </a:extLst>
                    </a:blip>
                    <a:stretch>
                      <a:fillRect/>
                    </a:stretch>
                  </pic:blipFill>
                  <pic:spPr>
                    <a:xfrm>
                      <a:off x="0" y="0"/>
                      <a:ext cx="5775325" cy="2876550"/>
                    </a:xfrm>
                    <a:prstGeom prst="rect">
                      <a:avLst/>
                    </a:prstGeom>
                  </pic:spPr>
                </pic:pic>
              </a:graphicData>
            </a:graphic>
            <wp14:sizeRelH relativeFrom="margin">
              <wp14:pctWidth>0</wp14:pctWidth>
            </wp14:sizeRelH>
            <wp14:sizeRelV relativeFrom="margin">
              <wp14:pctHeight>0</wp14:pctHeight>
            </wp14:sizeRelV>
          </wp:anchor>
        </w:drawing>
      </w:r>
      <w:r w:rsidR="00A56E4D" w:rsidRPr="00A56E4D">
        <w:rPr>
          <w:sz w:val="24"/>
          <w:szCs w:val="24"/>
        </w:rPr>
        <w:t>2020: 39.00</w:t>
      </w:r>
    </w:p>
    <w:p w14:paraId="432DFA08" w14:textId="13072A62" w:rsidR="00A56E4D" w:rsidRPr="00A56E4D" w:rsidRDefault="00A56E4D" w:rsidP="00A56E4D">
      <w:pPr>
        <w:rPr>
          <w:sz w:val="24"/>
          <w:szCs w:val="24"/>
        </w:rPr>
      </w:pPr>
      <w:r w:rsidRPr="00A56E4D">
        <w:rPr>
          <w:b/>
          <w:bCs/>
          <w:sz w:val="24"/>
          <w:szCs w:val="24"/>
        </w:rPr>
        <w:lastRenderedPageBreak/>
        <w:t>Interpretation:</w:t>
      </w:r>
    </w:p>
    <w:p w14:paraId="55DDCB7D" w14:textId="2F9DC510" w:rsidR="00A56E4D" w:rsidRPr="00A56E4D" w:rsidRDefault="00A56E4D" w:rsidP="00A56E4D">
      <w:pPr>
        <w:numPr>
          <w:ilvl w:val="0"/>
          <w:numId w:val="11"/>
        </w:numPr>
        <w:rPr>
          <w:sz w:val="24"/>
          <w:szCs w:val="24"/>
        </w:rPr>
      </w:pPr>
      <w:r w:rsidRPr="00A56E4D">
        <w:rPr>
          <w:sz w:val="24"/>
          <w:szCs w:val="24"/>
        </w:rPr>
        <w:t>The increasing trend in total asset turnover indicates improved efficiency in using assets to generate sales. Fixed asset turnover has remained relatively stable, while inventory turnover shows strong efficiency in managing stock.</w:t>
      </w:r>
    </w:p>
    <w:p w14:paraId="15584939" w14:textId="7DCA71CA" w:rsidR="00A56E4D" w:rsidRPr="00A56E4D" w:rsidRDefault="00A56E4D" w:rsidP="00A56E4D">
      <w:pPr>
        <w:rPr>
          <w:sz w:val="24"/>
          <w:szCs w:val="24"/>
        </w:rPr>
      </w:pPr>
    </w:p>
    <w:p w14:paraId="76FDCBCC" w14:textId="77777777" w:rsidR="00A56E4D" w:rsidRPr="00A56E4D" w:rsidRDefault="00A56E4D" w:rsidP="00A56E4D">
      <w:pPr>
        <w:rPr>
          <w:b/>
          <w:bCs/>
          <w:sz w:val="24"/>
          <w:szCs w:val="24"/>
        </w:rPr>
      </w:pPr>
      <w:r w:rsidRPr="00A56E4D">
        <w:rPr>
          <w:b/>
          <w:bCs/>
          <w:sz w:val="24"/>
          <w:szCs w:val="24"/>
        </w:rPr>
        <w:t>5. Investor/Market Ratios</w:t>
      </w:r>
    </w:p>
    <w:p w14:paraId="018044E1" w14:textId="77777777" w:rsidR="00A56E4D" w:rsidRPr="00A56E4D" w:rsidRDefault="00A56E4D" w:rsidP="00A56E4D">
      <w:pPr>
        <w:rPr>
          <w:sz w:val="24"/>
          <w:szCs w:val="24"/>
        </w:rPr>
      </w:pPr>
      <w:r w:rsidRPr="00A56E4D">
        <w:rPr>
          <w:b/>
          <w:bCs/>
          <w:sz w:val="24"/>
          <w:szCs w:val="24"/>
        </w:rPr>
        <w:t>Market Ratios:</w:t>
      </w:r>
    </w:p>
    <w:p w14:paraId="30DF1147" w14:textId="77777777" w:rsidR="00A56E4D" w:rsidRPr="00A56E4D" w:rsidRDefault="00A56E4D" w:rsidP="00A56E4D">
      <w:pPr>
        <w:numPr>
          <w:ilvl w:val="0"/>
          <w:numId w:val="13"/>
        </w:numPr>
        <w:rPr>
          <w:sz w:val="24"/>
          <w:szCs w:val="24"/>
        </w:rPr>
      </w:pPr>
      <w:r w:rsidRPr="00A56E4D">
        <w:rPr>
          <w:b/>
          <w:bCs/>
          <w:sz w:val="24"/>
          <w:szCs w:val="24"/>
        </w:rPr>
        <w:t>Price to Equity (P/E):</w:t>
      </w:r>
    </w:p>
    <w:p w14:paraId="78A6AAB4" w14:textId="77777777" w:rsidR="00A56E4D" w:rsidRPr="00A56E4D" w:rsidRDefault="00A56E4D" w:rsidP="00A56E4D">
      <w:pPr>
        <w:numPr>
          <w:ilvl w:val="1"/>
          <w:numId w:val="13"/>
        </w:numPr>
        <w:rPr>
          <w:sz w:val="24"/>
          <w:szCs w:val="24"/>
        </w:rPr>
      </w:pPr>
      <w:r w:rsidRPr="00A56E4D">
        <w:rPr>
          <w:sz w:val="24"/>
          <w:szCs w:val="24"/>
        </w:rPr>
        <w:t>2022: 37.26</w:t>
      </w:r>
    </w:p>
    <w:p w14:paraId="2CEFC5E6" w14:textId="77777777" w:rsidR="00A56E4D" w:rsidRPr="00A56E4D" w:rsidRDefault="00A56E4D" w:rsidP="00A56E4D">
      <w:pPr>
        <w:numPr>
          <w:ilvl w:val="1"/>
          <w:numId w:val="13"/>
        </w:numPr>
        <w:rPr>
          <w:sz w:val="24"/>
          <w:szCs w:val="24"/>
        </w:rPr>
      </w:pPr>
      <w:r w:rsidRPr="00A56E4D">
        <w:rPr>
          <w:sz w:val="24"/>
          <w:szCs w:val="24"/>
        </w:rPr>
        <w:t>2021: 40.42</w:t>
      </w:r>
    </w:p>
    <w:p w14:paraId="0587C639" w14:textId="77777777" w:rsidR="00A56E4D" w:rsidRPr="00A56E4D" w:rsidRDefault="00A56E4D" w:rsidP="00A56E4D">
      <w:pPr>
        <w:numPr>
          <w:ilvl w:val="1"/>
          <w:numId w:val="13"/>
        </w:numPr>
        <w:rPr>
          <w:sz w:val="24"/>
          <w:szCs w:val="24"/>
        </w:rPr>
      </w:pPr>
      <w:r w:rsidRPr="00A56E4D">
        <w:rPr>
          <w:sz w:val="24"/>
          <w:szCs w:val="24"/>
        </w:rPr>
        <w:t>2020: 69.11</w:t>
      </w:r>
    </w:p>
    <w:p w14:paraId="44CC3EFD" w14:textId="77777777" w:rsidR="00A56E4D" w:rsidRPr="00A56E4D" w:rsidRDefault="00A56E4D" w:rsidP="00A56E4D">
      <w:pPr>
        <w:numPr>
          <w:ilvl w:val="0"/>
          <w:numId w:val="13"/>
        </w:numPr>
        <w:rPr>
          <w:sz w:val="24"/>
          <w:szCs w:val="24"/>
        </w:rPr>
      </w:pPr>
      <w:r w:rsidRPr="00A56E4D">
        <w:rPr>
          <w:b/>
          <w:bCs/>
          <w:sz w:val="24"/>
          <w:szCs w:val="24"/>
        </w:rPr>
        <w:t>Earnings per Share (EPS):</w:t>
      </w:r>
    </w:p>
    <w:p w14:paraId="6A995848" w14:textId="77777777" w:rsidR="00A56E4D" w:rsidRPr="00A56E4D" w:rsidRDefault="00A56E4D" w:rsidP="00A56E4D">
      <w:pPr>
        <w:numPr>
          <w:ilvl w:val="1"/>
          <w:numId w:val="13"/>
        </w:numPr>
        <w:rPr>
          <w:sz w:val="24"/>
          <w:szCs w:val="24"/>
        </w:rPr>
      </w:pPr>
      <w:r w:rsidRPr="00A56E4D">
        <w:rPr>
          <w:sz w:val="24"/>
          <w:szCs w:val="24"/>
        </w:rPr>
        <w:t>2022: $6.15</w:t>
      </w:r>
    </w:p>
    <w:p w14:paraId="17DCC356" w14:textId="77777777" w:rsidR="00A56E4D" w:rsidRPr="00A56E4D" w:rsidRDefault="00A56E4D" w:rsidP="00A56E4D">
      <w:pPr>
        <w:numPr>
          <w:ilvl w:val="1"/>
          <w:numId w:val="13"/>
        </w:numPr>
        <w:rPr>
          <w:sz w:val="24"/>
          <w:szCs w:val="24"/>
        </w:rPr>
      </w:pPr>
      <w:r w:rsidRPr="00A56E4D">
        <w:rPr>
          <w:sz w:val="24"/>
          <w:szCs w:val="24"/>
        </w:rPr>
        <w:t>2021: $5.67</w:t>
      </w:r>
    </w:p>
    <w:p w14:paraId="0B3E736B" w14:textId="77777777" w:rsidR="00A56E4D" w:rsidRPr="00A56E4D" w:rsidRDefault="00A56E4D" w:rsidP="00A56E4D">
      <w:pPr>
        <w:numPr>
          <w:ilvl w:val="1"/>
          <w:numId w:val="13"/>
        </w:numPr>
        <w:rPr>
          <w:sz w:val="24"/>
          <w:szCs w:val="24"/>
        </w:rPr>
      </w:pPr>
      <w:r w:rsidRPr="00A56E4D">
        <w:rPr>
          <w:sz w:val="24"/>
          <w:szCs w:val="24"/>
        </w:rPr>
        <w:t>2020: $3.31</w:t>
      </w:r>
    </w:p>
    <w:p w14:paraId="75DE73AF" w14:textId="77777777" w:rsidR="00A56E4D" w:rsidRPr="00A56E4D" w:rsidRDefault="00A56E4D" w:rsidP="00A56E4D">
      <w:pPr>
        <w:numPr>
          <w:ilvl w:val="0"/>
          <w:numId w:val="13"/>
        </w:numPr>
        <w:rPr>
          <w:sz w:val="24"/>
          <w:szCs w:val="24"/>
        </w:rPr>
      </w:pPr>
      <w:r w:rsidRPr="00A56E4D">
        <w:rPr>
          <w:b/>
          <w:bCs/>
          <w:sz w:val="24"/>
          <w:szCs w:val="24"/>
        </w:rPr>
        <w:t>Dividend Payout Ratio:</w:t>
      </w:r>
    </w:p>
    <w:p w14:paraId="7208FA08" w14:textId="77777777" w:rsidR="00A56E4D" w:rsidRPr="00A56E4D" w:rsidRDefault="00A56E4D" w:rsidP="00A56E4D">
      <w:pPr>
        <w:numPr>
          <w:ilvl w:val="1"/>
          <w:numId w:val="13"/>
        </w:numPr>
        <w:rPr>
          <w:sz w:val="24"/>
          <w:szCs w:val="24"/>
        </w:rPr>
      </w:pPr>
      <w:r w:rsidRPr="00A56E4D">
        <w:rPr>
          <w:sz w:val="24"/>
          <w:szCs w:val="24"/>
        </w:rPr>
        <w:t>2022: 14.90%</w:t>
      </w:r>
    </w:p>
    <w:p w14:paraId="5D6CEFAD" w14:textId="1932083A" w:rsidR="00A56E4D" w:rsidRPr="00A56E4D" w:rsidRDefault="00A56E4D" w:rsidP="00A56E4D">
      <w:pPr>
        <w:numPr>
          <w:ilvl w:val="1"/>
          <w:numId w:val="13"/>
        </w:numPr>
        <w:rPr>
          <w:sz w:val="24"/>
          <w:szCs w:val="24"/>
        </w:rPr>
      </w:pPr>
      <w:r w:rsidRPr="00A56E4D">
        <w:rPr>
          <w:sz w:val="24"/>
          <w:szCs w:val="24"/>
        </w:rPr>
        <w:t>2021: 15.30%</w:t>
      </w:r>
    </w:p>
    <w:p w14:paraId="57B869D0" w14:textId="49903667" w:rsidR="00564C87" w:rsidRDefault="00A56E4D" w:rsidP="00A56E4D">
      <w:pPr>
        <w:numPr>
          <w:ilvl w:val="1"/>
          <w:numId w:val="13"/>
        </w:numPr>
        <w:rPr>
          <w:sz w:val="24"/>
          <w:szCs w:val="24"/>
        </w:rPr>
      </w:pPr>
      <w:r w:rsidRPr="00A56E4D">
        <w:rPr>
          <w:sz w:val="24"/>
          <w:szCs w:val="24"/>
        </w:rPr>
        <w:t>2020: 24.50</w:t>
      </w:r>
    </w:p>
    <w:p w14:paraId="44AA6246" w14:textId="2194C4A0" w:rsidR="00564C87" w:rsidRDefault="00564C87" w:rsidP="00564C87">
      <w:pPr>
        <w:ind w:left="720"/>
        <w:rPr>
          <w:sz w:val="24"/>
          <w:szCs w:val="24"/>
        </w:rPr>
      </w:pPr>
      <w:r w:rsidRPr="00564C87">
        <w:rPr>
          <w:sz w:val="24"/>
          <w:szCs w:val="24"/>
        </w:rPr>
        <w:drawing>
          <wp:anchor distT="0" distB="0" distL="114300" distR="114300" simplePos="0" relativeHeight="251682304" behindDoc="0" locked="0" layoutInCell="1" allowOverlap="1" wp14:anchorId="2C8428D7" wp14:editId="1AA5F5A4">
            <wp:simplePos x="0" y="0"/>
            <wp:positionH relativeFrom="column">
              <wp:posOffset>0</wp:posOffset>
            </wp:positionH>
            <wp:positionV relativeFrom="paragraph">
              <wp:posOffset>505460</wp:posOffset>
            </wp:positionV>
            <wp:extent cx="5731510" cy="2699385"/>
            <wp:effectExtent l="0" t="0" r="0" b="0"/>
            <wp:wrapSquare wrapText="bothSides"/>
            <wp:docPr id="1727789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789309"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2699385"/>
                    </a:xfrm>
                    <a:prstGeom prst="rect">
                      <a:avLst/>
                    </a:prstGeom>
                  </pic:spPr>
                </pic:pic>
              </a:graphicData>
            </a:graphic>
          </wp:anchor>
        </w:drawing>
      </w:r>
    </w:p>
    <w:p w14:paraId="3A3B25A5" w14:textId="32259EE6" w:rsidR="00564C87" w:rsidRDefault="00564C87" w:rsidP="00564C87">
      <w:pPr>
        <w:ind w:left="720"/>
        <w:rPr>
          <w:sz w:val="24"/>
          <w:szCs w:val="24"/>
        </w:rPr>
      </w:pPr>
    </w:p>
    <w:p w14:paraId="0A8C5103" w14:textId="426C4B16" w:rsidR="00564C87" w:rsidRPr="00564C87" w:rsidRDefault="00564C87" w:rsidP="00564C87">
      <w:pPr>
        <w:ind w:left="720"/>
        <w:rPr>
          <w:sz w:val="24"/>
          <w:szCs w:val="24"/>
        </w:rPr>
      </w:pPr>
    </w:p>
    <w:p w14:paraId="566FCF00" w14:textId="1E7FA2C9" w:rsidR="00A56E4D" w:rsidRPr="00A56E4D" w:rsidRDefault="00A56E4D" w:rsidP="00A56E4D">
      <w:pPr>
        <w:rPr>
          <w:sz w:val="24"/>
          <w:szCs w:val="24"/>
        </w:rPr>
      </w:pPr>
      <w:r w:rsidRPr="00A56E4D">
        <w:rPr>
          <w:b/>
          <w:bCs/>
          <w:sz w:val="24"/>
          <w:szCs w:val="24"/>
        </w:rPr>
        <w:t>Interpretation:</w:t>
      </w:r>
    </w:p>
    <w:p w14:paraId="1A65050D" w14:textId="06735950" w:rsidR="00A56E4D" w:rsidRPr="00A56E4D" w:rsidRDefault="00A56E4D" w:rsidP="00A56E4D">
      <w:pPr>
        <w:numPr>
          <w:ilvl w:val="0"/>
          <w:numId w:val="14"/>
        </w:numPr>
        <w:rPr>
          <w:sz w:val="24"/>
          <w:szCs w:val="24"/>
        </w:rPr>
      </w:pPr>
      <w:r w:rsidRPr="00A56E4D">
        <w:rPr>
          <w:sz w:val="24"/>
          <w:szCs w:val="24"/>
        </w:rPr>
        <w:t>The P/E ratio shows a decrease, indicating a relatively lower valuation compared to previous years. The EPS has consistently improved, reflecting strong profitability. The dividend payout ratio indicates a stable approach to returning profits to shareholders.</w:t>
      </w:r>
    </w:p>
    <w:p w14:paraId="1E62DEB7" w14:textId="13B47F33" w:rsidR="00A56E4D" w:rsidRPr="00A56E4D" w:rsidRDefault="00A56E4D" w:rsidP="00A56E4D">
      <w:pPr>
        <w:rPr>
          <w:sz w:val="24"/>
          <w:szCs w:val="24"/>
        </w:rPr>
      </w:pPr>
    </w:p>
    <w:p w14:paraId="5206CCD9" w14:textId="3B404AFD" w:rsidR="00A56E4D" w:rsidRPr="00A56E4D" w:rsidRDefault="00A56E4D" w:rsidP="00A56E4D">
      <w:pPr>
        <w:rPr>
          <w:b/>
          <w:bCs/>
          <w:sz w:val="24"/>
          <w:szCs w:val="24"/>
        </w:rPr>
      </w:pPr>
      <w:r w:rsidRPr="00A56E4D">
        <w:rPr>
          <w:b/>
          <w:bCs/>
          <w:sz w:val="24"/>
          <w:szCs w:val="24"/>
        </w:rPr>
        <w:t>6. Additional Financial Metrics</w:t>
      </w:r>
    </w:p>
    <w:p w14:paraId="69ED8DC7" w14:textId="4A5139B8" w:rsidR="00A56E4D" w:rsidRPr="00A56E4D" w:rsidRDefault="00A56E4D" w:rsidP="00A56E4D">
      <w:pPr>
        <w:numPr>
          <w:ilvl w:val="0"/>
          <w:numId w:val="16"/>
        </w:numPr>
        <w:rPr>
          <w:sz w:val="24"/>
          <w:szCs w:val="24"/>
        </w:rPr>
      </w:pPr>
      <w:r w:rsidRPr="00A56E4D">
        <w:rPr>
          <w:b/>
          <w:bCs/>
          <w:sz w:val="24"/>
          <w:szCs w:val="24"/>
        </w:rPr>
        <w:t>Income Tax Rate:</w:t>
      </w:r>
    </w:p>
    <w:p w14:paraId="5964E92D" w14:textId="36709113" w:rsidR="00A56E4D" w:rsidRPr="00A56E4D" w:rsidRDefault="00A56E4D" w:rsidP="00A56E4D">
      <w:pPr>
        <w:numPr>
          <w:ilvl w:val="1"/>
          <w:numId w:val="16"/>
        </w:numPr>
        <w:rPr>
          <w:sz w:val="24"/>
          <w:szCs w:val="24"/>
        </w:rPr>
      </w:pPr>
      <w:r w:rsidRPr="00A56E4D">
        <w:rPr>
          <w:sz w:val="24"/>
          <w:szCs w:val="24"/>
        </w:rPr>
        <w:t>2022: 16.20%</w:t>
      </w:r>
    </w:p>
    <w:p w14:paraId="0F52540B" w14:textId="09F72E47" w:rsidR="00A56E4D" w:rsidRPr="00A56E4D" w:rsidRDefault="00A56E4D" w:rsidP="00A56E4D">
      <w:pPr>
        <w:numPr>
          <w:ilvl w:val="1"/>
          <w:numId w:val="16"/>
        </w:numPr>
        <w:rPr>
          <w:sz w:val="24"/>
          <w:szCs w:val="24"/>
        </w:rPr>
      </w:pPr>
      <w:r w:rsidRPr="00A56E4D">
        <w:rPr>
          <w:sz w:val="24"/>
          <w:szCs w:val="24"/>
        </w:rPr>
        <w:t>2021: 13.30%</w:t>
      </w:r>
    </w:p>
    <w:p w14:paraId="646EE4AA" w14:textId="452CDDCB" w:rsidR="00A56E4D" w:rsidRPr="00A56E4D" w:rsidRDefault="00A56E4D" w:rsidP="00A56E4D">
      <w:pPr>
        <w:numPr>
          <w:ilvl w:val="1"/>
          <w:numId w:val="16"/>
        </w:numPr>
        <w:rPr>
          <w:sz w:val="24"/>
          <w:szCs w:val="24"/>
        </w:rPr>
      </w:pPr>
      <w:r w:rsidRPr="00A56E4D">
        <w:rPr>
          <w:sz w:val="24"/>
          <w:szCs w:val="24"/>
        </w:rPr>
        <w:t>2020: 14.40%</w:t>
      </w:r>
    </w:p>
    <w:p w14:paraId="0D473038" w14:textId="77777777" w:rsidR="00A56E4D" w:rsidRPr="00A56E4D" w:rsidRDefault="00A56E4D" w:rsidP="00A56E4D">
      <w:pPr>
        <w:numPr>
          <w:ilvl w:val="0"/>
          <w:numId w:val="16"/>
        </w:numPr>
        <w:rPr>
          <w:sz w:val="24"/>
          <w:szCs w:val="24"/>
        </w:rPr>
      </w:pPr>
      <w:r w:rsidRPr="00A56E4D">
        <w:rPr>
          <w:b/>
          <w:bCs/>
          <w:sz w:val="24"/>
          <w:szCs w:val="24"/>
        </w:rPr>
        <w:t>Capex as a Percentage of Sales:</w:t>
      </w:r>
    </w:p>
    <w:p w14:paraId="7F117B61" w14:textId="2DEF2FF8" w:rsidR="00A56E4D" w:rsidRPr="00A56E4D" w:rsidRDefault="00A56E4D" w:rsidP="00A56E4D">
      <w:pPr>
        <w:numPr>
          <w:ilvl w:val="1"/>
          <w:numId w:val="16"/>
        </w:numPr>
        <w:rPr>
          <w:sz w:val="24"/>
          <w:szCs w:val="24"/>
        </w:rPr>
      </w:pPr>
      <w:r w:rsidRPr="00A56E4D">
        <w:rPr>
          <w:sz w:val="24"/>
          <w:szCs w:val="24"/>
        </w:rPr>
        <w:t>2022: 2.70%</w:t>
      </w:r>
    </w:p>
    <w:p w14:paraId="5CB72A6D" w14:textId="7DC3BA44" w:rsidR="00A56E4D" w:rsidRPr="00A56E4D" w:rsidRDefault="00A56E4D" w:rsidP="00A56E4D">
      <w:pPr>
        <w:numPr>
          <w:ilvl w:val="1"/>
          <w:numId w:val="16"/>
        </w:numPr>
        <w:rPr>
          <w:sz w:val="24"/>
          <w:szCs w:val="24"/>
        </w:rPr>
      </w:pPr>
      <w:r w:rsidRPr="00A56E4D">
        <w:rPr>
          <w:sz w:val="24"/>
          <w:szCs w:val="24"/>
        </w:rPr>
        <w:t>2021: 3.00%</w:t>
      </w:r>
    </w:p>
    <w:p w14:paraId="79E390E7" w14:textId="06CC37BB" w:rsidR="00A56E4D" w:rsidRPr="00A56E4D" w:rsidRDefault="00A56E4D" w:rsidP="00A56E4D">
      <w:pPr>
        <w:numPr>
          <w:ilvl w:val="1"/>
          <w:numId w:val="16"/>
        </w:numPr>
        <w:rPr>
          <w:sz w:val="24"/>
          <w:szCs w:val="24"/>
        </w:rPr>
      </w:pPr>
      <w:r w:rsidRPr="00A56E4D">
        <w:rPr>
          <w:sz w:val="24"/>
          <w:szCs w:val="24"/>
        </w:rPr>
        <w:t>2020: 2.70%</w:t>
      </w:r>
    </w:p>
    <w:p w14:paraId="2A3AF10B" w14:textId="276B23B5" w:rsidR="00A56E4D" w:rsidRPr="00A56E4D" w:rsidRDefault="00A56E4D" w:rsidP="00A56E4D">
      <w:pPr>
        <w:numPr>
          <w:ilvl w:val="0"/>
          <w:numId w:val="16"/>
        </w:numPr>
        <w:rPr>
          <w:sz w:val="24"/>
          <w:szCs w:val="24"/>
        </w:rPr>
      </w:pPr>
      <w:r w:rsidRPr="00A56E4D">
        <w:rPr>
          <w:b/>
          <w:bCs/>
          <w:sz w:val="24"/>
          <w:szCs w:val="24"/>
        </w:rPr>
        <w:t>Capex as a Percentage of Fixed Assets:</w:t>
      </w:r>
    </w:p>
    <w:p w14:paraId="323E080A" w14:textId="682FCB86" w:rsidR="00A56E4D" w:rsidRPr="00A56E4D" w:rsidRDefault="00A56E4D" w:rsidP="00A56E4D">
      <w:pPr>
        <w:numPr>
          <w:ilvl w:val="1"/>
          <w:numId w:val="16"/>
        </w:numPr>
        <w:rPr>
          <w:sz w:val="24"/>
          <w:szCs w:val="24"/>
        </w:rPr>
      </w:pPr>
      <w:r w:rsidRPr="00A56E4D">
        <w:rPr>
          <w:sz w:val="24"/>
          <w:szCs w:val="24"/>
        </w:rPr>
        <w:t>2022: 25.40%</w:t>
      </w:r>
    </w:p>
    <w:p w14:paraId="10C747B2" w14:textId="77777777" w:rsidR="00A56E4D" w:rsidRPr="00A56E4D" w:rsidRDefault="00A56E4D" w:rsidP="00A56E4D">
      <w:pPr>
        <w:numPr>
          <w:ilvl w:val="1"/>
          <w:numId w:val="16"/>
        </w:numPr>
        <w:rPr>
          <w:sz w:val="24"/>
          <w:szCs w:val="24"/>
        </w:rPr>
      </w:pPr>
      <w:r w:rsidRPr="00A56E4D">
        <w:rPr>
          <w:sz w:val="24"/>
          <w:szCs w:val="24"/>
        </w:rPr>
        <w:t>2021: 28.10%</w:t>
      </w:r>
    </w:p>
    <w:p w14:paraId="481625E5" w14:textId="2C455465" w:rsidR="00A56E4D" w:rsidRPr="00564C87" w:rsidRDefault="00564C87" w:rsidP="00A56E4D">
      <w:pPr>
        <w:numPr>
          <w:ilvl w:val="1"/>
          <w:numId w:val="16"/>
        </w:numPr>
        <w:rPr>
          <w:sz w:val="24"/>
          <w:szCs w:val="24"/>
        </w:rPr>
      </w:pPr>
      <w:r w:rsidRPr="00564C87">
        <w:rPr>
          <w:sz w:val="24"/>
          <w:szCs w:val="24"/>
        </w:rPr>
        <w:drawing>
          <wp:anchor distT="0" distB="0" distL="114300" distR="114300" simplePos="0" relativeHeight="251684352" behindDoc="0" locked="0" layoutInCell="1" allowOverlap="1" wp14:anchorId="212D38F7" wp14:editId="3B2F4412">
            <wp:simplePos x="0" y="0"/>
            <wp:positionH relativeFrom="column">
              <wp:posOffset>0</wp:posOffset>
            </wp:positionH>
            <wp:positionV relativeFrom="paragraph">
              <wp:posOffset>394335</wp:posOffset>
            </wp:positionV>
            <wp:extent cx="5731510" cy="2868295"/>
            <wp:effectExtent l="0" t="0" r="0" b="0"/>
            <wp:wrapSquare wrapText="bothSides"/>
            <wp:docPr id="1561867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867185"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2868295"/>
                    </a:xfrm>
                    <a:prstGeom prst="rect">
                      <a:avLst/>
                    </a:prstGeom>
                  </pic:spPr>
                </pic:pic>
              </a:graphicData>
            </a:graphic>
          </wp:anchor>
        </w:drawing>
      </w:r>
      <w:r w:rsidR="00A56E4D" w:rsidRPr="00A56E4D">
        <w:rPr>
          <w:sz w:val="24"/>
          <w:szCs w:val="24"/>
        </w:rPr>
        <w:t>2020: 19.90%</w:t>
      </w:r>
    </w:p>
    <w:p w14:paraId="4EFDBEF6" w14:textId="182BFD00" w:rsidR="00564C87" w:rsidRPr="00A56E4D" w:rsidRDefault="00564C87" w:rsidP="00564C87">
      <w:pPr>
        <w:rPr>
          <w:sz w:val="24"/>
          <w:szCs w:val="24"/>
        </w:rPr>
      </w:pPr>
    </w:p>
    <w:p w14:paraId="14B89ECE" w14:textId="77777777" w:rsidR="00A56E4D" w:rsidRPr="00A56E4D" w:rsidRDefault="00A56E4D" w:rsidP="00A56E4D">
      <w:pPr>
        <w:rPr>
          <w:sz w:val="24"/>
          <w:szCs w:val="24"/>
        </w:rPr>
      </w:pPr>
      <w:r w:rsidRPr="00A56E4D">
        <w:rPr>
          <w:b/>
          <w:bCs/>
          <w:sz w:val="24"/>
          <w:szCs w:val="24"/>
        </w:rPr>
        <w:t>Interpretation:</w:t>
      </w:r>
    </w:p>
    <w:p w14:paraId="09B10BCC" w14:textId="77777777" w:rsidR="00A56E4D" w:rsidRPr="00A56E4D" w:rsidRDefault="00A56E4D" w:rsidP="00A56E4D">
      <w:pPr>
        <w:numPr>
          <w:ilvl w:val="0"/>
          <w:numId w:val="17"/>
        </w:numPr>
        <w:rPr>
          <w:sz w:val="24"/>
          <w:szCs w:val="24"/>
        </w:rPr>
      </w:pPr>
      <w:r w:rsidRPr="00A56E4D">
        <w:rPr>
          <w:sz w:val="24"/>
          <w:szCs w:val="24"/>
        </w:rPr>
        <w:t>The income tax rate has fluctuated slightly but remains within a reasonable range. Capital expenditures (Capex) as a percentage of sales and fixed assets indicate ongoing investment in the company's infrastructure, which is vital for future growth.</w:t>
      </w:r>
    </w:p>
    <w:p w14:paraId="0C1209E3" w14:textId="22F23269" w:rsidR="00A56E4D" w:rsidRPr="00A56E4D" w:rsidRDefault="00A56E4D" w:rsidP="00A56E4D">
      <w:pPr>
        <w:rPr>
          <w:sz w:val="24"/>
          <w:szCs w:val="24"/>
        </w:rPr>
      </w:pPr>
    </w:p>
    <w:p w14:paraId="2B11F3F3" w14:textId="77777777" w:rsidR="00A56E4D" w:rsidRPr="00A56E4D" w:rsidRDefault="00A56E4D" w:rsidP="00A56E4D">
      <w:pPr>
        <w:rPr>
          <w:b/>
          <w:bCs/>
          <w:sz w:val="24"/>
          <w:szCs w:val="24"/>
        </w:rPr>
      </w:pPr>
      <w:r w:rsidRPr="00A56E4D">
        <w:rPr>
          <w:b/>
          <w:bCs/>
          <w:sz w:val="24"/>
          <w:szCs w:val="24"/>
        </w:rPr>
        <w:t>Conclusion</w:t>
      </w:r>
    </w:p>
    <w:p w14:paraId="713C47EF" w14:textId="500C5ECD" w:rsidR="001E45C5" w:rsidRPr="00564C87" w:rsidRDefault="003C2958">
      <w:pPr>
        <w:rPr>
          <w:sz w:val="24"/>
          <w:szCs w:val="24"/>
        </w:rPr>
      </w:pPr>
      <w:r>
        <w:rPr>
          <w:sz w:val="24"/>
          <w:szCs w:val="24"/>
        </w:rPr>
        <w:t>I</w:t>
      </w:r>
      <w:r w:rsidRPr="003C2958">
        <w:rPr>
          <w:sz w:val="24"/>
          <w:szCs w:val="24"/>
        </w:rPr>
        <w:t xml:space="preserve">n conclusion, the financial analysis of the company from 2020 to 2022 reveals a mixed but generally positive picture. The liquidity ratios indicate a declining ability to meet short-term obligations, which may warrant attention to avoid potential liquidity issues. On the profitability front, the company has demonstrated consistent improvement, with increasing margins across all key metrics, reflecting effective cost management and a robust conversion of sales into profits. However, the company’s solvency ratios show rising leverage, suggesting a growing reliance on debt, though the ability to cover interest expenses remains strong. Asset utilization has improved, with better efficiency in managing assets and inventory. Investor metrics, such as EPS, have shown positive growth, although the P/E ratio has decreased, </w:t>
      </w:r>
      <w:r>
        <w:rPr>
          <w:sz w:val="24"/>
          <w:szCs w:val="24"/>
        </w:rPr>
        <w:t>signalling</w:t>
      </w:r>
      <w:r w:rsidRPr="003C2958">
        <w:rPr>
          <w:sz w:val="24"/>
          <w:szCs w:val="24"/>
        </w:rPr>
        <w:t xml:space="preserve"> a lower valuation relative to previous years. Overall, while there are areas of concern, particularly regarding liquidity and rising debt, the company’s strong profitability and efficient asset use position it </w:t>
      </w:r>
      <w:r>
        <w:rPr>
          <w:sz w:val="24"/>
          <w:szCs w:val="24"/>
        </w:rPr>
        <w:t>favourably</w:t>
      </w:r>
      <w:r w:rsidRPr="003C2958">
        <w:rPr>
          <w:sz w:val="24"/>
          <w:szCs w:val="24"/>
        </w:rPr>
        <w:t xml:space="preserve"> for future growth. Continued focus on liquidity management and careful monitoring of debt levels will be crucial for sustaining long-term financial health.</w:t>
      </w:r>
    </w:p>
    <w:sectPr w:rsidR="001E45C5" w:rsidRPr="00564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E2615"/>
    <w:multiLevelType w:val="multilevel"/>
    <w:tmpl w:val="3586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33E17"/>
    <w:multiLevelType w:val="multilevel"/>
    <w:tmpl w:val="53B0F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34A90"/>
    <w:multiLevelType w:val="multilevel"/>
    <w:tmpl w:val="7F80B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C3424"/>
    <w:multiLevelType w:val="multilevel"/>
    <w:tmpl w:val="223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60895"/>
    <w:multiLevelType w:val="multilevel"/>
    <w:tmpl w:val="DB62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2410B"/>
    <w:multiLevelType w:val="multilevel"/>
    <w:tmpl w:val="295C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B1299D"/>
    <w:multiLevelType w:val="multilevel"/>
    <w:tmpl w:val="53D43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A2D98"/>
    <w:multiLevelType w:val="multilevel"/>
    <w:tmpl w:val="9B2EA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D2469"/>
    <w:multiLevelType w:val="multilevel"/>
    <w:tmpl w:val="2032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54C77"/>
    <w:multiLevelType w:val="multilevel"/>
    <w:tmpl w:val="91EC9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077E7"/>
    <w:multiLevelType w:val="multilevel"/>
    <w:tmpl w:val="7070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30869"/>
    <w:multiLevelType w:val="multilevel"/>
    <w:tmpl w:val="C8AA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5090A"/>
    <w:multiLevelType w:val="multilevel"/>
    <w:tmpl w:val="D218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A0FDC"/>
    <w:multiLevelType w:val="multilevel"/>
    <w:tmpl w:val="198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62351"/>
    <w:multiLevelType w:val="multilevel"/>
    <w:tmpl w:val="47F4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70123A"/>
    <w:multiLevelType w:val="multilevel"/>
    <w:tmpl w:val="F976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82162"/>
    <w:multiLevelType w:val="multilevel"/>
    <w:tmpl w:val="BD4C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4D076A"/>
    <w:multiLevelType w:val="multilevel"/>
    <w:tmpl w:val="2F7E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260804">
    <w:abstractNumId w:val="2"/>
  </w:num>
  <w:num w:numId="2" w16cid:durableId="1027680939">
    <w:abstractNumId w:val="5"/>
  </w:num>
  <w:num w:numId="3" w16cid:durableId="1372992833">
    <w:abstractNumId w:val="4"/>
  </w:num>
  <w:num w:numId="4" w16cid:durableId="2019037533">
    <w:abstractNumId w:val="7"/>
  </w:num>
  <w:num w:numId="5" w16cid:durableId="1409041687">
    <w:abstractNumId w:val="11"/>
  </w:num>
  <w:num w:numId="6" w16cid:durableId="861241168">
    <w:abstractNumId w:val="13"/>
  </w:num>
  <w:num w:numId="7" w16cid:durableId="1601140285">
    <w:abstractNumId w:val="16"/>
  </w:num>
  <w:num w:numId="8" w16cid:durableId="1051463528">
    <w:abstractNumId w:val="15"/>
  </w:num>
  <w:num w:numId="9" w16cid:durableId="928272256">
    <w:abstractNumId w:val="12"/>
  </w:num>
  <w:num w:numId="10" w16cid:durableId="439489773">
    <w:abstractNumId w:val="9"/>
  </w:num>
  <w:num w:numId="11" w16cid:durableId="1373266672">
    <w:abstractNumId w:val="0"/>
  </w:num>
  <w:num w:numId="12" w16cid:durableId="823281024">
    <w:abstractNumId w:val="14"/>
  </w:num>
  <w:num w:numId="13" w16cid:durableId="636300151">
    <w:abstractNumId w:val="1"/>
  </w:num>
  <w:num w:numId="14" w16cid:durableId="1511019049">
    <w:abstractNumId w:val="10"/>
  </w:num>
  <w:num w:numId="15" w16cid:durableId="1786652445">
    <w:abstractNumId w:val="8"/>
  </w:num>
  <w:num w:numId="16" w16cid:durableId="2126847073">
    <w:abstractNumId w:val="6"/>
  </w:num>
  <w:num w:numId="17" w16cid:durableId="1614361292">
    <w:abstractNumId w:val="17"/>
  </w:num>
  <w:num w:numId="18" w16cid:durableId="1427536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4D"/>
    <w:rsid w:val="001E45C5"/>
    <w:rsid w:val="003C2958"/>
    <w:rsid w:val="00564C87"/>
    <w:rsid w:val="007A5AC2"/>
    <w:rsid w:val="00813726"/>
    <w:rsid w:val="00A5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9B935"/>
  <w15:chartTrackingRefBased/>
  <w15:docId w15:val="{795DC8B4-F66F-40AE-8F8A-16942043F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50659">
      <w:bodyDiv w:val="1"/>
      <w:marLeft w:val="0"/>
      <w:marRight w:val="0"/>
      <w:marTop w:val="0"/>
      <w:marBottom w:val="0"/>
      <w:divBdr>
        <w:top w:val="none" w:sz="0" w:space="0" w:color="auto"/>
        <w:left w:val="none" w:sz="0" w:space="0" w:color="auto"/>
        <w:bottom w:val="none" w:sz="0" w:space="0" w:color="auto"/>
        <w:right w:val="none" w:sz="0" w:space="0" w:color="auto"/>
      </w:divBdr>
    </w:div>
    <w:div w:id="132173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720</Words>
  <Characters>4014</Characters>
  <Application>Microsoft Office Word</Application>
  <DocSecurity>0</DocSecurity>
  <Lines>148</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Azevedo</dc:creator>
  <cp:keywords/>
  <dc:description/>
  <cp:lastModifiedBy>João Azevedo</cp:lastModifiedBy>
  <cp:revision>1</cp:revision>
  <dcterms:created xsi:type="dcterms:W3CDTF">2024-09-03T21:48:00Z</dcterms:created>
  <dcterms:modified xsi:type="dcterms:W3CDTF">2024-09-03T22:09:00Z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fd6f70b9-65fc-4b72-a621-17b398dcdab9</vt:lpwstr>
  </property>
</Properties>
</file>