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1BC62" w14:textId="77777777" w:rsidR="0088214A" w:rsidRPr="0045369D" w:rsidRDefault="0088214A" w:rsidP="00434D2A">
      <w:pPr>
        <w:rPr>
          <w:rFonts w:ascii="Times New Roman" w:hAnsi="Times New Roman" w:cs="Times New Roman"/>
          <w:b/>
          <w:bCs/>
          <w:sz w:val="24"/>
          <w:szCs w:val="24"/>
        </w:rPr>
      </w:pPr>
      <w:r w:rsidRPr="0045369D">
        <w:rPr>
          <w:rFonts w:ascii="Times New Roman" w:hAnsi="Times New Roman" w:cs="Times New Roman"/>
          <w:b/>
          <w:bCs/>
          <w:sz w:val="24"/>
          <w:szCs w:val="24"/>
        </w:rPr>
        <w:t>Introduction</w:t>
      </w:r>
    </w:p>
    <w:p w14:paraId="3634C39C" w14:textId="43148B07" w:rsidR="00B54847" w:rsidRPr="0045369D" w:rsidRDefault="00FA3553" w:rsidP="00434D2A">
      <w:pPr>
        <w:jc w:val="both"/>
        <w:rPr>
          <w:rFonts w:ascii="Times New Roman" w:eastAsia="Times New Roman" w:hAnsi="Times New Roman" w:cs="Times New Roman"/>
          <w:b/>
          <w:bCs/>
          <w:color w:val="000000"/>
          <w:sz w:val="24"/>
          <w:szCs w:val="24"/>
          <w:lang w:val="en-GB" w:eastAsia="en-GB"/>
        </w:rPr>
      </w:pPr>
      <w:r w:rsidRPr="0045369D">
        <w:rPr>
          <w:rFonts w:ascii="Times New Roman" w:hAnsi="Times New Roman" w:cs="Times New Roman"/>
          <w:sz w:val="24"/>
          <w:szCs w:val="24"/>
        </w:rPr>
        <w:t xml:space="preserve">This report employs charts and graphs to provide a </w:t>
      </w:r>
      <w:r w:rsidR="00120597" w:rsidRPr="0045369D">
        <w:rPr>
          <w:rFonts w:ascii="Times New Roman" w:hAnsi="Times New Roman" w:cs="Times New Roman"/>
          <w:sz w:val="24"/>
          <w:szCs w:val="24"/>
        </w:rPr>
        <w:t>three-year</w:t>
      </w:r>
      <w:r w:rsidR="00D4347F" w:rsidRPr="0045369D">
        <w:rPr>
          <w:rFonts w:ascii="Times New Roman" w:hAnsi="Times New Roman" w:cs="Times New Roman"/>
          <w:sz w:val="24"/>
          <w:szCs w:val="24"/>
        </w:rPr>
        <w:t xml:space="preserve"> </w:t>
      </w:r>
      <w:r w:rsidR="00120597" w:rsidRPr="0045369D">
        <w:rPr>
          <w:rFonts w:ascii="Times New Roman" w:hAnsi="Times New Roman" w:cs="Times New Roman"/>
          <w:sz w:val="24"/>
          <w:szCs w:val="24"/>
        </w:rPr>
        <w:t>summary,</w:t>
      </w:r>
      <w:r w:rsidRPr="0045369D">
        <w:rPr>
          <w:rFonts w:ascii="Times New Roman" w:hAnsi="Times New Roman" w:cs="Times New Roman"/>
          <w:sz w:val="24"/>
          <w:szCs w:val="24"/>
        </w:rPr>
        <w:t xml:space="preserve"> but concise financial analysis of Apple Inc. based on specific firm factors. This includes liquidity ratios, </w:t>
      </w:r>
      <w:r w:rsidR="007817E5" w:rsidRPr="0045369D">
        <w:rPr>
          <w:rFonts w:ascii="Times New Roman" w:hAnsi="Times New Roman" w:cs="Times New Roman"/>
          <w:sz w:val="24"/>
          <w:szCs w:val="24"/>
        </w:rPr>
        <w:t>profitability ratios, solvency/</w:t>
      </w:r>
      <w:r w:rsidRPr="0045369D">
        <w:rPr>
          <w:rFonts w:ascii="Times New Roman" w:hAnsi="Times New Roman" w:cs="Times New Roman"/>
          <w:sz w:val="24"/>
          <w:szCs w:val="24"/>
        </w:rPr>
        <w:t xml:space="preserve">debt management, asset utilization, and </w:t>
      </w:r>
      <w:r w:rsidRPr="0045369D">
        <w:rPr>
          <w:rFonts w:ascii="Times New Roman" w:eastAsia="Times New Roman" w:hAnsi="Times New Roman" w:cs="Times New Roman"/>
          <w:bCs/>
          <w:color w:val="000000"/>
          <w:sz w:val="24"/>
          <w:szCs w:val="24"/>
          <w:lang w:eastAsia="en-GB"/>
        </w:rPr>
        <w:t>investor/market ratios.</w:t>
      </w:r>
    </w:p>
    <w:p w14:paraId="21410081" w14:textId="47BFAB28" w:rsidR="00D4347F" w:rsidRPr="0045369D" w:rsidRDefault="0088214A" w:rsidP="001F4940">
      <w:pPr>
        <w:pStyle w:val="ListParagraph"/>
        <w:numPr>
          <w:ilvl w:val="0"/>
          <w:numId w:val="2"/>
        </w:numPr>
        <w:rPr>
          <w:rFonts w:ascii="Times New Roman" w:hAnsi="Times New Roman" w:cs="Times New Roman"/>
          <w:b/>
          <w:bCs/>
          <w:sz w:val="24"/>
          <w:szCs w:val="24"/>
        </w:rPr>
      </w:pPr>
      <w:r w:rsidRPr="0045369D">
        <w:rPr>
          <w:rFonts w:ascii="Times New Roman" w:hAnsi="Times New Roman" w:cs="Times New Roman"/>
          <w:b/>
          <w:bCs/>
          <w:sz w:val="24"/>
          <w:szCs w:val="24"/>
        </w:rPr>
        <w:t>Liquidity Ratios</w:t>
      </w:r>
    </w:p>
    <w:p w14:paraId="55BD1D9E" w14:textId="46C6323B" w:rsidR="00D91AFD" w:rsidRPr="0045369D" w:rsidRDefault="0045369D" w:rsidP="00434D2A">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45369D">
        <w:rPr>
          <w:rFonts w:ascii="Times New Roman" w:hAnsi="Times New Roman" w:cs="Times New Roman"/>
          <w:b/>
          <w:bCs/>
          <w:color w:val="FF0000"/>
          <w:sz w:val="24"/>
          <w:szCs w:val="24"/>
        </w:rPr>
        <w:object w:dxaOrig="10231" w:dyaOrig="4590" w14:anchorId="395BE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58.75pt" o:ole="">
            <v:imagedata r:id="rId7" o:title=""/>
          </v:shape>
          <o:OLEObject Type="Embed" ProgID="EViews.Workfile.2" ShapeID="_x0000_i1025" DrawAspect="Content" ObjectID="_1787828361" r:id="rId8"/>
        </w:object>
      </w:r>
    </w:p>
    <w:p w14:paraId="53261E8C" w14:textId="77777777" w:rsidR="003A020C" w:rsidRPr="0045369D" w:rsidRDefault="003A020C" w:rsidP="00434D2A">
      <w:pPr>
        <w:jc w:val="both"/>
        <w:rPr>
          <w:rFonts w:ascii="Times New Roman" w:hAnsi="Times New Roman" w:cs="Times New Roman"/>
          <w:bCs/>
          <w:sz w:val="24"/>
          <w:szCs w:val="24"/>
        </w:rPr>
      </w:pPr>
      <w:r w:rsidRPr="0045369D">
        <w:rPr>
          <w:rFonts w:ascii="Times New Roman" w:hAnsi="Times New Roman" w:cs="Times New Roman"/>
          <w:bCs/>
          <w:sz w:val="24"/>
          <w:szCs w:val="24"/>
        </w:rPr>
        <w:t>Figure 1</w:t>
      </w:r>
    </w:p>
    <w:p w14:paraId="786ECD21" w14:textId="5B0B2563" w:rsidR="0088214A" w:rsidRPr="0045369D" w:rsidRDefault="00711D3B" w:rsidP="00434D2A">
      <w:pPr>
        <w:jc w:val="both"/>
        <w:rPr>
          <w:rFonts w:ascii="Times New Roman" w:eastAsia="Times New Roman" w:hAnsi="Times New Roman" w:cs="Times New Roman"/>
          <w:sz w:val="24"/>
          <w:szCs w:val="24"/>
          <w:lang w:eastAsia="en-GB"/>
        </w:rPr>
      </w:pPr>
      <w:r w:rsidRPr="0045369D">
        <w:rPr>
          <w:rFonts w:ascii="Times New Roman" w:hAnsi="Times New Roman" w:cs="Times New Roman"/>
          <w:bCs/>
          <w:sz w:val="24"/>
          <w:szCs w:val="24"/>
        </w:rPr>
        <w:t>R</w:t>
      </w:r>
      <w:r w:rsidR="00D4347F" w:rsidRPr="0045369D">
        <w:rPr>
          <w:rFonts w:ascii="Times New Roman" w:hAnsi="Times New Roman" w:cs="Times New Roman"/>
          <w:bCs/>
          <w:sz w:val="24"/>
          <w:szCs w:val="24"/>
        </w:rPr>
        <w:t>atios</w:t>
      </w:r>
      <w:r w:rsidRPr="0045369D">
        <w:rPr>
          <w:rFonts w:ascii="Times New Roman" w:hAnsi="Times New Roman" w:cs="Times New Roman"/>
          <w:bCs/>
          <w:sz w:val="24"/>
          <w:szCs w:val="24"/>
        </w:rPr>
        <w:t xml:space="preserve"> used in this report to measure liquidity </w:t>
      </w:r>
      <w:r w:rsidR="0000731A" w:rsidRPr="0045369D">
        <w:rPr>
          <w:rFonts w:ascii="Times New Roman" w:hAnsi="Times New Roman" w:cs="Times New Roman"/>
          <w:bCs/>
          <w:sz w:val="24"/>
          <w:szCs w:val="24"/>
        </w:rPr>
        <w:t>include</w:t>
      </w:r>
      <w:r w:rsidR="00D4347F" w:rsidRPr="0045369D">
        <w:rPr>
          <w:rFonts w:ascii="Times New Roman" w:hAnsi="Times New Roman" w:cs="Times New Roman"/>
          <w:bCs/>
          <w:sz w:val="24"/>
          <w:szCs w:val="24"/>
        </w:rPr>
        <w:t xml:space="preserve"> </w:t>
      </w:r>
      <w:r w:rsidRPr="0045369D">
        <w:rPr>
          <w:rFonts w:ascii="Times New Roman" w:hAnsi="Times New Roman" w:cs="Times New Roman"/>
          <w:bCs/>
          <w:sz w:val="24"/>
          <w:szCs w:val="24"/>
        </w:rPr>
        <w:t>cash ratio, current ratio, quick ratio,</w:t>
      </w:r>
      <w:r w:rsidR="0000731A" w:rsidRPr="0045369D">
        <w:rPr>
          <w:rFonts w:ascii="Times New Roman" w:hAnsi="Times New Roman" w:cs="Times New Roman"/>
          <w:sz w:val="24"/>
          <w:szCs w:val="24"/>
        </w:rPr>
        <w:t xml:space="preserve"> </w:t>
      </w:r>
      <w:r w:rsidR="0000731A" w:rsidRPr="0045369D">
        <w:rPr>
          <w:rFonts w:ascii="Times New Roman" w:hAnsi="Times New Roman" w:cs="Times New Roman"/>
          <w:bCs/>
          <w:sz w:val="24"/>
          <w:szCs w:val="24"/>
        </w:rPr>
        <w:t>defensive interval, inventory days, payable days, receivable days, net trading cycle, working capital as a % of sales, and working capital. These ratios</w:t>
      </w:r>
      <w:r w:rsidR="00D4347F" w:rsidRPr="0045369D">
        <w:rPr>
          <w:rFonts w:ascii="Times New Roman" w:hAnsi="Times New Roman" w:cs="Times New Roman"/>
          <w:bCs/>
          <w:sz w:val="24"/>
          <w:szCs w:val="24"/>
        </w:rPr>
        <w:t xml:space="preserve"> were </w:t>
      </w:r>
      <w:r w:rsidR="0000731A" w:rsidRPr="0045369D">
        <w:rPr>
          <w:rFonts w:ascii="Times New Roman" w:hAnsi="Times New Roman" w:cs="Times New Roman"/>
          <w:bCs/>
          <w:sz w:val="24"/>
          <w:szCs w:val="24"/>
        </w:rPr>
        <w:t>demonstrated</w:t>
      </w:r>
      <w:r w:rsidR="00D4347F" w:rsidRPr="0045369D">
        <w:rPr>
          <w:rFonts w:ascii="Times New Roman" w:hAnsi="Times New Roman" w:cs="Times New Roman"/>
          <w:bCs/>
          <w:sz w:val="24"/>
          <w:szCs w:val="24"/>
        </w:rPr>
        <w:t xml:space="preserve"> by </w:t>
      </w:r>
      <w:r w:rsidR="0000731A" w:rsidRPr="0045369D">
        <w:rPr>
          <w:rFonts w:ascii="Times New Roman" w:hAnsi="Times New Roman" w:cs="Times New Roman"/>
          <w:bCs/>
          <w:sz w:val="24"/>
          <w:szCs w:val="24"/>
        </w:rPr>
        <w:t xml:space="preserve">the use of </w:t>
      </w:r>
      <w:r w:rsidR="00D4347F" w:rsidRPr="0045369D">
        <w:rPr>
          <w:rFonts w:ascii="Times New Roman" w:hAnsi="Times New Roman" w:cs="Times New Roman"/>
          <w:bCs/>
          <w:sz w:val="24"/>
          <w:szCs w:val="24"/>
        </w:rPr>
        <w:t>bar chart</w:t>
      </w:r>
      <w:r w:rsidR="0000731A" w:rsidRPr="0045369D">
        <w:rPr>
          <w:rFonts w:ascii="Times New Roman" w:hAnsi="Times New Roman" w:cs="Times New Roman"/>
          <w:bCs/>
          <w:sz w:val="24"/>
          <w:szCs w:val="24"/>
        </w:rPr>
        <w:t>s as shown</w:t>
      </w:r>
      <w:r w:rsidR="00D4347F" w:rsidRPr="0045369D">
        <w:rPr>
          <w:rFonts w:ascii="Times New Roman" w:hAnsi="Times New Roman" w:cs="Times New Roman"/>
          <w:bCs/>
          <w:sz w:val="24"/>
          <w:szCs w:val="24"/>
        </w:rPr>
        <w:t xml:space="preserve"> above. It is observed that </w:t>
      </w:r>
      <w:r w:rsidR="0000731A" w:rsidRPr="0045369D">
        <w:rPr>
          <w:rFonts w:ascii="Times New Roman" w:hAnsi="Times New Roman" w:cs="Times New Roman"/>
          <w:bCs/>
          <w:sz w:val="24"/>
          <w:szCs w:val="24"/>
        </w:rPr>
        <w:t xml:space="preserve">the </w:t>
      </w:r>
      <w:r w:rsidR="00D4347F" w:rsidRPr="0045369D">
        <w:rPr>
          <w:rFonts w:ascii="Times New Roman" w:hAnsi="Times New Roman" w:cs="Times New Roman"/>
          <w:bCs/>
          <w:sz w:val="24"/>
          <w:szCs w:val="24"/>
        </w:rPr>
        <w:t xml:space="preserve">cash ratio decreases yearly, this is an indication that cash reserves </w:t>
      </w:r>
      <w:r w:rsidR="0000731A" w:rsidRPr="0045369D">
        <w:rPr>
          <w:rFonts w:ascii="Times New Roman" w:hAnsi="Times New Roman" w:cs="Times New Roman"/>
          <w:bCs/>
          <w:sz w:val="24"/>
          <w:szCs w:val="24"/>
        </w:rPr>
        <w:t>reduce</w:t>
      </w:r>
      <w:r w:rsidR="00D4347F" w:rsidRPr="0045369D">
        <w:rPr>
          <w:rFonts w:ascii="Times New Roman" w:hAnsi="Times New Roman" w:cs="Times New Roman"/>
          <w:bCs/>
          <w:sz w:val="24"/>
          <w:szCs w:val="24"/>
        </w:rPr>
        <w:t xml:space="preserve"> in relation to current liabilities. This </w:t>
      </w:r>
      <w:r w:rsidR="0000731A" w:rsidRPr="0045369D">
        <w:rPr>
          <w:rFonts w:ascii="Times New Roman" w:hAnsi="Times New Roman" w:cs="Times New Roman"/>
          <w:bCs/>
          <w:sz w:val="24"/>
          <w:szCs w:val="24"/>
        </w:rPr>
        <w:t>implies</w:t>
      </w:r>
      <w:r w:rsidR="00D4347F" w:rsidRPr="0045369D">
        <w:rPr>
          <w:rFonts w:ascii="Times New Roman" w:hAnsi="Times New Roman" w:cs="Times New Roman"/>
          <w:bCs/>
          <w:sz w:val="24"/>
          <w:szCs w:val="24"/>
        </w:rPr>
        <w:t xml:space="preserve"> that the company may not </w:t>
      </w:r>
      <w:r w:rsidR="0000731A" w:rsidRPr="0045369D">
        <w:rPr>
          <w:rFonts w:ascii="Times New Roman" w:hAnsi="Times New Roman" w:cs="Times New Roman"/>
          <w:bCs/>
          <w:sz w:val="24"/>
          <w:szCs w:val="24"/>
        </w:rPr>
        <w:t xml:space="preserve">be </w:t>
      </w:r>
      <w:r w:rsidR="00D4347F" w:rsidRPr="0045369D">
        <w:rPr>
          <w:rFonts w:ascii="Times New Roman" w:hAnsi="Times New Roman" w:cs="Times New Roman"/>
          <w:bCs/>
          <w:sz w:val="24"/>
          <w:szCs w:val="24"/>
        </w:rPr>
        <w:t>able to settle short-term obligations with only cash. Notwithstanding the company still has significant cash reserves</w:t>
      </w:r>
      <w:r w:rsidR="00890B5E" w:rsidRPr="0045369D">
        <w:rPr>
          <w:rFonts w:ascii="Times New Roman" w:hAnsi="Times New Roman" w:cs="Times New Roman"/>
          <w:bCs/>
          <w:sz w:val="24"/>
          <w:szCs w:val="24"/>
        </w:rPr>
        <w:t xml:space="preserve">, thus, the reduction from 2020 to 2022 implies the company might be utilizing cash reserves for other financial/investing activities such as paying debt, buying </w:t>
      </w:r>
      <w:r w:rsidR="0000731A" w:rsidRPr="0045369D">
        <w:rPr>
          <w:rFonts w:ascii="Times New Roman" w:hAnsi="Times New Roman" w:cs="Times New Roman"/>
          <w:bCs/>
          <w:sz w:val="24"/>
          <w:szCs w:val="24"/>
        </w:rPr>
        <w:t>back</w:t>
      </w:r>
      <w:r w:rsidR="00890B5E" w:rsidRPr="0045369D">
        <w:rPr>
          <w:rFonts w:ascii="Times New Roman" w:hAnsi="Times New Roman" w:cs="Times New Roman"/>
          <w:bCs/>
          <w:sz w:val="24"/>
          <w:szCs w:val="24"/>
        </w:rPr>
        <w:t xml:space="preserve"> shares</w:t>
      </w:r>
      <w:r w:rsidR="0000731A" w:rsidRPr="0045369D">
        <w:rPr>
          <w:rFonts w:ascii="Times New Roman" w:hAnsi="Times New Roman" w:cs="Times New Roman"/>
          <w:bCs/>
          <w:sz w:val="24"/>
          <w:szCs w:val="24"/>
        </w:rPr>
        <w:t>,</w:t>
      </w:r>
      <w:r w:rsidR="00890B5E" w:rsidRPr="0045369D">
        <w:rPr>
          <w:rFonts w:ascii="Times New Roman" w:hAnsi="Times New Roman" w:cs="Times New Roman"/>
          <w:bCs/>
          <w:sz w:val="24"/>
          <w:szCs w:val="24"/>
        </w:rPr>
        <w:t xml:space="preserve"> and so on. </w:t>
      </w:r>
      <w:r w:rsidR="00600B23" w:rsidRPr="0045369D">
        <w:rPr>
          <w:rFonts w:ascii="Times New Roman" w:hAnsi="Times New Roman" w:cs="Times New Roman"/>
          <w:bCs/>
          <w:sz w:val="24"/>
          <w:szCs w:val="24"/>
        </w:rPr>
        <w:t xml:space="preserve">The next ratio is </w:t>
      </w:r>
      <w:r w:rsidR="0000731A" w:rsidRPr="0045369D">
        <w:rPr>
          <w:rFonts w:ascii="Times New Roman" w:hAnsi="Times New Roman" w:cs="Times New Roman"/>
          <w:bCs/>
          <w:sz w:val="24"/>
          <w:szCs w:val="24"/>
        </w:rPr>
        <w:t xml:space="preserve">the </w:t>
      </w:r>
      <w:r w:rsidR="00600B23" w:rsidRPr="0045369D">
        <w:rPr>
          <w:rFonts w:ascii="Times New Roman" w:hAnsi="Times New Roman" w:cs="Times New Roman"/>
          <w:bCs/>
          <w:sz w:val="24"/>
          <w:szCs w:val="24"/>
        </w:rPr>
        <w:t>current ratio, a current ratio above 1 is good. T</w:t>
      </w:r>
      <w:r w:rsidR="00890B5E" w:rsidRPr="0045369D">
        <w:rPr>
          <w:rFonts w:ascii="Times New Roman" w:hAnsi="Times New Roman" w:cs="Times New Roman"/>
          <w:bCs/>
          <w:sz w:val="24"/>
          <w:szCs w:val="24"/>
        </w:rPr>
        <w:t xml:space="preserve">he current ratio </w:t>
      </w:r>
      <w:r w:rsidR="00600B23" w:rsidRPr="0045369D">
        <w:rPr>
          <w:rFonts w:ascii="Times New Roman" w:hAnsi="Times New Roman" w:cs="Times New Roman"/>
          <w:bCs/>
          <w:sz w:val="24"/>
          <w:szCs w:val="24"/>
        </w:rPr>
        <w:t>of the company</w:t>
      </w:r>
      <w:r w:rsidR="00890B5E" w:rsidRPr="0045369D">
        <w:rPr>
          <w:rFonts w:ascii="Times New Roman" w:hAnsi="Times New Roman" w:cs="Times New Roman"/>
          <w:bCs/>
          <w:sz w:val="24"/>
          <w:szCs w:val="24"/>
        </w:rPr>
        <w:t xml:space="preserve"> reveals that the company’s </w:t>
      </w:r>
      <w:r w:rsidR="0000731A" w:rsidRPr="0045369D">
        <w:rPr>
          <w:rFonts w:ascii="Times New Roman" w:hAnsi="Times New Roman" w:cs="Times New Roman"/>
          <w:bCs/>
          <w:sz w:val="24"/>
          <w:szCs w:val="24"/>
        </w:rPr>
        <w:t>short-term</w:t>
      </w:r>
      <w:r w:rsidR="00890B5E" w:rsidRPr="0045369D">
        <w:rPr>
          <w:rFonts w:ascii="Times New Roman" w:hAnsi="Times New Roman" w:cs="Times New Roman"/>
          <w:bCs/>
          <w:sz w:val="24"/>
          <w:szCs w:val="24"/>
        </w:rPr>
        <w:t xml:space="preserve"> obligation</w:t>
      </w:r>
      <w:r w:rsidRPr="0045369D">
        <w:rPr>
          <w:rFonts w:ascii="Times New Roman" w:hAnsi="Times New Roman" w:cs="Times New Roman"/>
          <w:bCs/>
          <w:sz w:val="24"/>
          <w:szCs w:val="24"/>
        </w:rPr>
        <w:t>s</w:t>
      </w:r>
      <w:r w:rsidR="00890B5E" w:rsidRPr="0045369D">
        <w:rPr>
          <w:rFonts w:ascii="Times New Roman" w:hAnsi="Times New Roman" w:cs="Times New Roman"/>
          <w:bCs/>
          <w:sz w:val="24"/>
          <w:szCs w:val="24"/>
        </w:rPr>
        <w:t xml:space="preserve"> exceed its </w:t>
      </w:r>
      <w:r w:rsidRPr="0045369D">
        <w:rPr>
          <w:rFonts w:ascii="Times New Roman" w:hAnsi="Times New Roman" w:cs="Times New Roman"/>
          <w:bCs/>
          <w:sz w:val="24"/>
          <w:szCs w:val="24"/>
        </w:rPr>
        <w:t>short-term</w:t>
      </w:r>
      <w:r w:rsidR="00890B5E" w:rsidRPr="0045369D">
        <w:rPr>
          <w:rFonts w:ascii="Times New Roman" w:hAnsi="Times New Roman" w:cs="Times New Roman"/>
          <w:bCs/>
          <w:sz w:val="24"/>
          <w:szCs w:val="24"/>
        </w:rPr>
        <w:t xml:space="preserve"> assets in 2022. However, in 2020 and 2021, the current assets </w:t>
      </w:r>
      <w:r w:rsidR="0000731A" w:rsidRPr="0045369D">
        <w:rPr>
          <w:rFonts w:ascii="Times New Roman" w:hAnsi="Times New Roman" w:cs="Times New Roman"/>
          <w:bCs/>
          <w:sz w:val="24"/>
          <w:szCs w:val="24"/>
        </w:rPr>
        <w:t>cover</w:t>
      </w:r>
      <w:r w:rsidR="00890B5E" w:rsidRPr="0045369D">
        <w:rPr>
          <w:rFonts w:ascii="Times New Roman" w:hAnsi="Times New Roman" w:cs="Times New Roman"/>
          <w:bCs/>
          <w:sz w:val="24"/>
          <w:szCs w:val="24"/>
        </w:rPr>
        <w:t xml:space="preserve"> the current liabilities.</w:t>
      </w:r>
      <w:r w:rsidR="00600B23" w:rsidRPr="0045369D">
        <w:rPr>
          <w:rFonts w:ascii="Times New Roman" w:hAnsi="Times New Roman" w:cs="Times New Roman"/>
          <w:bCs/>
          <w:sz w:val="24"/>
          <w:szCs w:val="24"/>
        </w:rPr>
        <w:t xml:space="preserve"> A low current ratio and </w:t>
      </w:r>
      <w:r w:rsidR="0000731A" w:rsidRPr="0045369D">
        <w:rPr>
          <w:rFonts w:ascii="Times New Roman" w:hAnsi="Times New Roman" w:cs="Times New Roman"/>
          <w:bCs/>
          <w:sz w:val="24"/>
          <w:szCs w:val="24"/>
        </w:rPr>
        <w:t>decreasing</w:t>
      </w:r>
      <w:r w:rsidR="00600B23" w:rsidRPr="0045369D">
        <w:rPr>
          <w:rFonts w:ascii="Times New Roman" w:hAnsi="Times New Roman" w:cs="Times New Roman"/>
          <w:bCs/>
          <w:sz w:val="24"/>
          <w:szCs w:val="24"/>
        </w:rPr>
        <w:t xml:space="preserve"> cash ratio </w:t>
      </w:r>
      <w:r w:rsidR="0000731A" w:rsidRPr="0045369D">
        <w:rPr>
          <w:rFonts w:ascii="Times New Roman" w:hAnsi="Times New Roman" w:cs="Times New Roman"/>
          <w:bCs/>
          <w:sz w:val="24"/>
          <w:szCs w:val="24"/>
        </w:rPr>
        <w:t>are</w:t>
      </w:r>
      <w:r w:rsidR="00DE14E0" w:rsidRPr="0045369D">
        <w:rPr>
          <w:rFonts w:ascii="Times New Roman" w:hAnsi="Times New Roman" w:cs="Times New Roman"/>
          <w:bCs/>
          <w:sz w:val="24"/>
          <w:szCs w:val="24"/>
        </w:rPr>
        <w:t xml:space="preserve"> not necessarily alarming </w:t>
      </w:r>
      <w:r w:rsidR="0000731A" w:rsidRPr="0045369D">
        <w:rPr>
          <w:rFonts w:ascii="Times New Roman" w:hAnsi="Times New Roman" w:cs="Times New Roman"/>
          <w:bCs/>
          <w:sz w:val="24"/>
          <w:szCs w:val="24"/>
        </w:rPr>
        <w:t>if</w:t>
      </w:r>
      <w:r w:rsidR="00D4347F" w:rsidRPr="0045369D">
        <w:rPr>
          <w:rFonts w:ascii="Times New Roman" w:hAnsi="Times New Roman" w:cs="Times New Roman"/>
          <w:bCs/>
          <w:sz w:val="24"/>
          <w:szCs w:val="24"/>
        </w:rPr>
        <w:t xml:space="preserve"> the company is effe</w:t>
      </w:r>
      <w:r w:rsidR="0000731A" w:rsidRPr="0045369D">
        <w:rPr>
          <w:rFonts w:ascii="Times New Roman" w:hAnsi="Times New Roman" w:cs="Times New Roman"/>
          <w:bCs/>
          <w:sz w:val="24"/>
          <w:szCs w:val="24"/>
        </w:rPr>
        <w:t>ctively managing its liquidity</w:t>
      </w:r>
      <w:r w:rsidR="00D4347F" w:rsidRPr="0045369D">
        <w:rPr>
          <w:rFonts w:ascii="Times New Roman" w:hAnsi="Times New Roman" w:cs="Times New Roman"/>
          <w:bCs/>
          <w:sz w:val="24"/>
          <w:szCs w:val="24"/>
        </w:rPr>
        <w:t>.</w:t>
      </w:r>
      <w:r w:rsidR="00F54E6F" w:rsidRPr="0045369D">
        <w:rPr>
          <w:rFonts w:ascii="Times New Roman" w:hAnsi="Times New Roman" w:cs="Times New Roman"/>
          <w:bCs/>
          <w:sz w:val="24"/>
          <w:szCs w:val="24"/>
        </w:rPr>
        <w:t xml:space="preserve"> </w:t>
      </w:r>
      <w:r w:rsidR="00F54E6F" w:rsidRPr="0045369D">
        <w:rPr>
          <w:rFonts w:ascii="Times New Roman" w:eastAsia="Times New Roman" w:hAnsi="Times New Roman" w:cs="Times New Roman"/>
          <w:sz w:val="24"/>
          <w:szCs w:val="24"/>
          <w:lang w:eastAsia="en-GB"/>
        </w:rPr>
        <w:t xml:space="preserve">Throughout the three years, </w:t>
      </w:r>
      <w:r w:rsidR="00F54E6F" w:rsidRPr="0045369D">
        <w:rPr>
          <w:rFonts w:ascii="Times New Roman" w:hAnsi="Times New Roman" w:cs="Times New Roman"/>
          <w:bCs/>
          <w:sz w:val="24"/>
          <w:szCs w:val="24"/>
        </w:rPr>
        <w:t>the quick ratio of the company</w:t>
      </w:r>
      <w:r w:rsidR="00F54E6F" w:rsidRPr="0045369D">
        <w:rPr>
          <w:rFonts w:ascii="Times New Roman" w:eastAsia="Times New Roman" w:hAnsi="Times New Roman" w:cs="Times New Roman"/>
          <w:sz w:val="24"/>
          <w:szCs w:val="24"/>
          <w:lang w:eastAsia="en-GB"/>
        </w:rPr>
        <w:t xml:space="preserve"> remains relatively stable, by implication</w:t>
      </w:r>
      <w:r w:rsidR="007B40B7">
        <w:rPr>
          <w:rFonts w:ascii="Times New Roman" w:eastAsia="Times New Roman" w:hAnsi="Times New Roman" w:cs="Times New Roman"/>
          <w:sz w:val="24"/>
          <w:szCs w:val="24"/>
          <w:lang w:eastAsia="en-GB"/>
        </w:rPr>
        <w:t>,</w:t>
      </w:r>
      <w:r w:rsidR="00F54E6F" w:rsidRPr="0045369D">
        <w:rPr>
          <w:rFonts w:ascii="Times New Roman" w:eastAsia="Times New Roman" w:hAnsi="Times New Roman" w:cs="Times New Roman"/>
          <w:sz w:val="24"/>
          <w:szCs w:val="24"/>
          <w:lang w:eastAsia="en-GB"/>
        </w:rPr>
        <w:t xml:space="preserve"> Apple easily meets short-term liabilities with liquid assets. The decline in 2021 followed a recovery in 2022.</w:t>
      </w:r>
      <w:r w:rsidR="0001185F" w:rsidRPr="0045369D">
        <w:rPr>
          <w:rFonts w:ascii="Times New Roman" w:eastAsia="Times New Roman" w:hAnsi="Times New Roman" w:cs="Times New Roman"/>
          <w:sz w:val="24"/>
          <w:szCs w:val="24"/>
          <w:lang w:eastAsia="en-GB"/>
        </w:rPr>
        <w:t xml:space="preserve"> The</w:t>
      </w:r>
      <w:r w:rsidR="0001185F" w:rsidRPr="0045369D">
        <w:rPr>
          <w:rFonts w:ascii="Times New Roman" w:hAnsi="Times New Roman" w:cs="Times New Roman"/>
          <w:bCs/>
          <w:sz w:val="24"/>
          <w:szCs w:val="24"/>
        </w:rPr>
        <w:t xml:space="preserve"> defensive interval of the company decreases, this reveals that the company has fewer days of coverage to continue its operations that are based on liquid assets. </w:t>
      </w:r>
      <w:r w:rsidR="0001185F" w:rsidRPr="0045369D">
        <w:rPr>
          <w:rFonts w:ascii="Times New Roman" w:eastAsia="Times New Roman" w:hAnsi="Times New Roman" w:cs="Times New Roman"/>
          <w:sz w:val="24"/>
          <w:szCs w:val="24"/>
          <w:lang w:eastAsia="en-GB"/>
        </w:rPr>
        <w:t xml:space="preserve"> </w:t>
      </w:r>
      <w:r w:rsidR="009967F0" w:rsidRPr="0045369D">
        <w:rPr>
          <w:rFonts w:ascii="Times New Roman" w:eastAsia="Times New Roman" w:hAnsi="Times New Roman" w:cs="Times New Roman"/>
          <w:sz w:val="24"/>
          <w:szCs w:val="24"/>
          <w:lang w:eastAsia="en-GB"/>
        </w:rPr>
        <w:t xml:space="preserve">The inventory days </w:t>
      </w:r>
      <w:r w:rsidR="00176F32" w:rsidRPr="0045369D">
        <w:rPr>
          <w:rFonts w:ascii="Times New Roman" w:eastAsia="Times New Roman" w:hAnsi="Times New Roman" w:cs="Times New Roman"/>
          <w:sz w:val="24"/>
          <w:szCs w:val="24"/>
          <w:lang w:eastAsia="en-GB"/>
        </w:rPr>
        <w:t>reveal</w:t>
      </w:r>
      <w:r w:rsidR="009967F0" w:rsidRPr="0045369D">
        <w:rPr>
          <w:rFonts w:ascii="Times New Roman" w:eastAsia="Times New Roman" w:hAnsi="Times New Roman" w:cs="Times New Roman"/>
          <w:sz w:val="24"/>
          <w:szCs w:val="24"/>
          <w:lang w:eastAsia="en-GB"/>
        </w:rPr>
        <w:t xml:space="preserve"> that the company is selling its products faster. The reduction of this ratio in </w:t>
      </w:r>
      <w:r w:rsidR="009967F0" w:rsidRPr="0045369D">
        <w:rPr>
          <w:rFonts w:ascii="Times New Roman" w:eastAsia="Times New Roman" w:hAnsi="Times New Roman" w:cs="Times New Roman"/>
          <w:sz w:val="24"/>
          <w:szCs w:val="24"/>
          <w:lang w:eastAsia="en-GB"/>
        </w:rPr>
        <w:lastRenderedPageBreak/>
        <w:t xml:space="preserve">2022 shows </w:t>
      </w:r>
      <w:r w:rsidR="00176F32" w:rsidRPr="0045369D">
        <w:rPr>
          <w:rFonts w:ascii="Times New Roman" w:eastAsia="Times New Roman" w:hAnsi="Times New Roman" w:cs="Times New Roman"/>
          <w:sz w:val="24"/>
          <w:szCs w:val="24"/>
          <w:lang w:eastAsia="en-GB"/>
        </w:rPr>
        <w:t xml:space="preserve">an </w:t>
      </w:r>
      <w:r w:rsidR="009967F0" w:rsidRPr="0045369D">
        <w:rPr>
          <w:rFonts w:ascii="Times New Roman" w:eastAsia="Times New Roman" w:hAnsi="Times New Roman" w:cs="Times New Roman"/>
          <w:sz w:val="24"/>
          <w:szCs w:val="24"/>
          <w:lang w:eastAsia="en-GB"/>
        </w:rPr>
        <w:t xml:space="preserve">increase in demand and efficiency in inventory management. </w:t>
      </w:r>
      <w:r w:rsidR="00D943B3" w:rsidRPr="0045369D">
        <w:rPr>
          <w:rFonts w:ascii="Times New Roman" w:eastAsia="Times New Roman" w:hAnsi="Times New Roman" w:cs="Times New Roman"/>
          <w:sz w:val="24"/>
          <w:szCs w:val="24"/>
          <w:lang w:eastAsia="en-GB"/>
        </w:rPr>
        <w:t xml:space="preserve">The payable day increases which </w:t>
      </w:r>
      <w:r w:rsidR="0013547D">
        <w:rPr>
          <w:rFonts w:ascii="Times New Roman" w:eastAsia="Times New Roman" w:hAnsi="Times New Roman" w:cs="Times New Roman"/>
          <w:sz w:val="24"/>
          <w:szCs w:val="24"/>
          <w:lang w:eastAsia="en-GB"/>
        </w:rPr>
        <w:t>suggest</w:t>
      </w:r>
      <w:r w:rsidR="00D943B3" w:rsidRPr="0045369D">
        <w:rPr>
          <w:rFonts w:ascii="Times New Roman" w:eastAsia="Times New Roman" w:hAnsi="Times New Roman" w:cs="Times New Roman"/>
          <w:sz w:val="24"/>
          <w:szCs w:val="24"/>
          <w:lang w:eastAsia="en-GB"/>
        </w:rPr>
        <w:t xml:space="preserve"> that the company takes longer days to pay its bills, this is an indication of </w:t>
      </w:r>
      <w:r w:rsidR="0013547D">
        <w:rPr>
          <w:rFonts w:ascii="Times New Roman" w:eastAsia="Times New Roman" w:hAnsi="Times New Roman" w:cs="Times New Roman"/>
          <w:sz w:val="24"/>
          <w:szCs w:val="24"/>
          <w:lang w:eastAsia="en-GB"/>
        </w:rPr>
        <w:t>better working</w:t>
      </w:r>
      <w:r w:rsidR="00D943B3" w:rsidRPr="0045369D">
        <w:rPr>
          <w:rFonts w:ascii="Times New Roman" w:eastAsia="Times New Roman" w:hAnsi="Times New Roman" w:cs="Times New Roman"/>
          <w:sz w:val="24"/>
          <w:szCs w:val="24"/>
          <w:lang w:eastAsia="en-GB"/>
        </w:rPr>
        <w:t xml:space="preserve"> capital management. The receivable day's </w:t>
      </w:r>
      <w:r w:rsidR="009967F0" w:rsidRPr="0045369D">
        <w:rPr>
          <w:rFonts w:ascii="Times New Roman" w:eastAsia="Times New Roman" w:hAnsi="Times New Roman" w:cs="Times New Roman"/>
          <w:sz w:val="24"/>
          <w:szCs w:val="24"/>
          <w:lang w:eastAsia="en-GB"/>
        </w:rPr>
        <w:t>value remained fairly c</w:t>
      </w:r>
      <w:r w:rsidR="00D943B3" w:rsidRPr="0045369D">
        <w:rPr>
          <w:rFonts w:ascii="Times New Roman" w:eastAsia="Times New Roman" w:hAnsi="Times New Roman" w:cs="Times New Roman"/>
          <w:sz w:val="24"/>
          <w:szCs w:val="24"/>
          <w:lang w:eastAsia="en-GB"/>
        </w:rPr>
        <w:t xml:space="preserve">onsistent between 2021 and 2022, indicating </w:t>
      </w:r>
      <w:r w:rsidR="008B0A8B" w:rsidRPr="0045369D">
        <w:rPr>
          <w:rFonts w:ascii="Times New Roman" w:eastAsia="Times New Roman" w:hAnsi="Times New Roman" w:cs="Times New Roman"/>
          <w:sz w:val="24"/>
          <w:szCs w:val="24"/>
          <w:lang w:eastAsia="en-GB"/>
        </w:rPr>
        <w:t>stable cash inflows</w:t>
      </w:r>
      <w:r w:rsidR="00000FCD" w:rsidRPr="0045369D">
        <w:rPr>
          <w:rFonts w:ascii="Times New Roman" w:eastAsia="Times New Roman" w:hAnsi="Times New Roman" w:cs="Times New Roman"/>
          <w:sz w:val="24"/>
          <w:szCs w:val="24"/>
          <w:lang w:eastAsia="en-GB"/>
        </w:rPr>
        <w:t>.</w:t>
      </w:r>
      <w:r w:rsidR="008B0A8B" w:rsidRPr="0045369D">
        <w:rPr>
          <w:rFonts w:ascii="Times New Roman" w:eastAsia="Times New Roman" w:hAnsi="Times New Roman" w:cs="Times New Roman"/>
          <w:sz w:val="24"/>
          <w:szCs w:val="24"/>
          <w:lang w:eastAsia="en-GB"/>
        </w:rPr>
        <w:t xml:space="preserve"> </w:t>
      </w:r>
      <w:r w:rsidR="00DF199E" w:rsidRPr="0045369D">
        <w:rPr>
          <w:rFonts w:ascii="Times New Roman" w:eastAsia="Times New Roman" w:hAnsi="Times New Roman" w:cs="Times New Roman"/>
          <w:sz w:val="24"/>
          <w:szCs w:val="24"/>
          <w:lang w:eastAsia="en-GB"/>
        </w:rPr>
        <w:t>The net</w:t>
      </w:r>
      <w:r w:rsidR="008B0A8B" w:rsidRPr="0045369D">
        <w:rPr>
          <w:rFonts w:ascii="Times New Roman" w:eastAsia="Times New Roman" w:hAnsi="Times New Roman" w:cs="Times New Roman"/>
          <w:sz w:val="24"/>
          <w:szCs w:val="24"/>
          <w:lang w:eastAsia="en-GB"/>
        </w:rPr>
        <w:t xml:space="preserve"> trading cycle is </w:t>
      </w:r>
      <w:r w:rsidR="00442207" w:rsidRPr="0045369D">
        <w:rPr>
          <w:rFonts w:ascii="Times New Roman" w:eastAsia="Times New Roman" w:hAnsi="Times New Roman" w:cs="Times New Roman"/>
          <w:sz w:val="24"/>
          <w:szCs w:val="24"/>
          <w:lang w:eastAsia="en-GB"/>
        </w:rPr>
        <w:t>negative,</w:t>
      </w:r>
      <w:r w:rsidR="00DF199E" w:rsidRPr="0045369D">
        <w:rPr>
          <w:rFonts w:ascii="Times New Roman" w:eastAsia="Times New Roman" w:hAnsi="Times New Roman" w:cs="Times New Roman"/>
          <w:sz w:val="24"/>
          <w:szCs w:val="24"/>
          <w:lang w:eastAsia="en-GB"/>
        </w:rPr>
        <w:t xml:space="preserve"> which depicts that the company receives money from its customers faster than it pays its suppliers. The company has a highly efficient working capital structure. </w:t>
      </w:r>
      <w:r w:rsidR="009C4401" w:rsidRPr="0045369D">
        <w:rPr>
          <w:rFonts w:ascii="Times New Roman" w:eastAsia="Times New Roman" w:hAnsi="Times New Roman" w:cs="Times New Roman"/>
          <w:sz w:val="24"/>
          <w:szCs w:val="24"/>
          <w:lang w:eastAsia="en-GB"/>
        </w:rPr>
        <w:t>The decline</w:t>
      </w:r>
      <w:r w:rsidR="00DF199E" w:rsidRPr="0045369D">
        <w:rPr>
          <w:rFonts w:ascii="Times New Roman" w:eastAsia="Times New Roman" w:hAnsi="Times New Roman" w:cs="Times New Roman"/>
          <w:sz w:val="24"/>
          <w:szCs w:val="24"/>
          <w:lang w:eastAsia="en-GB"/>
        </w:rPr>
        <w:t xml:space="preserve"> in the company’s </w:t>
      </w:r>
      <w:r w:rsidR="00DF199E" w:rsidRPr="0045369D">
        <w:rPr>
          <w:rFonts w:ascii="Times New Roman" w:eastAsia="Times New Roman" w:hAnsi="Times New Roman" w:cs="Times New Roman"/>
          <w:color w:val="000000"/>
          <w:sz w:val="24"/>
          <w:szCs w:val="24"/>
        </w:rPr>
        <w:t xml:space="preserve">working capital as a % of sales </w:t>
      </w:r>
      <w:r w:rsidR="009C4401" w:rsidRPr="0045369D">
        <w:rPr>
          <w:rFonts w:ascii="Times New Roman" w:eastAsia="Times New Roman" w:hAnsi="Times New Roman" w:cs="Times New Roman"/>
          <w:color w:val="000000"/>
          <w:sz w:val="24"/>
          <w:szCs w:val="24"/>
        </w:rPr>
        <w:t xml:space="preserve">is an indication that Apple </w:t>
      </w:r>
      <w:r w:rsidR="00DF199E" w:rsidRPr="0045369D">
        <w:rPr>
          <w:rFonts w:ascii="Times New Roman" w:eastAsia="Times New Roman" w:hAnsi="Times New Roman" w:cs="Times New Roman"/>
          <w:sz w:val="24"/>
          <w:szCs w:val="24"/>
          <w:lang w:eastAsia="en-GB"/>
        </w:rPr>
        <w:t>does not have enough working capital relative to its sales.</w:t>
      </w:r>
      <w:r w:rsidR="009C4401" w:rsidRPr="0045369D">
        <w:rPr>
          <w:rFonts w:ascii="Times New Roman" w:eastAsia="Times New Roman" w:hAnsi="Times New Roman" w:cs="Times New Roman"/>
          <w:sz w:val="24"/>
          <w:szCs w:val="24"/>
          <w:lang w:eastAsia="en-GB"/>
        </w:rPr>
        <w:t xml:space="preserve"> Similarly, </w:t>
      </w:r>
      <w:r w:rsidR="009C4401" w:rsidRPr="0045369D">
        <w:rPr>
          <w:rFonts w:ascii="Times New Roman" w:eastAsia="Times New Roman" w:hAnsi="Times New Roman" w:cs="Times New Roman"/>
          <w:color w:val="000000"/>
          <w:sz w:val="24"/>
          <w:szCs w:val="24"/>
        </w:rPr>
        <w:t xml:space="preserve">working capital decreases, this shows that the company </w:t>
      </w:r>
      <w:r w:rsidR="007C08F9" w:rsidRPr="0045369D">
        <w:rPr>
          <w:rFonts w:ascii="Times New Roman" w:eastAsia="Times New Roman" w:hAnsi="Times New Roman" w:cs="Times New Roman"/>
          <w:color w:val="000000"/>
          <w:sz w:val="24"/>
          <w:szCs w:val="24"/>
        </w:rPr>
        <w:t>relies</w:t>
      </w:r>
      <w:r w:rsidR="009C4401" w:rsidRPr="0045369D">
        <w:rPr>
          <w:rFonts w:ascii="Times New Roman" w:eastAsia="Times New Roman" w:hAnsi="Times New Roman" w:cs="Times New Roman"/>
          <w:color w:val="000000"/>
          <w:sz w:val="24"/>
          <w:szCs w:val="24"/>
        </w:rPr>
        <w:t xml:space="preserve"> less on working capital to generate its sales.</w:t>
      </w:r>
    </w:p>
    <w:p w14:paraId="4DC056E2" w14:textId="6C055E77" w:rsidR="006046CB" w:rsidRPr="0045369D" w:rsidRDefault="001F4940" w:rsidP="00434D2A">
      <w:pPr>
        <w:rPr>
          <w:rFonts w:ascii="Times New Roman" w:hAnsi="Times New Roman" w:cs="Times New Roman"/>
          <w:b/>
          <w:bCs/>
          <w:sz w:val="24"/>
          <w:szCs w:val="24"/>
        </w:rPr>
      </w:pPr>
      <w:r w:rsidRPr="0045369D">
        <w:rPr>
          <w:rFonts w:ascii="Times New Roman" w:hAnsi="Times New Roman" w:cs="Times New Roman"/>
          <w:b/>
          <w:bCs/>
          <w:sz w:val="24"/>
          <w:szCs w:val="24"/>
        </w:rPr>
        <w:t xml:space="preserve">2. </w:t>
      </w:r>
      <w:r w:rsidR="0088214A" w:rsidRPr="0045369D">
        <w:rPr>
          <w:rFonts w:ascii="Times New Roman" w:hAnsi="Times New Roman" w:cs="Times New Roman"/>
          <w:b/>
          <w:bCs/>
          <w:sz w:val="24"/>
          <w:szCs w:val="24"/>
        </w:rPr>
        <w:t>Profitability Ratio</w:t>
      </w:r>
    </w:p>
    <w:p w14:paraId="48C5FAD7" w14:textId="4DE5AA28" w:rsidR="00A351AA" w:rsidRPr="0045369D" w:rsidRDefault="0045369D" w:rsidP="00434D2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val="en-GB"/>
        </w:rPr>
      </w:pPr>
      <w:r w:rsidRPr="0045369D">
        <w:rPr>
          <w:rFonts w:ascii="Times New Roman" w:hAnsi="Times New Roman" w:cs="Times New Roman"/>
          <w:sz w:val="24"/>
          <w:szCs w:val="24"/>
        </w:rPr>
        <w:object w:dxaOrig="10095" w:dyaOrig="9181" w14:anchorId="15D95316">
          <v:shape id="_x0000_i1026" type="#_x0000_t75" style="width:468pt;height:245.25pt" o:ole="">
            <v:imagedata r:id="rId9" o:title=""/>
          </v:shape>
          <o:OLEObject Type="Embed" ProgID="EViews.Workfile.2" ShapeID="_x0000_i1026" DrawAspect="Content" ObjectID="_1787828362" r:id="rId10"/>
        </w:object>
      </w:r>
      <w:r w:rsidR="0088214A" w:rsidRPr="0045369D">
        <w:rPr>
          <w:rFonts w:ascii="Times New Roman" w:hAnsi="Times New Roman" w:cs="Times New Roman"/>
          <w:b/>
          <w:bCs/>
          <w:sz w:val="24"/>
          <w:szCs w:val="24"/>
        </w:rPr>
        <w:fldChar w:fldCharType="begin"/>
      </w:r>
      <w:r w:rsidR="0088214A" w:rsidRPr="0045369D">
        <w:rPr>
          <w:rFonts w:ascii="Times New Roman" w:hAnsi="Times New Roman" w:cs="Times New Roman"/>
          <w:b/>
          <w:bCs/>
          <w:sz w:val="24"/>
          <w:szCs w:val="24"/>
        </w:rPr>
        <w:instrText xml:space="preserve"> LINK </w:instrText>
      </w:r>
      <w:r w:rsidR="0013547D">
        <w:rPr>
          <w:rFonts w:ascii="Times New Roman" w:hAnsi="Times New Roman" w:cs="Times New Roman"/>
          <w:b/>
          <w:bCs/>
          <w:sz w:val="24"/>
          <w:szCs w:val="24"/>
        </w:rPr>
        <w:instrText xml:space="preserve">Excel.Sheet.12 "C:\\Users\\HP\\Desktop\\1724922617_Task 1 Ratio Calculations (1).xlsx" "List of Ratios!R16C2:R22C5" </w:instrText>
      </w:r>
      <w:r w:rsidR="0088214A" w:rsidRPr="0045369D">
        <w:rPr>
          <w:rFonts w:ascii="Times New Roman" w:hAnsi="Times New Roman" w:cs="Times New Roman"/>
          <w:b/>
          <w:bCs/>
          <w:sz w:val="24"/>
          <w:szCs w:val="24"/>
        </w:rPr>
        <w:instrText xml:space="preserve">\a \f 5 \h  \* MERGEFORMAT </w:instrText>
      </w:r>
      <w:r w:rsidR="0088214A" w:rsidRPr="0045369D">
        <w:rPr>
          <w:rFonts w:ascii="Times New Roman" w:hAnsi="Times New Roman" w:cs="Times New Roman"/>
          <w:b/>
          <w:bCs/>
          <w:sz w:val="24"/>
          <w:szCs w:val="24"/>
        </w:rPr>
        <w:fldChar w:fldCharType="separate"/>
      </w:r>
    </w:p>
    <w:p w14:paraId="309700E0" w14:textId="77777777" w:rsidR="0088214A" w:rsidRPr="0045369D" w:rsidRDefault="0088214A" w:rsidP="00434D2A">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45369D">
        <w:rPr>
          <w:rFonts w:ascii="Times New Roman" w:hAnsi="Times New Roman" w:cs="Times New Roman"/>
          <w:b/>
          <w:bCs/>
          <w:sz w:val="24"/>
          <w:szCs w:val="24"/>
        </w:rPr>
        <w:fldChar w:fldCharType="end"/>
      </w:r>
    </w:p>
    <w:p w14:paraId="2C0969F1" w14:textId="77777777" w:rsidR="00D84014" w:rsidRPr="0045369D" w:rsidRDefault="00D84014" w:rsidP="00434D2A">
      <w:pPr>
        <w:rPr>
          <w:rFonts w:ascii="Times New Roman" w:hAnsi="Times New Roman" w:cs="Times New Roman"/>
          <w:sz w:val="24"/>
          <w:szCs w:val="24"/>
        </w:rPr>
      </w:pPr>
      <w:r w:rsidRPr="0045369D">
        <w:rPr>
          <w:rFonts w:ascii="Times New Roman" w:hAnsi="Times New Roman" w:cs="Times New Roman"/>
          <w:sz w:val="24"/>
          <w:szCs w:val="24"/>
        </w:rPr>
        <w:t>Figure 2</w:t>
      </w:r>
    </w:p>
    <w:p w14:paraId="003210DB" w14:textId="4D9AD970" w:rsidR="00D84014" w:rsidRPr="0045369D" w:rsidRDefault="00D84014" w:rsidP="00434D2A">
      <w:pPr>
        <w:jc w:val="both"/>
        <w:rPr>
          <w:rFonts w:ascii="Times New Roman" w:hAnsi="Times New Roman" w:cs="Times New Roman"/>
          <w:bCs/>
          <w:sz w:val="24"/>
          <w:szCs w:val="24"/>
        </w:rPr>
      </w:pPr>
      <w:r w:rsidRPr="0045369D">
        <w:rPr>
          <w:rFonts w:ascii="Times New Roman" w:hAnsi="Times New Roman" w:cs="Times New Roman"/>
          <w:bCs/>
          <w:sz w:val="24"/>
          <w:szCs w:val="24"/>
        </w:rPr>
        <w:t xml:space="preserve">The ratios used here to measure profitability are gross margin, EBITDA margin, EBITDA, EBIT margin, EBIT, and Net margin from 2020 to 2022. A line graph is used to illustrate each ratio. The gross profit of the company consistently improved from 2020 to 2022. This indicates that Apple’s efficiency in managing its production costs increased. The net margin rises from 2020 to </w:t>
      </w:r>
      <w:r w:rsidR="00442207" w:rsidRPr="0045369D">
        <w:rPr>
          <w:rFonts w:ascii="Times New Roman" w:hAnsi="Times New Roman" w:cs="Times New Roman"/>
          <w:bCs/>
          <w:sz w:val="24"/>
          <w:szCs w:val="24"/>
        </w:rPr>
        <w:t>2021,</w:t>
      </w:r>
      <w:r w:rsidRPr="0045369D">
        <w:rPr>
          <w:rFonts w:ascii="Times New Roman" w:hAnsi="Times New Roman" w:cs="Times New Roman"/>
          <w:bCs/>
          <w:sz w:val="24"/>
          <w:szCs w:val="24"/>
        </w:rPr>
        <w:t xml:space="preserve"> but a slight drop occurred in 2022, which might be a rise in expenses or some other costs in 2022. The high value of </w:t>
      </w:r>
      <w:r w:rsidR="00442207" w:rsidRPr="0045369D">
        <w:rPr>
          <w:rFonts w:ascii="Times New Roman" w:hAnsi="Times New Roman" w:cs="Times New Roman"/>
          <w:bCs/>
          <w:sz w:val="24"/>
          <w:szCs w:val="24"/>
        </w:rPr>
        <w:t>the net</w:t>
      </w:r>
      <w:r w:rsidRPr="0045369D">
        <w:rPr>
          <w:rFonts w:ascii="Times New Roman" w:hAnsi="Times New Roman" w:cs="Times New Roman"/>
          <w:bCs/>
          <w:sz w:val="24"/>
          <w:szCs w:val="24"/>
        </w:rPr>
        <w:t xml:space="preserve"> margin shows that the company is making </w:t>
      </w:r>
      <w:r w:rsidR="00E25627" w:rsidRPr="0045369D">
        <w:rPr>
          <w:rFonts w:ascii="Times New Roman" w:hAnsi="Times New Roman" w:cs="Times New Roman"/>
          <w:bCs/>
          <w:sz w:val="24"/>
          <w:szCs w:val="24"/>
        </w:rPr>
        <w:t xml:space="preserve">a </w:t>
      </w:r>
      <w:r w:rsidRPr="0045369D">
        <w:rPr>
          <w:rFonts w:ascii="Times New Roman" w:hAnsi="Times New Roman" w:cs="Times New Roman"/>
          <w:bCs/>
          <w:sz w:val="24"/>
          <w:szCs w:val="24"/>
        </w:rPr>
        <w:t xml:space="preserve">profit with the ability </w:t>
      </w:r>
      <w:r w:rsidR="00E25627" w:rsidRPr="0045369D">
        <w:rPr>
          <w:rFonts w:ascii="Times New Roman" w:hAnsi="Times New Roman" w:cs="Times New Roman"/>
          <w:bCs/>
          <w:sz w:val="24"/>
          <w:szCs w:val="24"/>
        </w:rPr>
        <w:t>to convert</w:t>
      </w:r>
      <w:r w:rsidRPr="0045369D">
        <w:rPr>
          <w:rFonts w:ascii="Times New Roman" w:hAnsi="Times New Roman" w:cs="Times New Roman"/>
          <w:bCs/>
          <w:sz w:val="24"/>
          <w:szCs w:val="24"/>
        </w:rPr>
        <w:t xml:space="preserve"> revenues into actual profits after accounting for operating and non-operating costs. Thus, the constant improvement in gross and net </w:t>
      </w:r>
      <w:r w:rsidR="00E25627" w:rsidRPr="0045369D">
        <w:rPr>
          <w:rFonts w:ascii="Times New Roman" w:hAnsi="Times New Roman" w:cs="Times New Roman"/>
          <w:bCs/>
          <w:sz w:val="24"/>
          <w:szCs w:val="24"/>
        </w:rPr>
        <w:t>margins</w:t>
      </w:r>
      <w:r w:rsidRPr="0045369D">
        <w:rPr>
          <w:rFonts w:ascii="Times New Roman" w:hAnsi="Times New Roman" w:cs="Times New Roman"/>
          <w:bCs/>
          <w:sz w:val="24"/>
          <w:szCs w:val="24"/>
        </w:rPr>
        <w:t xml:space="preserve"> suggests that the company has been successful in managing its production </w:t>
      </w:r>
      <w:r w:rsidR="00442207" w:rsidRPr="0045369D">
        <w:rPr>
          <w:rFonts w:ascii="Times New Roman" w:hAnsi="Times New Roman" w:cs="Times New Roman"/>
          <w:bCs/>
          <w:sz w:val="24"/>
          <w:szCs w:val="24"/>
        </w:rPr>
        <w:t>costs</w:t>
      </w:r>
      <w:r w:rsidRPr="0045369D">
        <w:rPr>
          <w:rFonts w:ascii="Times New Roman" w:hAnsi="Times New Roman" w:cs="Times New Roman"/>
          <w:bCs/>
          <w:sz w:val="24"/>
          <w:szCs w:val="24"/>
        </w:rPr>
        <w:t xml:space="preserve">, and expenses associated </w:t>
      </w:r>
      <w:r w:rsidR="00A351AA" w:rsidRPr="0045369D">
        <w:rPr>
          <w:rFonts w:ascii="Times New Roman" w:hAnsi="Times New Roman" w:cs="Times New Roman"/>
          <w:bCs/>
          <w:sz w:val="24"/>
          <w:szCs w:val="24"/>
        </w:rPr>
        <w:t>with</w:t>
      </w:r>
      <w:r w:rsidRPr="0045369D">
        <w:rPr>
          <w:rFonts w:ascii="Times New Roman" w:hAnsi="Times New Roman" w:cs="Times New Roman"/>
          <w:bCs/>
          <w:sz w:val="24"/>
          <w:szCs w:val="24"/>
        </w:rPr>
        <w:t xml:space="preserve"> its production. The line graph of EBIT (Earnings before Interest and Taxes) shows </w:t>
      </w:r>
      <w:r w:rsidR="00E25627" w:rsidRPr="0045369D">
        <w:rPr>
          <w:rFonts w:ascii="Times New Roman" w:hAnsi="Times New Roman" w:cs="Times New Roman"/>
          <w:bCs/>
          <w:sz w:val="24"/>
          <w:szCs w:val="24"/>
        </w:rPr>
        <w:t xml:space="preserve">a </w:t>
      </w:r>
      <w:r w:rsidRPr="0045369D">
        <w:rPr>
          <w:rFonts w:ascii="Times New Roman" w:hAnsi="Times New Roman" w:cs="Times New Roman"/>
          <w:bCs/>
          <w:sz w:val="24"/>
          <w:szCs w:val="24"/>
        </w:rPr>
        <w:t xml:space="preserve">significant increase from 2020 to </w:t>
      </w:r>
      <w:r w:rsidR="00442207" w:rsidRPr="0045369D">
        <w:rPr>
          <w:rFonts w:ascii="Times New Roman" w:hAnsi="Times New Roman" w:cs="Times New Roman"/>
          <w:bCs/>
          <w:sz w:val="24"/>
          <w:szCs w:val="24"/>
        </w:rPr>
        <w:t>2021,</w:t>
      </w:r>
      <w:r w:rsidRPr="0045369D">
        <w:rPr>
          <w:rFonts w:ascii="Times New Roman" w:hAnsi="Times New Roman" w:cs="Times New Roman"/>
          <w:bCs/>
          <w:sz w:val="24"/>
          <w:szCs w:val="24"/>
        </w:rPr>
        <w:t xml:space="preserve"> but this decreases slightly in 2022. This decrease indicates that there is no growth in that period. This may also </w:t>
      </w:r>
      <w:r w:rsidR="00E25627" w:rsidRPr="0045369D">
        <w:rPr>
          <w:rFonts w:ascii="Times New Roman" w:hAnsi="Times New Roman" w:cs="Times New Roman"/>
          <w:bCs/>
          <w:sz w:val="24"/>
          <w:szCs w:val="24"/>
        </w:rPr>
        <w:t>suggest</w:t>
      </w:r>
      <w:r w:rsidRPr="0045369D">
        <w:rPr>
          <w:rFonts w:ascii="Times New Roman" w:hAnsi="Times New Roman" w:cs="Times New Roman"/>
          <w:bCs/>
          <w:sz w:val="24"/>
          <w:szCs w:val="24"/>
        </w:rPr>
        <w:t xml:space="preserve"> that the company faced dwindling revenue growth or higher costs, preventing the firm </w:t>
      </w:r>
      <w:r w:rsidRPr="0045369D">
        <w:rPr>
          <w:rFonts w:ascii="Times New Roman" w:hAnsi="Times New Roman" w:cs="Times New Roman"/>
          <w:bCs/>
          <w:sz w:val="24"/>
          <w:szCs w:val="24"/>
        </w:rPr>
        <w:lastRenderedPageBreak/>
        <w:t xml:space="preserve">from increasing its EBIT. In the same vein, EBIT Margin, EBITDA (Earnings before Interest, Taxes, Depreciation, and Amortization), and EBITDA Margin increase in 2021 but decrease slightly in 2022. The decrease in these ratios is still higher than the figures in 2020 which signifies that the company </w:t>
      </w:r>
      <w:r w:rsidR="00A351AA" w:rsidRPr="0045369D">
        <w:rPr>
          <w:rFonts w:ascii="Times New Roman" w:hAnsi="Times New Roman" w:cs="Times New Roman"/>
          <w:bCs/>
          <w:sz w:val="24"/>
          <w:szCs w:val="24"/>
        </w:rPr>
        <w:t>can</w:t>
      </w:r>
      <w:r w:rsidRPr="0045369D">
        <w:rPr>
          <w:rFonts w:ascii="Times New Roman" w:hAnsi="Times New Roman" w:cs="Times New Roman"/>
          <w:bCs/>
          <w:sz w:val="24"/>
          <w:szCs w:val="24"/>
        </w:rPr>
        <w:t xml:space="preserve"> maintain a substantial amount of its revenue as operating profit after the decrease. Conclusively, figure 2 shows that the company is efficient in managing its costs with strong underlying business performance.</w:t>
      </w:r>
    </w:p>
    <w:p w14:paraId="1BBD4DEB" w14:textId="3D91FA4C" w:rsidR="0088214A" w:rsidRPr="0045369D" w:rsidRDefault="001F4940" w:rsidP="00434D2A">
      <w:pPr>
        <w:spacing w:line="240" w:lineRule="auto"/>
        <w:rPr>
          <w:rFonts w:ascii="Times New Roman" w:eastAsia="Times New Roman" w:hAnsi="Times New Roman" w:cs="Times New Roman"/>
          <w:b/>
          <w:bCs/>
          <w:color w:val="000000"/>
          <w:sz w:val="24"/>
          <w:szCs w:val="24"/>
        </w:rPr>
      </w:pPr>
      <w:r w:rsidRPr="0045369D">
        <w:rPr>
          <w:rFonts w:ascii="Times New Roman" w:eastAsia="Times New Roman" w:hAnsi="Times New Roman" w:cs="Times New Roman"/>
          <w:b/>
          <w:bCs/>
          <w:color w:val="000000"/>
          <w:sz w:val="24"/>
          <w:szCs w:val="24"/>
        </w:rPr>
        <w:t xml:space="preserve">3. </w:t>
      </w:r>
      <w:r w:rsidR="0088214A" w:rsidRPr="0045369D">
        <w:rPr>
          <w:rFonts w:ascii="Times New Roman" w:eastAsia="Times New Roman" w:hAnsi="Times New Roman" w:cs="Times New Roman"/>
          <w:b/>
          <w:bCs/>
          <w:color w:val="000000"/>
          <w:sz w:val="24"/>
          <w:szCs w:val="24"/>
        </w:rPr>
        <w:t>Solvency/ debt management</w:t>
      </w:r>
    </w:p>
    <w:p w14:paraId="4862F83B" w14:textId="2777EE54" w:rsidR="00E25627" w:rsidRPr="0045369D" w:rsidRDefault="0045369D" w:rsidP="00434D2A">
      <w:pPr>
        <w:pBdr>
          <w:top w:val="single" w:sz="4" w:space="1" w:color="auto"/>
          <w:left w:val="single" w:sz="4" w:space="4" w:color="auto"/>
          <w:bottom w:val="single" w:sz="4" w:space="1" w:color="auto"/>
          <w:right w:val="single" w:sz="4" w:space="4" w:color="auto"/>
        </w:pBdr>
        <w:spacing w:line="240" w:lineRule="auto"/>
        <w:rPr>
          <w:rFonts w:ascii="Times New Roman" w:eastAsia="Times New Roman" w:hAnsi="Times New Roman" w:cs="Times New Roman"/>
          <w:b/>
          <w:bCs/>
          <w:color w:val="000000"/>
          <w:sz w:val="24"/>
          <w:szCs w:val="24"/>
        </w:rPr>
      </w:pPr>
      <w:r w:rsidRPr="0045369D">
        <w:rPr>
          <w:rFonts w:ascii="Times New Roman" w:hAnsi="Times New Roman" w:cs="Times New Roman"/>
          <w:sz w:val="24"/>
          <w:szCs w:val="24"/>
        </w:rPr>
        <w:object w:dxaOrig="10216" w:dyaOrig="6046" w14:anchorId="1A60DF1D">
          <v:shape id="_x0000_i1027" type="#_x0000_t75" style="width:468pt;height:301.5pt" o:ole="">
            <v:imagedata r:id="rId11" o:title=""/>
          </v:shape>
          <o:OLEObject Type="Embed" ProgID="EViews.Workfile.2" ShapeID="_x0000_i1027" DrawAspect="Content" ObjectID="_1787828363" r:id="rId12"/>
        </w:object>
      </w:r>
    </w:p>
    <w:p w14:paraId="5573CDA0" w14:textId="4D36E970" w:rsidR="00A351AA" w:rsidRPr="0045369D" w:rsidRDefault="00E25627" w:rsidP="00A351AA">
      <w:pPr>
        <w:rPr>
          <w:rFonts w:ascii="Times New Roman" w:hAnsi="Times New Roman" w:cs="Times New Roman"/>
          <w:sz w:val="24"/>
          <w:szCs w:val="24"/>
        </w:rPr>
      </w:pPr>
      <w:r w:rsidRPr="0045369D">
        <w:rPr>
          <w:rFonts w:ascii="Times New Roman" w:hAnsi="Times New Roman" w:cs="Times New Roman"/>
          <w:sz w:val="24"/>
          <w:szCs w:val="24"/>
        </w:rPr>
        <w:t>Figure 3</w:t>
      </w:r>
      <w:r w:rsidR="0088214A" w:rsidRPr="0045369D">
        <w:rPr>
          <w:rFonts w:ascii="Times New Roman" w:hAnsi="Times New Roman" w:cs="Times New Roman"/>
          <w:sz w:val="24"/>
          <w:szCs w:val="24"/>
        </w:rPr>
        <w:fldChar w:fldCharType="begin"/>
      </w:r>
      <w:r w:rsidR="0088214A" w:rsidRPr="0045369D">
        <w:rPr>
          <w:rFonts w:ascii="Times New Roman" w:hAnsi="Times New Roman" w:cs="Times New Roman"/>
          <w:sz w:val="24"/>
          <w:szCs w:val="24"/>
        </w:rPr>
        <w:instrText xml:space="preserve"> LINK </w:instrText>
      </w:r>
      <w:r w:rsidR="0013547D">
        <w:rPr>
          <w:rFonts w:ascii="Times New Roman" w:hAnsi="Times New Roman" w:cs="Times New Roman"/>
          <w:sz w:val="24"/>
          <w:szCs w:val="24"/>
        </w:rPr>
        <w:instrText xml:space="preserve">Excel.Sheet.12 "C:\\Users\\HP\\Desktop\\1724922617_Task 1 Ratio Calculations (1).xlsx" "List of Ratios!R24C2:R31C5" </w:instrText>
      </w:r>
      <w:r w:rsidR="0088214A" w:rsidRPr="0045369D">
        <w:rPr>
          <w:rFonts w:ascii="Times New Roman" w:hAnsi="Times New Roman" w:cs="Times New Roman"/>
          <w:sz w:val="24"/>
          <w:szCs w:val="24"/>
        </w:rPr>
        <w:instrText xml:space="preserve">\a \f 5 \h  \* MERGEFORMAT </w:instrText>
      </w:r>
      <w:r w:rsidR="0088214A" w:rsidRPr="0045369D">
        <w:rPr>
          <w:rFonts w:ascii="Times New Roman" w:hAnsi="Times New Roman" w:cs="Times New Roman"/>
          <w:sz w:val="24"/>
          <w:szCs w:val="24"/>
        </w:rPr>
        <w:fldChar w:fldCharType="separate"/>
      </w:r>
    </w:p>
    <w:p w14:paraId="47B78D4B" w14:textId="2B7F5C7C" w:rsidR="00DC2BBC" w:rsidRPr="0045369D" w:rsidRDefault="0088214A" w:rsidP="00434D2A">
      <w:pPr>
        <w:jc w:val="both"/>
        <w:rPr>
          <w:rFonts w:ascii="Times New Roman" w:eastAsia="Times New Roman" w:hAnsi="Times New Roman" w:cs="Times New Roman"/>
          <w:sz w:val="24"/>
          <w:szCs w:val="24"/>
          <w:lang w:val="en-GB" w:eastAsia="en-GB"/>
        </w:rPr>
      </w:pPr>
      <w:r w:rsidRPr="0045369D">
        <w:rPr>
          <w:rFonts w:ascii="Times New Roman" w:hAnsi="Times New Roman" w:cs="Times New Roman"/>
          <w:sz w:val="24"/>
          <w:szCs w:val="24"/>
        </w:rPr>
        <w:fldChar w:fldCharType="end"/>
      </w:r>
      <w:r w:rsidR="00DD7546" w:rsidRPr="0045369D">
        <w:rPr>
          <w:rFonts w:ascii="Times New Roman" w:hAnsi="Times New Roman" w:cs="Times New Roman"/>
          <w:sz w:val="24"/>
          <w:szCs w:val="24"/>
        </w:rPr>
        <w:t xml:space="preserve">Figure 3 above provides the </w:t>
      </w:r>
      <w:r w:rsidR="00DD7546" w:rsidRPr="0045369D">
        <w:rPr>
          <w:rFonts w:ascii="Times New Roman" w:eastAsia="Times New Roman" w:hAnsi="Times New Roman" w:cs="Times New Roman"/>
          <w:sz w:val="24"/>
          <w:szCs w:val="24"/>
          <w:lang w:val="en-GB" w:eastAsia="en-GB"/>
        </w:rPr>
        <w:t xml:space="preserve">solvency and debt management ratios illustrated by </w:t>
      </w:r>
      <w:r w:rsidR="00B6687C" w:rsidRPr="0045369D">
        <w:rPr>
          <w:rFonts w:ascii="Times New Roman" w:eastAsia="Times New Roman" w:hAnsi="Times New Roman" w:cs="Times New Roman"/>
          <w:sz w:val="24"/>
          <w:szCs w:val="24"/>
          <w:lang w:val="en-GB" w:eastAsia="en-GB"/>
        </w:rPr>
        <w:t xml:space="preserve">a </w:t>
      </w:r>
      <w:r w:rsidR="001A0E49" w:rsidRPr="0045369D">
        <w:rPr>
          <w:rFonts w:ascii="Times New Roman" w:eastAsia="Times New Roman" w:hAnsi="Times New Roman" w:cs="Times New Roman"/>
          <w:sz w:val="24"/>
          <w:szCs w:val="24"/>
          <w:lang w:val="en-GB" w:eastAsia="en-GB"/>
        </w:rPr>
        <w:t xml:space="preserve">bubble plot. The value of debt to equity (D/E), and debt to total assets, increases from 2020 to 2022. </w:t>
      </w:r>
      <w:r w:rsidR="00C96714" w:rsidRPr="0045369D">
        <w:rPr>
          <w:rFonts w:ascii="Times New Roman" w:eastAsia="Times New Roman" w:hAnsi="Times New Roman" w:cs="Times New Roman"/>
          <w:sz w:val="24"/>
          <w:szCs w:val="24"/>
          <w:lang w:val="en-GB" w:eastAsia="en-GB"/>
        </w:rPr>
        <w:t xml:space="preserve">This trend </w:t>
      </w:r>
      <w:r w:rsidR="001A0E49" w:rsidRPr="0045369D">
        <w:rPr>
          <w:rFonts w:ascii="Times New Roman" w:eastAsia="Times New Roman" w:hAnsi="Times New Roman" w:cs="Times New Roman"/>
          <w:sz w:val="24"/>
          <w:szCs w:val="24"/>
          <w:lang w:val="en-GB" w:eastAsia="en-GB"/>
        </w:rPr>
        <w:t>implies that the company relies on debt financing, which might connote</w:t>
      </w:r>
      <w:r w:rsidR="00C96714" w:rsidRPr="0045369D">
        <w:rPr>
          <w:rFonts w:ascii="Times New Roman" w:eastAsia="Times New Roman" w:hAnsi="Times New Roman" w:cs="Times New Roman"/>
          <w:sz w:val="24"/>
          <w:szCs w:val="24"/>
          <w:lang w:val="en-GB" w:eastAsia="en-GB"/>
        </w:rPr>
        <w:t xml:space="preserve"> that the company has been taking on more debt to support its</w:t>
      </w:r>
      <w:r w:rsidR="003B532E" w:rsidRPr="0045369D">
        <w:rPr>
          <w:rFonts w:ascii="Times New Roman" w:eastAsia="Times New Roman" w:hAnsi="Times New Roman" w:cs="Times New Roman"/>
          <w:sz w:val="24"/>
          <w:szCs w:val="24"/>
          <w:lang w:val="en-GB" w:eastAsia="en-GB"/>
        </w:rPr>
        <w:t xml:space="preserve"> operational needs and growth</w:t>
      </w:r>
      <w:r w:rsidR="00C96714" w:rsidRPr="0045369D">
        <w:rPr>
          <w:rFonts w:ascii="Times New Roman" w:eastAsia="Times New Roman" w:hAnsi="Times New Roman" w:cs="Times New Roman"/>
          <w:sz w:val="24"/>
          <w:szCs w:val="24"/>
          <w:lang w:val="en-GB" w:eastAsia="en-GB"/>
        </w:rPr>
        <w:t xml:space="preserve">. </w:t>
      </w:r>
      <w:r w:rsidR="003B532E" w:rsidRPr="0045369D">
        <w:rPr>
          <w:rFonts w:ascii="Times New Roman" w:eastAsia="Times New Roman" w:hAnsi="Times New Roman" w:cs="Times New Roman"/>
          <w:sz w:val="24"/>
          <w:szCs w:val="24"/>
          <w:lang w:val="en-GB" w:eastAsia="en-GB"/>
        </w:rPr>
        <w:t xml:space="preserve">Taking more debt for either growth or operational activities in a favourable economic environment can boost the value of the shareholders or this can also </w:t>
      </w:r>
      <w:r w:rsidR="00B6687C" w:rsidRPr="0045369D">
        <w:rPr>
          <w:rFonts w:ascii="Times New Roman" w:eastAsia="Times New Roman" w:hAnsi="Times New Roman" w:cs="Times New Roman"/>
          <w:sz w:val="24"/>
          <w:szCs w:val="24"/>
          <w:lang w:val="en-GB" w:eastAsia="en-GB"/>
        </w:rPr>
        <w:t>increase</w:t>
      </w:r>
      <w:r w:rsidR="003B532E" w:rsidRPr="0045369D">
        <w:rPr>
          <w:rFonts w:ascii="Times New Roman" w:eastAsia="Times New Roman" w:hAnsi="Times New Roman" w:cs="Times New Roman"/>
          <w:sz w:val="24"/>
          <w:szCs w:val="24"/>
          <w:lang w:val="en-GB" w:eastAsia="en-GB"/>
        </w:rPr>
        <w:t xml:space="preserve"> financial risk. As the firm </w:t>
      </w:r>
      <w:r w:rsidR="00B6687C" w:rsidRPr="0045369D">
        <w:rPr>
          <w:rFonts w:ascii="Times New Roman" w:eastAsia="Times New Roman" w:hAnsi="Times New Roman" w:cs="Times New Roman"/>
          <w:sz w:val="24"/>
          <w:szCs w:val="24"/>
          <w:lang w:val="en-GB" w:eastAsia="en-GB"/>
        </w:rPr>
        <w:t>becomes</w:t>
      </w:r>
      <w:r w:rsidR="003B532E" w:rsidRPr="0045369D">
        <w:rPr>
          <w:rFonts w:ascii="Times New Roman" w:eastAsia="Times New Roman" w:hAnsi="Times New Roman" w:cs="Times New Roman"/>
          <w:sz w:val="24"/>
          <w:szCs w:val="24"/>
          <w:lang w:val="en-GB" w:eastAsia="en-GB"/>
        </w:rPr>
        <w:t xml:space="preserve"> more exposed to </w:t>
      </w:r>
      <w:r w:rsidR="00B6687C" w:rsidRPr="0045369D">
        <w:rPr>
          <w:rFonts w:ascii="Times New Roman" w:eastAsia="Times New Roman" w:hAnsi="Times New Roman" w:cs="Times New Roman"/>
          <w:sz w:val="24"/>
          <w:szCs w:val="24"/>
          <w:lang w:val="en-GB" w:eastAsia="en-GB"/>
        </w:rPr>
        <w:t xml:space="preserve">a </w:t>
      </w:r>
      <w:r w:rsidR="003B532E" w:rsidRPr="0045369D">
        <w:rPr>
          <w:rFonts w:ascii="Times New Roman" w:eastAsia="Times New Roman" w:hAnsi="Times New Roman" w:cs="Times New Roman"/>
          <w:sz w:val="24"/>
          <w:szCs w:val="24"/>
          <w:lang w:val="en-GB" w:eastAsia="en-GB"/>
        </w:rPr>
        <w:t xml:space="preserve">rise in interest rate when there is economic turndown. </w:t>
      </w:r>
      <w:r w:rsidR="00C96714" w:rsidRPr="0045369D">
        <w:rPr>
          <w:rFonts w:ascii="Times New Roman" w:eastAsia="Times New Roman" w:hAnsi="Times New Roman" w:cs="Times New Roman"/>
          <w:sz w:val="24"/>
          <w:szCs w:val="24"/>
          <w:lang w:val="en-GB" w:eastAsia="en-GB"/>
        </w:rPr>
        <w:t xml:space="preserve">The </w:t>
      </w:r>
      <w:r w:rsidR="00B6687C" w:rsidRPr="0045369D">
        <w:rPr>
          <w:rFonts w:ascii="Times New Roman" w:eastAsia="Times New Roman" w:hAnsi="Times New Roman" w:cs="Times New Roman"/>
          <w:bCs/>
          <w:sz w:val="24"/>
          <w:szCs w:val="24"/>
          <w:lang w:val="en-GB" w:eastAsia="en-GB"/>
        </w:rPr>
        <w:t>long-term debt-to-capital</w:t>
      </w:r>
      <w:r w:rsidR="00B6687C" w:rsidRPr="0045369D">
        <w:rPr>
          <w:rFonts w:ascii="Times New Roman" w:eastAsia="Times New Roman" w:hAnsi="Times New Roman" w:cs="Times New Roman"/>
          <w:sz w:val="24"/>
          <w:szCs w:val="24"/>
          <w:lang w:val="en-GB" w:eastAsia="en-GB"/>
        </w:rPr>
        <w:t xml:space="preserve"> </w:t>
      </w:r>
      <w:r w:rsidR="00C96714" w:rsidRPr="0045369D">
        <w:rPr>
          <w:rFonts w:ascii="Times New Roman" w:eastAsia="Times New Roman" w:hAnsi="Times New Roman" w:cs="Times New Roman"/>
          <w:sz w:val="24"/>
          <w:szCs w:val="24"/>
          <w:lang w:val="en-GB" w:eastAsia="en-GB"/>
        </w:rPr>
        <w:t xml:space="preserve">ratio </w:t>
      </w:r>
      <w:r w:rsidR="00E95928" w:rsidRPr="0045369D">
        <w:rPr>
          <w:rFonts w:ascii="Times New Roman" w:eastAsia="Times New Roman" w:hAnsi="Times New Roman" w:cs="Times New Roman"/>
          <w:sz w:val="24"/>
          <w:szCs w:val="24"/>
          <w:lang w:val="en-GB" w:eastAsia="en-GB"/>
        </w:rPr>
        <w:t xml:space="preserve">of the company </w:t>
      </w:r>
      <w:r w:rsidR="00B6687C" w:rsidRPr="0045369D">
        <w:rPr>
          <w:rFonts w:ascii="Times New Roman" w:eastAsia="Times New Roman" w:hAnsi="Times New Roman" w:cs="Times New Roman"/>
          <w:sz w:val="24"/>
          <w:szCs w:val="24"/>
          <w:lang w:val="en-GB" w:eastAsia="en-GB"/>
        </w:rPr>
        <w:t>decreased</w:t>
      </w:r>
      <w:r w:rsidR="00E95928" w:rsidRPr="0045369D">
        <w:rPr>
          <w:rFonts w:ascii="Times New Roman" w:eastAsia="Times New Roman" w:hAnsi="Times New Roman" w:cs="Times New Roman"/>
          <w:sz w:val="24"/>
          <w:szCs w:val="24"/>
          <w:lang w:val="en-GB" w:eastAsia="en-GB"/>
        </w:rPr>
        <w:t xml:space="preserve"> </w:t>
      </w:r>
      <w:r w:rsidR="00C96714" w:rsidRPr="0045369D">
        <w:rPr>
          <w:rFonts w:ascii="Times New Roman" w:eastAsia="Times New Roman" w:hAnsi="Times New Roman" w:cs="Times New Roman"/>
          <w:sz w:val="24"/>
          <w:szCs w:val="24"/>
          <w:lang w:val="en-GB" w:eastAsia="en-GB"/>
        </w:rPr>
        <w:t xml:space="preserve">from 3.02 in 2020 to 2.83 in 2021 and further </w:t>
      </w:r>
      <w:r w:rsidR="00B6687C" w:rsidRPr="0045369D">
        <w:rPr>
          <w:rFonts w:ascii="Times New Roman" w:eastAsia="Times New Roman" w:hAnsi="Times New Roman" w:cs="Times New Roman"/>
          <w:sz w:val="24"/>
          <w:szCs w:val="24"/>
          <w:lang w:val="en-GB" w:eastAsia="en-GB"/>
        </w:rPr>
        <w:t>decreased</w:t>
      </w:r>
      <w:r w:rsidR="00E95928" w:rsidRPr="0045369D">
        <w:rPr>
          <w:rFonts w:ascii="Times New Roman" w:eastAsia="Times New Roman" w:hAnsi="Times New Roman" w:cs="Times New Roman"/>
          <w:sz w:val="24"/>
          <w:szCs w:val="24"/>
          <w:lang w:val="en-GB" w:eastAsia="en-GB"/>
        </w:rPr>
        <w:t xml:space="preserve"> to 2.28 in 2022. The chart shows a downward trend which denotes that the firm</w:t>
      </w:r>
      <w:r w:rsidR="00C96714" w:rsidRPr="0045369D">
        <w:rPr>
          <w:rFonts w:ascii="Times New Roman" w:eastAsia="Times New Roman" w:hAnsi="Times New Roman" w:cs="Times New Roman"/>
          <w:sz w:val="24"/>
          <w:szCs w:val="24"/>
          <w:lang w:val="en-GB" w:eastAsia="en-GB"/>
        </w:rPr>
        <w:t xml:space="preserve"> has been actively managing its long-term debt</w:t>
      </w:r>
      <w:r w:rsidR="00E95928" w:rsidRPr="0045369D">
        <w:rPr>
          <w:rFonts w:ascii="Times New Roman" w:eastAsia="Times New Roman" w:hAnsi="Times New Roman" w:cs="Times New Roman"/>
          <w:sz w:val="24"/>
          <w:szCs w:val="24"/>
          <w:lang w:val="en-GB" w:eastAsia="en-GB"/>
        </w:rPr>
        <w:t xml:space="preserve"> in relation to its capital. This may be a result of</w:t>
      </w:r>
      <w:r w:rsidR="00C96714" w:rsidRPr="0045369D">
        <w:rPr>
          <w:rFonts w:ascii="Times New Roman" w:eastAsia="Times New Roman" w:hAnsi="Times New Roman" w:cs="Times New Roman"/>
          <w:sz w:val="24"/>
          <w:szCs w:val="24"/>
          <w:lang w:val="en-GB" w:eastAsia="en-GB"/>
        </w:rPr>
        <w:t xml:space="preserve"> paying off or refinancing</w:t>
      </w:r>
      <w:r w:rsidR="00B6687C" w:rsidRPr="0045369D">
        <w:rPr>
          <w:rFonts w:ascii="Times New Roman" w:eastAsia="Times New Roman" w:hAnsi="Times New Roman" w:cs="Times New Roman"/>
          <w:sz w:val="24"/>
          <w:szCs w:val="24"/>
          <w:lang w:val="en-GB" w:eastAsia="en-GB"/>
        </w:rPr>
        <w:t xml:space="preserve"> high-cost long-term debts</w:t>
      </w:r>
      <w:r w:rsidR="00C96714" w:rsidRPr="0045369D">
        <w:rPr>
          <w:rFonts w:ascii="Times New Roman" w:eastAsia="Times New Roman" w:hAnsi="Times New Roman" w:cs="Times New Roman"/>
          <w:sz w:val="24"/>
          <w:szCs w:val="24"/>
          <w:lang w:val="en-GB" w:eastAsia="en-GB"/>
        </w:rPr>
        <w:t xml:space="preserve">. </w:t>
      </w:r>
      <w:r w:rsidR="00B6687C" w:rsidRPr="0045369D">
        <w:rPr>
          <w:rFonts w:ascii="Times New Roman" w:eastAsia="Times New Roman" w:hAnsi="Times New Roman" w:cs="Times New Roman"/>
          <w:sz w:val="24"/>
          <w:szCs w:val="24"/>
          <w:lang w:val="en-GB" w:eastAsia="en-GB"/>
        </w:rPr>
        <w:t xml:space="preserve">This </w:t>
      </w:r>
      <w:r w:rsidR="00C96714" w:rsidRPr="0045369D">
        <w:rPr>
          <w:rFonts w:ascii="Times New Roman" w:eastAsia="Times New Roman" w:hAnsi="Times New Roman" w:cs="Times New Roman"/>
          <w:sz w:val="24"/>
          <w:szCs w:val="24"/>
          <w:lang w:val="en-GB" w:eastAsia="en-GB"/>
        </w:rPr>
        <w:t xml:space="preserve">can be a positive sign for the company’s long-term financial health, as </w:t>
      </w:r>
      <w:r w:rsidR="00B6687C" w:rsidRPr="0045369D">
        <w:rPr>
          <w:rFonts w:ascii="Times New Roman" w:eastAsia="Times New Roman" w:hAnsi="Times New Roman" w:cs="Times New Roman"/>
          <w:sz w:val="24"/>
          <w:szCs w:val="24"/>
          <w:lang w:val="en-GB" w:eastAsia="en-GB"/>
        </w:rPr>
        <w:t>the burden of paying debts or interest expense are reduced. Furthermore, t</w:t>
      </w:r>
      <w:r w:rsidR="00C96714" w:rsidRPr="0045369D">
        <w:rPr>
          <w:rFonts w:ascii="Times New Roman" w:eastAsia="Times New Roman" w:hAnsi="Times New Roman" w:cs="Times New Roman"/>
          <w:sz w:val="24"/>
          <w:szCs w:val="24"/>
          <w:lang w:val="en-GB" w:eastAsia="en-GB"/>
        </w:rPr>
        <w:t xml:space="preserve">his </w:t>
      </w:r>
      <w:r w:rsidR="00B6687C" w:rsidRPr="0045369D">
        <w:rPr>
          <w:rFonts w:ascii="Times New Roman" w:eastAsia="Times New Roman" w:hAnsi="Times New Roman" w:cs="Times New Roman"/>
          <w:sz w:val="24"/>
          <w:szCs w:val="24"/>
          <w:lang w:val="en-GB" w:eastAsia="en-GB"/>
        </w:rPr>
        <w:t xml:space="preserve">downward </w:t>
      </w:r>
      <w:r w:rsidR="00C96714" w:rsidRPr="0045369D">
        <w:rPr>
          <w:rFonts w:ascii="Times New Roman" w:eastAsia="Times New Roman" w:hAnsi="Times New Roman" w:cs="Times New Roman"/>
          <w:sz w:val="24"/>
          <w:szCs w:val="24"/>
          <w:lang w:val="en-GB" w:eastAsia="en-GB"/>
        </w:rPr>
        <w:t xml:space="preserve">trend </w:t>
      </w:r>
      <w:r w:rsidR="00B6687C" w:rsidRPr="0045369D">
        <w:rPr>
          <w:rFonts w:ascii="Times New Roman" w:eastAsia="Times New Roman" w:hAnsi="Times New Roman" w:cs="Times New Roman"/>
          <w:sz w:val="24"/>
          <w:szCs w:val="24"/>
          <w:lang w:val="en-GB" w:eastAsia="en-GB"/>
        </w:rPr>
        <w:t xml:space="preserve">may connote that the firm focuses on reducing leverage and improving its capital structure relying more on </w:t>
      </w:r>
      <w:r w:rsidR="00B6687C" w:rsidRPr="0045369D">
        <w:rPr>
          <w:rFonts w:ascii="Times New Roman" w:eastAsia="Times New Roman" w:hAnsi="Times New Roman" w:cs="Times New Roman"/>
          <w:sz w:val="24"/>
          <w:szCs w:val="24"/>
          <w:lang w:val="en-GB" w:eastAsia="en-GB"/>
        </w:rPr>
        <w:lastRenderedPageBreak/>
        <w:t>short-term debt and equity.</w:t>
      </w:r>
      <w:r w:rsidR="00B41695" w:rsidRPr="0045369D">
        <w:rPr>
          <w:rFonts w:ascii="Times New Roman" w:eastAsia="Times New Roman" w:hAnsi="Times New Roman" w:cs="Times New Roman"/>
          <w:sz w:val="24"/>
          <w:szCs w:val="24"/>
          <w:lang w:val="en-GB" w:eastAsia="en-GB"/>
        </w:rPr>
        <w:t xml:space="preserve"> </w:t>
      </w:r>
      <w:r w:rsidR="00C96714" w:rsidRPr="0045369D">
        <w:rPr>
          <w:rFonts w:ascii="Times New Roman" w:eastAsia="Times New Roman" w:hAnsi="Times New Roman" w:cs="Times New Roman"/>
          <w:sz w:val="24"/>
          <w:szCs w:val="24"/>
          <w:lang w:val="en-GB" w:eastAsia="en-GB"/>
        </w:rPr>
        <w:t xml:space="preserve">The </w:t>
      </w:r>
      <w:r w:rsidR="00B6687C" w:rsidRPr="0045369D">
        <w:rPr>
          <w:rFonts w:ascii="Times New Roman" w:eastAsia="Times New Roman" w:hAnsi="Times New Roman" w:cs="Times New Roman"/>
          <w:bCs/>
          <w:sz w:val="24"/>
          <w:szCs w:val="24"/>
          <w:lang w:val="en-GB" w:eastAsia="en-GB"/>
        </w:rPr>
        <w:t>times interest earned</w:t>
      </w:r>
      <w:r w:rsidR="00B6687C" w:rsidRPr="0045369D">
        <w:rPr>
          <w:rFonts w:ascii="Times New Roman" w:eastAsia="Times New Roman" w:hAnsi="Times New Roman" w:cs="Times New Roman"/>
          <w:sz w:val="24"/>
          <w:szCs w:val="24"/>
          <w:lang w:val="en-GB" w:eastAsia="en-GB"/>
        </w:rPr>
        <w:t xml:space="preserve"> </w:t>
      </w:r>
      <w:r w:rsidR="00C96714" w:rsidRPr="0045369D">
        <w:rPr>
          <w:rFonts w:ascii="Times New Roman" w:eastAsia="Times New Roman" w:hAnsi="Times New Roman" w:cs="Times New Roman"/>
          <w:sz w:val="24"/>
          <w:szCs w:val="24"/>
          <w:lang w:val="en-GB" w:eastAsia="en-GB"/>
        </w:rPr>
        <w:t>ratio increased significantly from 23.29 i</w:t>
      </w:r>
      <w:r w:rsidR="00B41695" w:rsidRPr="0045369D">
        <w:rPr>
          <w:rFonts w:ascii="Times New Roman" w:eastAsia="Times New Roman" w:hAnsi="Times New Roman" w:cs="Times New Roman"/>
          <w:sz w:val="24"/>
          <w:szCs w:val="24"/>
          <w:lang w:val="en-GB" w:eastAsia="en-GB"/>
        </w:rPr>
        <w:t>n 2020 to 45.68 in 2021 but slightly decreased</w:t>
      </w:r>
      <w:r w:rsidR="00C96714" w:rsidRPr="0045369D">
        <w:rPr>
          <w:rFonts w:ascii="Times New Roman" w:eastAsia="Times New Roman" w:hAnsi="Times New Roman" w:cs="Times New Roman"/>
          <w:sz w:val="24"/>
          <w:szCs w:val="24"/>
          <w:lang w:val="en-GB" w:eastAsia="en-GB"/>
        </w:rPr>
        <w:t xml:space="preserve"> to 42.67 in 2022. </w:t>
      </w:r>
      <w:r w:rsidR="00B41695" w:rsidRPr="0045369D">
        <w:rPr>
          <w:rFonts w:ascii="Times New Roman" w:eastAsia="Times New Roman" w:hAnsi="Times New Roman" w:cs="Times New Roman"/>
          <w:sz w:val="24"/>
          <w:szCs w:val="24"/>
          <w:lang w:val="en-GB" w:eastAsia="en-GB"/>
        </w:rPr>
        <w:t xml:space="preserve">If this ratio is high there is </w:t>
      </w:r>
      <w:r w:rsidR="00C96714" w:rsidRPr="0045369D">
        <w:rPr>
          <w:rFonts w:ascii="Times New Roman" w:eastAsia="Times New Roman" w:hAnsi="Times New Roman" w:cs="Times New Roman"/>
          <w:sz w:val="24"/>
          <w:szCs w:val="24"/>
          <w:lang w:val="en-GB" w:eastAsia="en-GB"/>
        </w:rPr>
        <w:t xml:space="preserve">a stronger </w:t>
      </w:r>
      <w:r w:rsidR="00B41695" w:rsidRPr="0045369D">
        <w:rPr>
          <w:rFonts w:ascii="Times New Roman" w:eastAsia="Times New Roman" w:hAnsi="Times New Roman" w:cs="Times New Roman"/>
          <w:sz w:val="24"/>
          <w:szCs w:val="24"/>
          <w:lang w:val="en-GB" w:eastAsia="en-GB"/>
        </w:rPr>
        <w:t>indication that the company can</w:t>
      </w:r>
      <w:r w:rsidR="00C96714" w:rsidRPr="0045369D">
        <w:rPr>
          <w:rFonts w:ascii="Times New Roman" w:eastAsia="Times New Roman" w:hAnsi="Times New Roman" w:cs="Times New Roman"/>
          <w:sz w:val="24"/>
          <w:szCs w:val="24"/>
          <w:lang w:val="en-GB" w:eastAsia="en-GB"/>
        </w:rPr>
        <w:t xml:space="preserve"> meet </w:t>
      </w:r>
      <w:r w:rsidR="00B41695" w:rsidRPr="0045369D">
        <w:rPr>
          <w:rFonts w:ascii="Times New Roman" w:eastAsia="Times New Roman" w:hAnsi="Times New Roman" w:cs="Times New Roman"/>
          <w:sz w:val="24"/>
          <w:szCs w:val="24"/>
          <w:lang w:val="en-GB" w:eastAsia="en-GB"/>
        </w:rPr>
        <w:t>up with its interest obligations. This will influence</w:t>
      </w:r>
      <w:r w:rsidR="00C96714" w:rsidRPr="0045369D">
        <w:rPr>
          <w:rFonts w:ascii="Times New Roman" w:eastAsia="Times New Roman" w:hAnsi="Times New Roman" w:cs="Times New Roman"/>
          <w:sz w:val="24"/>
          <w:szCs w:val="24"/>
          <w:lang w:val="en-GB" w:eastAsia="en-GB"/>
        </w:rPr>
        <w:t xml:space="preserve"> </w:t>
      </w:r>
      <w:r w:rsidR="00B41695" w:rsidRPr="0045369D">
        <w:rPr>
          <w:rFonts w:ascii="Times New Roman" w:eastAsia="Times New Roman" w:hAnsi="Times New Roman" w:cs="Times New Roman"/>
          <w:sz w:val="24"/>
          <w:szCs w:val="24"/>
          <w:lang w:val="en-GB" w:eastAsia="en-GB"/>
        </w:rPr>
        <w:t>creditors and investors positively</w:t>
      </w:r>
      <w:r w:rsidR="00C96714" w:rsidRPr="0045369D">
        <w:rPr>
          <w:rFonts w:ascii="Times New Roman" w:eastAsia="Times New Roman" w:hAnsi="Times New Roman" w:cs="Times New Roman"/>
          <w:sz w:val="24"/>
          <w:szCs w:val="24"/>
          <w:lang w:val="en-GB" w:eastAsia="en-GB"/>
        </w:rPr>
        <w:t xml:space="preserve">. The </w:t>
      </w:r>
      <w:r w:rsidR="00FF27DC" w:rsidRPr="0045369D">
        <w:rPr>
          <w:rFonts w:ascii="Times New Roman" w:eastAsia="Times New Roman" w:hAnsi="Times New Roman" w:cs="Times New Roman"/>
          <w:sz w:val="24"/>
          <w:szCs w:val="24"/>
          <w:lang w:val="en-GB" w:eastAsia="en-GB"/>
        </w:rPr>
        <w:t>substantial</w:t>
      </w:r>
      <w:r w:rsidR="00C96714" w:rsidRPr="0045369D">
        <w:rPr>
          <w:rFonts w:ascii="Times New Roman" w:eastAsia="Times New Roman" w:hAnsi="Times New Roman" w:cs="Times New Roman"/>
          <w:sz w:val="24"/>
          <w:szCs w:val="24"/>
          <w:lang w:val="en-GB" w:eastAsia="en-GB"/>
        </w:rPr>
        <w:t xml:space="preserve"> </w:t>
      </w:r>
      <w:r w:rsidR="00FF27DC" w:rsidRPr="0045369D">
        <w:rPr>
          <w:rFonts w:ascii="Times New Roman" w:eastAsia="Times New Roman" w:hAnsi="Times New Roman" w:cs="Times New Roman"/>
          <w:sz w:val="24"/>
          <w:szCs w:val="24"/>
          <w:lang w:val="en-GB" w:eastAsia="en-GB"/>
        </w:rPr>
        <w:t>rise</w:t>
      </w:r>
      <w:r w:rsidR="00C96714" w:rsidRPr="0045369D">
        <w:rPr>
          <w:rFonts w:ascii="Times New Roman" w:eastAsia="Times New Roman" w:hAnsi="Times New Roman" w:cs="Times New Roman"/>
          <w:sz w:val="24"/>
          <w:szCs w:val="24"/>
          <w:lang w:val="en-GB" w:eastAsia="en-GB"/>
        </w:rPr>
        <w:t xml:space="preserve"> in 2021 </w:t>
      </w:r>
      <w:r w:rsidR="00FF27DC" w:rsidRPr="0045369D">
        <w:rPr>
          <w:rFonts w:ascii="Times New Roman" w:eastAsia="Times New Roman" w:hAnsi="Times New Roman" w:cs="Times New Roman"/>
          <w:sz w:val="24"/>
          <w:szCs w:val="24"/>
          <w:lang w:val="en-GB" w:eastAsia="en-GB"/>
        </w:rPr>
        <w:t xml:space="preserve">indicates </w:t>
      </w:r>
      <w:r w:rsidR="00C96714" w:rsidRPr="0045369D">
        <w:rPr>
          <w:rFonts w:ascii="Times New Roman" w:eastAsia="Times New Roman" w:hAnsi="Times New Roman" w:cs="Times New Roman"/>
          <w:sz w:val="24"/>
          <w:szCs w:val="24"/>
          <w:lang w:val="en-GB" w:eastAsia="en-GB"/>
        </w:rPr>
        <w:t xml:space="preserve">that the </w:t>
      </w:r>
      <w:r w:rsidR="00FF27DC" w:rsidRPr="0045369D">
        <w:rPr>
          <w:rFonts w:ascii="Times New Roman" w:eastAsia="Times New Roman" w:hAnsi="Times New Roman" w:cs="Times New Roman"/>
          <w:sz w:val="24"/>
          <w:szCs w:val="24"/>
          <w:lang w:val="en-GB" w:eastAsia="en-GB"/>
        </w:rPr>
        <w:t xml:space="preserve">earnings of the </w:t>
      </w:r>
      <w:r w:rsidR="00B51959" w:rsidRPr="0045369D">
        <w:rPr>
          <w:rFonts w:ascii="Times New Roman" w:eastAsia="Times New Roman" w:hAnsi="Times New Roman" w:cs="Times New Roman"/>
          <w:sz w:val="24"/>
          <w:szCs w:val="24"/>
          <w:lang w:val="en-GB" w:eastAsia="en-GB"/>
        </w:rPr>
        <w:t>company</w:t>
      </w:r>
      <w:r w:rsidR="00C96714" w:rsidRPr="0045369D">
        <w:rPr>
          <w:rFonts w:ascii="Times New Roman" w:eastAsia="Times New Roman" w:hAnsi="Times New Roman" w:cs="Times New Roman"/>
          <w:sz w:val="24"/>
          <w:szCs w:val="24"/>
          <w:lang w:val="en-GB" w:eastAsia="en-GB"/>
        </w:rPr>
        <w:t xml:space="preserve"> </w:t>
      </w:r>
      <w:r w:rsidR="00B51959" w:rsidRPr="0045369D">
        <w:rPr>
          <w:rFonts w:ascii="Times New Roman" w:eastAsia="Times New Roman" w:hAnsi="Times New Roman" w:cs="Times New Roman"/>
          <w:sz w:val="24"/>
          <w:szCs w:val="24"/>
          <w:lang w:val="en-GB" w:eastAsia="en-GB"/>
        </w:rPr>
        <w:t>have grown</w:t>
      </w:r>
      <w:r w:rsidR="00FF27DC" w:rsidRPr="0045369D">
        <w:rPr>
          <w:rFonts w:ascii="Times New Roman" w:eastAsia="Times New Roman" w:hAnsi="Times New Roman" w:cs="Times New Roman"/>
          <w:sz w:val="24"/>
          <w:szCs w:val="24"/>
          <w:lang w:val="en-GB" w:eastAsia="en-GB"/>
        </w:rPr>
        <w:t xml:space="preserve"> significantly </w:t>
      </w:r>
      <w:r w:rsidR="00B51959" w:rsidRPr="0045369D">
        <w:rPr>
          <w:rFonts w:ascii="Times New Roman" w:eastAsia="Times New Roman" w:hAnsi="Times New Roman" w:cs="Times New Roman"/>
          <w:sz w:val="24"/>
          <w:szCs w:val="24"/>
          <w:lang w:val="en-GB" w:eastAsia="en-GB"/>
        </w:rPr>
        <w:t>compared</w:t>
      </w:r>
      <w:r w:rsidR="00C96714" w:rsidRPr="0045369D">
        <w:rPr>
          <w:rFonts w:ascii="Times New Roman" w:eastAsia="Times New Roman" w:hAnsi="Times New Roman" w:cs="Times New Roman"/>
          <w:sz w:val="24"/>
          <w:szCs w:val="24"/>
          <w:lang w:val="en-GB" w:eastAsia="en-GB"/>
        </w:rPr>
        <w:t xml:space="preserve"> to its interest obligations</w:t>
      </w:r>
      <w:r w:rsidR="00FF27DC" w:rsidRPr="0045369D">
        <w:rPr>
          <w:rFonts w:ascii="Times New Roman" w:eastAsia="Times New Roman" w:hAnsi="Times New Roman" w:cs="Times New Roman"/>
          <w:sz w:val="24"/>
          <w:szCs w:val="24"/>
          <w:lang w:val="en-GB" w:eastAsia="en-GB"/>
        </w:rPr>
        <w:t>.</w:t>
      </w:r>
      <w:r w:rsidR="00D7712D" w:rsidRPr="0045369D">
        <w:rPr>
          <w:rFonts w:ascii="Times New Roman" w:eastAsia="Times New Roman" w:hAnsi="Times New Roman" w:cs="Times New Roman"/>
          <w:sz w:val="24"/>
          <w:szCs w:val="24"/>
          <w:lang w:val="en-GB" w:eastAsia="en-GB"/>
        </w:rPr>
        <w:t xml:space="preserve"> This gives</w:t>
      </w:r>
      <w:r w:rsidR="00C96714" w:rsidRPr="0045369D">
        <w:rPr>
          <w:rFonts w:ascii="Times New Roman" w:eastAsia="Times New Roman" w:hAnsi="Times New Roman" w:cs="Times New Roman"/>
          <w:sz w:val="24"/>
          <w:szCs w:val="24"/>
          <w:lang w:val="en-GB" w:eastAsia="en-GB"/>
        </w:rPr>
        <w:t xml:space="preserve"> a </w:t>
      </w:r>
      <w:r w:rsidR="00D7712D" w:rsidRPr="0045369D">
        <w:rPr>
          <w:rFonts w:ascii="Times New Roman" w:eastAsia="Times New Roman" w:hAnsi="Times New Roman" w:cs="Times New Roman"/>
          <w:sz w:val="24"/>
          <w:szCs w:val="24"/>
          <w:lang w:val="en-GB" w:eastAsia="en-GB"/>
        </w:rPr>
        <w:t>favour</w:t>
      </w:r>
      <w:r w:rsidR="00C96714" w:rsidRPr="0045369D">
        <w:rPr>
          <w:rFonts w:ascii="Times New Roman" w:eastAsia="Times New Roman" w:hAnsi="Times New Roman" w:cs="Times New Roman"/>
          <w:sz w:val="24"/>
          <w:szCs w:val="24"/>
          <w:lang w:val="en-GB" w:eastAsia="en-GB"/>
        </w:rPr>
        <w:t xml:space="preserve">able buffer for servicing </w:t>
      </w:r>
      <w:r w:rsidR="00D7712D" w:rsidRPr="0045369D">
        <w:rPr>
          <w:rFonts w:ascii="Times New Roman" w:eastAsia="Times New Roman" w:hAnsi="Times New Roman" w:cs="Times New Roman"/>
          <w:sz w:val="24"/>
          <w:szCs w:val="24"/>
          <w:lang w:val="en-GB" w:eastAsia="en-GB"/>
        </w:rPr>
        <w:t xml:space="preserve">its </w:t>
      </w:r>
      <w:r w:rsidR="00C96714" w:rsidRPr="0045369D">
        <w:rPr>
          <w:rFonts w:ascii="Times New Roman" w:eastAsia="Times New Roman" w:hAnsi="Times New Roman" w:cs="Times New Roman"/>
          <w:sz w:val="24"/>
          <w:szCs w:val="24"/>
          <w:lang w:val="en-GB" w:eastAsia="en-GB"/>
        </w:rPr>
        <w:t xml:space="preserve">debt. </w:t>
      </w:r>
      <w:r w:rsidR="00D7712D" w:rsidRPr="0045369D">
        <w:rPr>
          <w:rFonts w:ascii="Times New Roman" w:eastAsia="Times New Roman" w:hAnsi="Times New Roman" w:cs="Times New Roman"/>
          <w:sz w:val="24"/>
          <w:szCs w:val="24"/>
          <w:lang w:val="en-GB" w:eastAsia="en-GB"/>
        </w:rPr>
        <w:t>The decrease recorded in 2022 shows a negligible</w:t>
      </w:r>
      <w:r w:rsidR="00C96714" w:rsidRPr="0045369D">
        <w:rPr>
          <w:rFonts w:ascii="Times New Roman" w:eastAsia="Times New Roman" w:hAnsi="Times New Roman" w:cs="Times New Roman"/>
          <w:sz w:val="24"/>
          <w:szCs w:val="24"/>
          <w:lang w:val="en-GB" w:eastAsia="en-GB"/>
        </w:rPr>
        <w:t xml:space="preserve"> </w:t>
      </w:r>
      <w:r w:rsidR="00D7712D" w:rsidRPr="0045369D">
        <w:rPr>
          <w:rFonts w:ascii="Times New Roman" w:eastAsia="Times New Roman" w:hAnsi="Times New Roman" w:cs="Times New Roman"/>
          <w:sz w:val="24"/>
          <w:szCs w:val="24"/>
          <w:lang w:val="en-GB" w:eastAsia="en-GB"/>
        </w:rPr>
        <w:t>fall in this buffer.</w:t>
      </w:r>
      <w:r w:rsidR="00C96714" w:rsidRPr="0045369D">
        <w:rPr>
          <w:rFonts w:ascii="Times New Roman" w:eastAsia="Times New Roman" w:hAnsi="Times New Roman" w:cs="Times New Roman"/>
          <w:sz w:val="24"/>
          <w:szCs w:val="24"/>
          <w:lang w:val="en-GB" w:eastAsia="en-GB"/>
        </w:rPr>
        <w:t xml:space="preserve"> </w:t>
      </w:r>
      <w:r w:rsidR="00D7712D" w:rsidRPr="0045369D">
        <w:rPr>
          <w:rFonts w:ascii="Times New Roman" w:eastAsia="Times New Roman" w:hAnsi="Times New Roman" w:cs="Times New Roman"/>
          <w:sz w:val="24"/>
          <w:szCs w:val="24"/>
          <w:lang w:val="en-GB" w:eastAsia="en-GB"/>
        </w:rPr>
        <w:t>Thus, t</w:t>
      </w:r>
      <w:r w:rsidR="00C96714" w:rsidRPr="0045369D">
        <w:rPr>
          <w:rFonts w:ascii="Times New Roman" w:eastAsia="Times New Roman" w:hAnsi="Times New Roman" w:cs="Times New Roman"/>
          <w:sz w:val="24"/>
          <w:szCs w:val="24"/>
          <w:lang w:val="en-GB" w:eastAsia="en-GB"/>
        </w:rPr>
        <w:t xml:space="preserve">he ratio still </w:t>
      </w:r>
      <w:r w:rsidR="00D7712D" w:rsidRPr="0045369D">
        <w:rPr>
          <w:rFonts w:ascii="Times New Roman" w:eastAsia="Times New Roman" w:hAnsi="Times New Roman" w:cs="Times New Roman"/>
          <w:sz w:val="24"/>
          <w:szCs w:val="24"/>
          <w:lang w:val="en-GB" w:eastAsia="en-GB"/>
        </w:rPr>
        <w:t>shows</w:t>
      </w:r>
      <w:r w:rsidR="00C96714" w:rsidRPr="0045369D">
        <w:rPr>
          <w:rFonts w:ascii="Times New Roman" w:eastAsia="Times New Roman" w:hAnsi="Times New Roman" w:cs="Times New Roman"/>
          <w:sz w:val="24"/>
          <w:szCs w:val="24"/>
          <w:lang w:val="en-GB" w:eastAsia="en-GB"/>
        </w:rPr>
        <w:t xml:space="preserve"> </w:t>
      </w:r>
      <w:r w:rsidR="00D7712D" w:rsidRPr="0045369D">
        <w:rPr>
          <w:rFonts w:ascii="Times New Roman" w:eastAsia="Times New Roman" w:hAnsi="Times New Roman" w:cs="Times New Roman"/>
          <w:sz w:val="24"/>
          <w:szCs w:val="24"/>
          <w:lang w:val="en-GB" w:eastAsia="en-GB"/>
        </w:rPr>
        <w:t xml:space="preserve">that the company has </w:t>
      </w:r>
      <w:r w:rsidR="00C96714" w:rsidRPr="0045369D">
        <w:rPr>
          <w:rFonts w:ascii="Times New Roman" w:eastAsia="Times New Roman" w:hAnsi="Times New Roman" w:cs="Times New Roman"/>
          <w:sz w:val="24"/>
          <w:szCs w:val="24"/>
          <w:lang w:val="en-GB" w:eastAsia="en-GB"/>
        </w:rPr>
        <w:t xml:space="preserve">a strong ability to cover interest </w:t>
      </w:r>
      <w:r w:rsidR="00442207" w:rsidRPr="0045369D">
        <w:rPr>
          <w:rFonts w:ascii="Times New Roman" w:eastAsia="Times New Roman" w:hAnsi="Times New Roman" w:cs="Times New Roman"/>
          <w:sz w:val="24"/>
          <w:szCs w:val="24"/>
          <w:lang w:val="en-GB" w:eastAsia="en-GB"/>
        </w:rPr>
        <w:t>payments and</w:t>
      </w:r>
      <w:r w:rsidR="00D7712D" w:rsidRPr="0045369D">
        <w:rPr>
          <w:rFonts w:ascii="Times New Roman" w:eastAsia="Times New Roman" w:hAnsi="Times New Roman" w:cs="Times New Roman"/>
          <w:sz w:val="24"/>
          <w:szCs w:val="24"/>
          <w:lang w:val="en-GB" w:eastAsia="en-GB"/>
        </w:rPr>
        <w:t xml:space="preserve"> </w:t>
      </w:r>
      <w:r w:rsidR="00B51959" w:rsidRPr="0045369D">
        <w:rPr>
          <w:rFonts w:ascii="Times New Roman" w:eastAsia="Times New Roman" w:hAnsi="Times New Roman" w:cs="Times New Roman"/>
          <w:sz w:val="24"/>
          <w:szCs w:val="24"/>
          <w:lang w:val="en-GB" w:eastAsia="en-GB"/>
        </w:rPr>
        <w:t xml:space="preserve">is </w:t>
      </w:r>
      <w:r w:rsidR="00D7712D" w:rsidRPr="0045369D">
        <w:rPr>
          <w:rFonts w:ascii="Times New Roman" w:eastAsia="Times New Roman" w:hAnsi="Times New Roman" w:cs="Times New Roman"/>
          <w:sz w:val="24"/>
          <w:szCs w:val="24"/>
          <w:lang w:val="en-GB" w:eastAsia="en-GB"/>
        </w:rPr>
        <w:t xml:space="preserve">efficient in risk management. </w:t>
      </w:r>
      <w:r w:rsidR="00BA6F37" w:rsidRPr="0045369D">
        <w:rPr>
          <w:rFonts w:ascii="Times New Roman" w:eastAsia="Times New Roman" w:hAnsi="Times New Roman" w:cs="Times New Roman"/>
          <w:sz w:val="24"/>
          <w:szCs w:val="24"/>
          <w:lang w:val="en-GB" w:eastAsia="en-GB"/>
        </w:rPr>
        <w:t>The overall high level of coverage ratio implies the company is financially healthy and able to manage its debt efficiently.</w:t>
      </w:r>
      <w:r w:rsidR="00E25627" w:rsidRPr="0045369D">
        <w:rPr>
          <w:rFonts w:ascii="Times New Roman" w:eastAsia="Times New Roman" w:hAnsi="Times New Roman" w:cs="Times New Roman"/>
          <w:sz w:val="24"/>
          <w:szCs w:val="24"/>
          <w:lang w:val="en-GB" w:eastAsia="en-GB"/>
        </w:rPr>
        <w:t xml:space="preserve"> </w:t>
      </w:r>
      <w:r w:rsidR="00C96714" w:rsidRPr="0045369D">
        <w:rPr>
          <w:rFonts w:ascii="Times New Roman" w:eastAsia="Times New Roman" w:hAnsi="Times New Roman" w:cs="Times New Roman"/>
          <w:bCs/>
          <w:sz w:val="24"/>
          <w:szCs w:val="24"/>
          <w:lang w:val="en-GB" w:eastAsia="en-GB"/>
        </w:rPr>
        <w:t xml:space="preserve">Free </w:t>
      </w:r>
      <w:r w:rsidR="0033750B" w:rsidRPr="0045369D">
        <w:rPr>
          <w:rFonts w:ascii="Times New Roman" w:eastAsia="Times New Roman" w:hAnsi="Times New Roman" w:cs="Times New Roman"/>
          <w:bCs/>
          <w:sz w:val="24"/>
          <w:szCs w:val="24"/>
          <w:lang w:val="en-GB" w:eastAsia="en-GB"/>
        </w:rPr>
        <w:t xml:space="preserve">cash flow to equity </w:t>
      </w:r>
      <w:r w:rsidR="00C96714" w:rsidRPr="0045369D">
        <w:rPr>
          <w:rFonts w:ascii="Times New Roman" w:eastAsia="Times New Roman" w:hAnsi="Times New Roman" w:cs="Times New Roman"/>
          <w:bCs/>
          <w:sz w:val="24"/>
          <w:szCs w:val="24"/>
          <w:lang w:val="en-GB" w:eastAsia="en-GB"/>
        </w:rPr>
        <w:t>(FCFE)</w:t>
      </w:r>
      <w:r w:rsidR="00C96714" w:rsidRPr="0045369D">
        <w:rPr>
          <w:rFonts w:ascii="Times New Roman" w:eastAsia="Times New Roman" w:hAnsi="Times New Roman" w:cs="Times New Roman"/>
          <w:sz w:val="24"/>
          <w:szCs w:val="24"/>
          <w:lang w:val="en-GB" w:eastAsia="en-GB"/>
        </w:rPr>
        <w:t xml:space="preserve"> per share</w:t>
      </w:r>
      <w:r w:rsidR="00FD0D3B" w:rsidRPr="0045369D">
        <w:rPr>
          <w:rFonts w:ascii="Times New Roman" w:eastAsia="Times New Roman" w:hAnsi="Times New Roman" w:cs="Times New Roman"/>
          <w:sz w:val="24"/>
          <w:szCs w:val="24"/>
          <w:lang w:val="en-GB" w:eastAsia="en-GB"/>
        </w:rPr>
        <w:t xml:space="preserve"> increased significantly in 2021 from </w:t>
      </w:r>
      <w:r w:rsidR="00C96714" w:rsidRPr="0045369D">
        <w:rPr>
          <w:rFonts w:ascii="Times New Roman" w:eastAsia="Times New Roman" w:hAnsi="Times New Roman" w:cs="Times New Roman"/>
          <w:sz w:val="24"/>
          <w:szCs w:val="24"/>
          <w:lang w:val="en-GB" w:eastAsia="en-GB"/>
        </w:rPr>
        <w:t xml:space="preserve">275.45 </w:t>
      </w:r>
      <w:r w:rsidR="00FD0D3B" w:rsidRPr="0045369D">
        <w:rPr>
          <w:rFonts w:ascii="Times New Roman" w:eastAsia="Times New Roman" w:hAnsi="Times New Roman" w:cs="Times New Roman"/>
          <w:sz w:val="24"/>
          <w:szCs w:val="24"/>
          <w:lang w:val="en-GB" w:eastAsia="en-GB"/>
        </w:rPr>
        <w:t xml:space="preserve">in 2020 to 427.33 in 2021 and </w:t>
      </w:r>
      <w:r w:rsidR="00C96714" w:rsidRPr="0045369D">
        <w:rPr>
          <w:rFonts w:ascii="Times New Roman" w:eastAsia="Times New Roman" w:hAnsi="Times New Roman" w:cs="Times New Roman"/>
          <w:sz w:val="24"/>
          <w:szCs w:val="24"/>
          <w:lang w:val="en-GB" w:eastAsia="en-GB"/>
        </w:rPr>
        <w:t xml:space="preserve">451.29 in 2022. </w:t>
      </w:r>
      <w:r w:rsidR="00FD0D3B" w:rsidRPr="0045369D">
        <w:rPr>
          <w:rFonts w:ascii="Times New Roman" w:eastAsia="Times New Roman" w:hAnsi="Times New Roman" w:cs="Times New Roman"/>
          <w:sz w:val="24"/>
          <w:szCs w:val="24"/>
          <w:lang w:val="en-GB" w:eastAsia="en-GB"/>
        </w:rPr>
        <w:t>Likewise, FCFE increased substantially throughout the period. The increase in these ratios</w:t>
      </w:r>
      <w:r w:rsidR="00C96714" w:rsidRPr="0045369D">
        <w:rPr>
          <w:rFonts w:ascii="Times New Roman" w:eastAsia="Times New Roman" w:hAnsi="Times New Roman" w:cs="Times New Roman"/>
          <w:sz w:val="24"/>
          <w:szCs w:val="24"/>
          <w:lang w:val="en-GB" w:eastAsia="en-GB"/>
        </w:rPr>
        <w:t xml:space="preserve"> suggests that the company </w:t>
      </w:r>
      <w:r w:rsidR="00FD0D3B" w:rsidRPr="0045369D">
        <w:rPr>
          <w:rFonts w:ascii="Times New Roman" w:eastAsia="Times New Roman" w:hAnsi="Times New Roman" w:cs="Times New Roman"/>
          <w:sz w:val="24"/>
          <w:szCs w:val="24"/>
          <w:lang w:val="en-GB" w:eastAsia="en-GB"/>
        </w:rPr>
        <w:t xml:space="preserve">can distribute profits to shareholders despite maintaining its operations and servicing its debt. </w:t>
      </w:r>
      <w:r w:rsidR="005B6992" w:rsidRPr="0045369D">
        <w:rPr>
          <w:rFonts w:ascii="Times New Roman" w:eastAsia="Times New Roman" w:hAnsi="Times New Roman" w:cs="Times New Roman"/>
          <w:sz w:val="24"/>
          <w:szCs w:val="24"/>
          <w:lang w:val="en-GB" w:eastAsia="en-GB"/>
        </w:rPr>
        <w:t>Finally</w:t>
      </w:r>
      <w:r w:rsidR="00C96714" w:rsidRPr="0045369D">
        <w:rPr>
          <w:rFonts w:ascii="Times New Roman" w:eastAsia="Times New Roman" w:hAnsi="Times New Roman" w:cs="Times New Roman"/>
          <w:sz w:val="24"/>
          <w:szCs w:val="24"/>
          <w:lang w:val="en-GB" w:eastAsia="en-GB"/>
        </w:rPr>
        <w:t>, the analysis of solvency and debt management ratios for th</w:t>
      </w:r>
      <w:r w:rsidR="005B6992" w:rsidRPr="0045369D">
        <w:rPr>
          <w:rFonts w:ascii="Times New Roman" w:eastAsia="Times New Roman" w:hAnsi="Times New Roman" w:cs="Times New Roman"/>
          <w:sz w:val="24"/>
          <w:szCs w:val="24"/>
          <w:lang w:val="en-GB" w:eastAsia="en-GB"/>
        </w:rPr>
        <w:t>re</w:t>
      </w:r>
      <w:r w:rsidR="00C96714" w:rsidRPr="0045369D">
        <w:rPr>
          <w:rFonts w:ascii="Times New Roman" w:eastAsia="Times New Roman" w:hAnsi="Times New Roman" w:cs="Times New Roman"/>
          <w:sz w:val="24"/>
          <w:szCs w:val="24"/>
          <w:lang w:val="en-GB" w:eastAsia="en-GB"/>
        </w:rPr>
        <w:t xml:space="preserve">e years </w:t>
      </w:r>
      <w:r w:rsidR="005B6992" w:rsidRPr="0045369D">
        <w:rPr>
          <w:rFonts w:ascii="Times New Roman" w:eastAsia="Times New Roman" w:hAnsi="Times New Roman" w:cs="Times New Roman"/>
          <w:sz w:val="24"/>
          <w:szCs w:val="24"/>
          <w:lang w:val="en-GB" w:eastAsia="en-GB"/>
        </w:rPr>
        <w:t xml:space="preserve">from </w:t>
      </w:r>
      <w:r w:rsidR="00C96714" w:rsidRPr="0045369D">
        <w:rPr>
          <w:rFonts w:ascii="Times New Roman" w:eastAsia="Times New Roman" w:hAnsi="Times New Roman" w:cs="Times New Roman"/>
          <w:sz w:val="24"/>
          <w:szCs w:val="24"/>
          <w:lang w:val="en-GB" w:eastAsia="en-GB"/>
        </w:rPr>
        <w:t xml:space="preserve">2020 to 2022 </w:t>
      </w:r>
      <w:r w:rsidR="005B6992" w:rsidRPr="0045369D">
        <w:rPr>
          <w:rFonts w:ascii="Times New Roman" w:eastAsia="Times New Roman" w:hAnsi="Times New Roman" w:cs="Times New Roman"/>
          <w:sz w:val="24"/>
          <w:szCs w:val="24"/>
          <w:lang w:val="en-GB" w:eastAsia="en-GB"/>
        </w:rPr>
        <w:t xml:space="preserve">shows the company has </w:t>
      </w:r>
      <w:r w:rsidR="00C96714" w:rsidRPr="0045369D">
        <w:rPr>
          <w:rFonts w:ascii="Times New Roman" w:eastAsia="Times New Roman" w:hAnsi="Times New Roman" w:cs="Times New Roman"/>
          <w:sz w:val="24"/>
          <w:szCs w:val="24"/>
          <w:lang w:val="en-GB" w:eastAsia="en-GB"/>
        </w:rPr>
        <w:t xml:space="preserve">long-term financial stability. </w:t>
      </w:r>
    </w:p>
    <w:p w14:paraId="67B4636A" w14:textId="5A5B1B5E" w:rsidR="00DC2BBC" w:rsidRPr="0045369D" w:rsidRDefault="001F4940" w:rsidP="00434D2A">
      <w:pPr>
        <w:jc w:val="both"/>
        <w:rPr>
          <w:rFonts w:ascii="Times New Roman" w:eastAsia="Times New Roman" w:hAnsi="Times New Roman" w:cs="Times New Roman"/>
          <w:b/>
          <w:sz w:val="24"/>
          <w:szCs w:val="24"/>
          <w:lang w:val="en-GB" w:eastAsia="en-GB"/>
        </w:rPr>
      </w:pPr>
      <w:r w:rsidRPr="0045369D">
        <w:rPr>
          <w:rFonts w:ascii="Times New Roman" w:eastAsia="Times New Roman" w:hAnsi="Times New Roman" w:cs="Times New Roman"/>
          <w:b/>
          <w:sz w:val="24"/>
          <w:szCs w:val="24"/>
          <w:lang w:val="en-GB" w:eastAsia="en-GB"/>
        </w:rPr>
        <w:t xml:space="preserve">4. </w:t>
      </w:r>
      <w:r w:rsidR="00DC2BBC" w:rsidRPr="0045369D">
        <w:rPr>
          <w:rFonts w:ascii="Times New Roman" w:eastAsia="Times New Roman" w:hAnsi="Times New Roman" w:cs="Times New Roman"/>
          <w:b/>
          <w:sz w:val="24"/>
          <w:szCs w:val="24"/>
          <w:lang w:val="en-GB" w:eastAsia="en-GB"/>
        </w:rPr>
        <w:t>Asset Utilization</w:t>
      </w:r>
    </w:p>
    <w:p w14:paraId="14B66451" w14:textId="7EB8A76F" w:rsidR="00A351AA" w:rsidRPr="0045369D" w:rsidRDefault="0045369D" w:rsidP="00A351AA">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val="en-GB" w:eastAsia="en-GB"/>
        </w:rPr>
      </w:pPr>
      <w:r w:rsidRPr="0045369D">
        <w:rPr>
          <w:rFonts w:ascii="Times New Roman" w:hAnsi="Times New Roman" w:cs="Times New Roman"/>
          <w:sz w:val="24"/>
          <w:szCs w:val="24"/>
        </w:rPr>
        <w:object w:dxaOrig="6750" w:dyaOrig="4035" w14:anchorId="4D5526C4">
          <v:shape id="_x0000_i1028" type="#_x0000_t75" style="width:475.5pt;height:207.75pt" o:ole="">
            <v:imagedata r:id="rId13" o:title=""/>
          </v:shape>
          <o:OLEObject Type="Embed" ProgID="EViews.Workfile.2" ShapeID="_x0000_i1028" DrawAspect="Content" ObjectID="_1787828364" r:id="rId14"/>
        </w:object>
      </w:r>
      <w:r w:rsidR="0088214A" w:rsidRPr="0045369D">
        <w:rPr>
          <w:rFonts w:ascii="Times New Roman" w:hAnsi="Times New Roman" w:cs="Times New Roman"/>
          <w:sz w:val="24"/>
          <w:szCs w:val="24"/>
        </w:rPr>
        <w:fldChar w:fldCharType="begin"/>
      </w:r>
      <w:r w:rsidR="0088214A" w:rsidRPr="0045369D">
        <w:rPr>
          <w:rFonts w:ascii="Times New Roman" w:hAnsi="Times New Roman" w:cs="Times New Roman"/>
          <w:sz w:val="24"/>
          <w:szCs w:val="24"/>
        </w:rPr>
        <w:instrText xml:space="preserve"> LINK </w:instrText>
      </w:r>
      <w:r w:rsidR="0013547D">
        <w:rPr>
          <w:rFonts w:ascii="Times New Roman" w:hAnsi="Times New Roman" w:cs="Times New Roman"/>
          <w:sz w:val="24"/>
          <w:szCs w:val="24"/>
        </w:rPr>
        <w:instrText xml:space="preserve">Excel.Sheet.12 "C:\\Users\\HP\\Desktop\\1724922617_Task 1 Ratio Calculations (1).xlsx" "List of Ratios!R33C2:R37C5" </w:instrText>
      </w:r>
      <w:r w:rsidR="0088214A" w:rsidRPr="0045369D">
        <w:rPr>
          <w:rFonts w:ascii="Times New Roman" w:hAnsi="Times New Roman" w:cs="Times New Roman"/>
          <w:sz w:val="24"/>
          <w:szCs w:val="24"/>
        </w:rPr>
        <w:instrText xml:space="preserve">\a \f 5 \h  \* MERGEFORMAT </w:instrText>
      </w:r>
      <w:r w:rsidR="0088214A" w:rsidRPr="0045369D">
        <w:rPr>
          <w:rFonts w:ascii="Times New Roman" w:hAnsi="Times New Roman" w:cs="Times New Roman"/>
          <w:sz w:val="24"/>
          <w:szCs w:val="24"/>
        </w:rPr>
        <w:fldChar w:fldCharType="separate"/>
      </w:r>
    </w:p>
    <w:p w14:paraId="040F16B0" w14:textId="77777777" w:rsidR="0088214A" w:rsidRPr="0045369D" w:rsidRDefault="0088214A" w:rsidP="00434D2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5369D">
        <w:rPr>
          <w:rFonts w:ascii="Times New Roman" w:hAnsi="Times New Roman" w:cs="Times New Roman"/>
          <w:sz w:val="24"/>
          <w:szCs w:val="24"/>
        </w:rPr>
        <w:fldChar w:fldCharType="end"/>
      </w:r>
    </w:p>
    <w:p w14:paraId="51E5FD8F" w14:textId="77777777" w:rsidR="00DC2BBC" w:rsidRPr="0045369D" w:rsidRDefault="00DC2BBC" w:rsidP="00434D2A">
      <w:pPr>
        <w:pStyle w:val="NormalWeb"/>
        <w:spacing w:before="0" w:beforeAutospacing="0" w:after="160" w:afterAutospacing="0"/>
        <w:jc w:val="both"/>
        <w:rPr>
          <w:rStyle w:val="Strong"/>
          <w:b w:val="0"/>
        </w:rPr>
      </w:pPr>
      <w:r w:rsidRPr="0045369D">
        <w:rPr>
          <w:rStyle w:val="Strong"/>
          <w:b w:val="0"/>
        </w:rPr>
        <w:t>Figure 4</w:t>
      </w:r>
    </w:p>
    <w:p w14:paraId="6AF7FA5B" w14:textId="3F43BBFB" w:rsidR="005C20C5" w:rsidRDefault="00F61ABC" w:rsidP="00434D2A">
      <w:pPr>
        <w:pStyle w:val="NormalWeb"/>
        <w:spacing w:before="0" w:beforeAutospacing="0" w:after="160" w:afterAutospacing="0"/>
        <w:jc w:val="both"/>
      </w:pPr>
      <w:r w:rsidRPr="0045369D">
        <w:rPr>
          <w:rStyle w:val="Strong"/>
          <w:b w:val="0"/>
        </w:rPr>
        <w:t xml:space="preserve">All the ratios under </w:t>
      </w:r>
      <w:r w:rsidR="00604180" w:rsidRPr="0045369D">
        <w:t>Asset utilization</w:t>
      </w:r>
      <w:r w:rsidRPr="0045369D">
        <w:t xml:space="preserve"> (total asset turnover, fixed asset turnover, inventory turnover, and return on assets (ROA)),</w:t>
      </w:r>
      <w:r w:rsidR="00604180" w:rsidRPr="0045369D">
        <w:t xml:space="preserve"> </w:t>
      </w:r>
      <w:r w:rsidR="00231B8B" w:rsidRPr="0045369D">
        <w:t>increased</w:t>
      </w:r>
      <w:r w:rsidR="00604180" w:rsidRPr="0045369D">
        <w:t>.</w:t>
      </w:r>
      <w:r w:rsidR="00231B8B" w:rsidRPr="0045369D">
        <w:t xml:space="preserve"> The rise in all the ratios shows the company’s ability </w:t>
      </w:r>
      <w:r w:rsidR="00DC2BBC" w:rsidRPr="0045369D">
        <w:t>to</w:t>
      </w:r>
      <w:r w:rsidR="00231B8B" w:rsidRPr="0045369D">
        <w:t xml:space="preserve"> efficiently</w:t>
      </w:r>
      <w:r w:rsidR="00DC2BBC" w:rsidRPr="0045369D">
        <w:t xml:space="preserve"> and effectively optimize the use of its assets. </w:t>
      </w:r>
      <w:r w:rsidR="0045369D" w:rsidRPr="0045369D">
        <w:t>Again,</w:t>
      </w:r>
      <w:r w:rsidR="00DC2BBC" w:rsidRPr="0045369D">
        <w:t xml:space="preserve"> the ratios are all positive suggesting that the company has a stronger operational system and is financially sound. </w:t>
      </w:r>
      <w:r w:rsidR="00231B8B" w:rsidRPr="0045369D">
        <w:t xml:space="preserve"> </w:t>
      </w:r>
    </w:p>
    <w:p w14:paraId="248F5A1C" w14:textId="2A80BA6A" w:rsidR="0045369D" w:rsidRDefault="0045369D" w:rsidP="00434D2A">
      <w:pPr>
        <w:pStyle w:val="NormalWeb"/>
        <w:spacing w:before="0" w:beforeAutospacing="0" w:after="160" w:afterAutospacing="0"/>
        <w:jc w:val="both"/>
      </w:pPr>
    </w:p>
    <w:p w14:paraId="277C50F9" w14:textId="673B197A" w:rsidR="0045369D" w:rsidRDefault="0045369D" w:rsidP="00434D2A">
      <w:pPr>
        <w:pStyle w:val="NormalWeb"/>
        <w:spacing w:before="0" w:beforeAutospacing="0" w:after="160" w:afterAutospacing="0"/>
        <w:jc w:val="both"/>
      </w:pPr>
    </w:p>
    <w:p w14:paraId="614D3FED" w14:textId="6B9A426F" w:rsidR="0045369D" w:rsidRDefault="0045369D" w:rsidP="00434D2A">
      <w:pPr>
        <w:pStyle w:val="NormalWeb"/>
        <w:spacing w:before="0" w:beforeAutospacing="0" w:after="160" w:afterAutospacing="0"/>
        <w:jc w:val="both"/>
      </w:pPr>
    </w:p>
    <w:p w14:paraId="17F38647" w14:textId="77777777" w:rsidR="0045369D" w:rsidRPr="0045369D" w:rsidRDefault="0045369D" w:rsidP="00434D2A">
      <w:pPr>
        <w:pStyle w:val="NormalWeb"/>
        <w:spacing w:before="0" w:beforeAutospacing="0" w:after="160" w:afterAutospacing="0"/>
        <w:jc w:val="both"/>
      </w:pPr>
    </w:p>
    <w:p w14:paraId="464C7842" w14:textId="083B18CA" w:rsidR="0088214A" w:rsidRPr="0045369D" w:rsidRDefault="001F4940" w:rsidP="00434D2A">
      <w:pPr>
        <w:rPr>
          <w:rFonts w:ascii="Times New Roman" w:hAnsi="Times New Roman" w:cs="Times New Roman"/>
          <w:b/>
          <w:bCs/>
          <w:sz w:val="24"/>
          <w:szCs w:val="24"/>
        </w:rPr>
      </w:pPr>
      <w:r w:rsidRPr="0045369D">
        <w:rPr>
          <w:rFonts w:ascii="Times New Roman" w:hAnsi="Times New Roman" w:cs="Times New Roman"/>
          <w:b/>
          <w:bCs/>
          <w:sz w:val="24"/>
          <w:szCs w:val="24"/>
        </w:rPr>
        <w:lastRenderedPageBreak/>
        <w:t xml:space="preserve">5. </w:t>
      </w:r>
      <w:r w:rsidR="00CD529A" w:rsidRPr="0045369D">
        <w:rPr>
          <w:rFonts w:ascii="Times New Roman" w:hAnsi="Times New Roman" w:cs="Times New Roman"/>
          <w:b/>
          <w:bCs/>
          <w:sz w:val="24"/>
          <w:szCs w:val="24"/>
        </w:rPr>
        <w:t>Investor/market ratios</w:t>
      </w:r>
    </w:p>
    <w:p w14:paraId="7EAE57E9" w14:textId="7AB80415" w:rsidR="00CD529A" w:rsidRPr="0045369D" w:rsidRDefault="0045369D" w:rsidP="00434D2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5369D">
        <w:rPr>
          <w:rFonts w:ascii="Times New Roman" w:hAnsi="Times New Roman" w:cs="Times New Roman"/>
          <w:sz w:val="24"/>
          <w:szCs w:val="24"/>
        </w:rPr>
        <w:object w:dxaOrig="10231" w:dyaOrig="4276" w14:anchorId="56BD1ABF">
          <v:shape id="_x0000_i1029" type="#_x0000_t75" style="width:467.25pt;height:256.5pt" o:ole="">
            <v:imagedata r:id="rId15" o:title=""/>
          </v:shape>
          <o:OLEObject Type="Embed" ProgID="EViews.Workfile.2" ShapeID="_x0000_i1029" DrawAspect="Content" ObjectID="_1787828365" r:id="rId16"/>
        </w:object>
      </w:r>
    </w:p>
    <w:p w14:paraId="016F80FB" w14:textId="77777777" w:rsidR="00A46BB6" w:rsidRPr="0045369D" w:rsidRDefault="00A46BB6" w:rsidP="00434D2A">
      <w:pPr>
        <w:jc w:val="both"/>
        <w:rPr>
          <w:rFonts w:ascii="Times New Roman" w:hAnsi="Times New Roman" w:cs="Times New Roman"/>
          <w:sz w:val="24"/>
          <w:szCs w:val="24"/>
        </w:rPr>
      </w:pPr>
      <w:r w:rsidRPr="0045369D">
        <w:rPr>
          <w:rFonts w:ascii="Times New Roman" w:hAnsi="Times New Roman" w:cs="Times New Roman"/>
          <w:sz w:val="24"/>
          <w:szCs w:val="24"/>
        </w:rPr>
        <w:t>Figure 5</w:t>
      </w:r>
    </w:p>
    <w:p w14:paraId="2DB3D010" w14:textId="77777777" w:rsidR="00CD529A" w:rsidRPr="0045369D" w:rsidRDefault="0026652B" w:rsidP="00434D2A">
      <w:pPr>
        <w:jc w:val="both"/>
        <w:rPr>
          <w:rFonts w:ascii="Times New Roman" w:hAnsi="Times New Roman" w:cs="Times New Roman"/>
          <w:sz w:val="24"/>
          <w:szCs w:val="24"/>
        </w:rPr>
      </w:pPr>
      <w:r w:rsidRPr="0045369D">
        <w:rPr>
          <w:rFonts w:ascii="Times New Roman" w:hAnsi="Times New Roman" w:cs="Times New Roman"/>
          <w:sz w:val="24"/>
          <w:szCs w:val="24"/>
        </w:rPr>
        <w:t>The ratios depicted in Figure 5</w:t>
      </w:r>
      <w:r w:rsidR="00CD529A" w:rsidRPr="0045369D">
        <w:rPr>
          <w:rFonts w:ascii="Times New Roman" w:hAnsi="Times New Roman" w:cs="Times New Roman"/>
          <w:sz w:val="24"/>
          <w:szCs w:val="24"/>
        </w:rPr>
        <w:t xml:space="preserve"> are collectively called investor or market ratios. They provide information about profitability, prices, earnings</w:t>
      </w:r>
      <w:r w:rsidRPr="0045369D">
        <w:rPr>
          <w:rFonts w:ascii="Times New Roman" w:hAnsi="Times New Roman" w:cs="Times New Roman"/>
          <w:sz w:val="24"/>
          <w:szCs w:val="24"/>
        </w:rPr>
        <w:t>,</w:t>
      </w:r>
      <w:r w:rsidR="00CD529A" w:rsidRPr="0045369D">
        <w:rPr>
          <w:rFonts w:ascii="Times New Roman" w:hAnsi="Times New Roman" w:cs="Times New Roman"/>
          <w:sz w:val="24"/>
          <w:szCs w:val="24"/>
        </w:rPr>
        <w:t xml:space="preserve"> and returns of a company. Such information </w:t>
      </w:r>
      <w:r w:rsidRPr="0045369D">
        <w:rPr>
          <w:rFonts w:ascii="Times New Roman" w:hAnsi="Times New Roman" w:cs="Times New Roman"/>
          <w:sz w:val="24"/>
          <w:szCs w:val="24"/>
        </w:rPr>
        <w:t>is</w:t>
      </w:r>
      <w:r w:rsidR="00CD529A" w:rsidRPr="0045369D">
        <w:rPr>
          <w:rFonts w:ascii="Times New Roman" w:hAnsi="Times New Roman" w:cs="Times New Roman"/>
          <w:sz w:val="24"/>
          <w:szCs w:val="24"/>
        </w:rPr>
        <w:t xml:space="preserve"> certainly </w:t>
      </w:r>
      <w:r w:rsidRPr="0045369D">
        <w:rPr>
          <w:rFonts w:ascii="Times New Roman" w:hAnsi="Times New Roman" w:cs="Times New Roman"/>
          <w:sz w:val="24"/>
          <w:szCs w:val="24"/>
        </w:rPr>
        <w:t xml:space="preserve">a </w:t>
      </w:r>
      <w:r w:rsidR="00CD529A" w:rsidRPr="0045369D">
        <w:rPr>
          <w:rFonts w:ascii="Times New Roman" w:hAnsi="Times New Roman" w:cs="Times New Roman"/>
          <w:sz w:val="24"/>
          <w:szCs w:val="24"/>
        </w:rPr>
        <w:t xml:space="preserve">public </w:t>
      </w:r>
      <w:r w:rsidRPr="0045369D">
        <w:rPr>
          <w:rFonts w:ascii="Times New Roman" w:hAnsi="Times New Roman" w:cs="Times New Roman"/>
          <w:sz w:val="24"/>
          <w:szCs w:val="24"/>
        </w:rPr>
        <w:t>characteristic</w:t>
      </w:r>
      <w:r w:rsidR="00CD529A" w:rsidRPr="0045369D">
        <w:rPr>
          <w:rFonts w:ascii="Times New Roman" w:hAnsi="Times New Roman" w:cs="Times New Roman"/>
          <w:sz w:val="24"/>
          <w:szCs w:val="24"/>
        </w:rPr>
        <w:t xml:space="preserve"> that can attract or sidetrack </w:t>
      </w:r>
      <w:r w:rsidRPr="0045369D">
        <w:rPr>
          <w:rFonts w:ascii="Times New Roman" w:hAnsi="Times New Roman" w:cs="Times New Roman"/>
          <w:sz w:val="24"/>
          <w:szCs w:val="24"/>
        </w:rPr>
        <w:t>potential</w:t>
      </w:r>
      <w:r w:rsidR="00CD529A" w:rsidRPr="0045369D">
        <w:rPr>
          <w:rFonts w:ascii="Times New Roman" w:hAnsi="Times New Roman" w:cs="Times New Roman"/>
          <w:sz w:val="24"/>
          <w:szCs w:val="24"/>
        </w:rPr>
        <w:t xml:space="preserve"> investors </w:t>
      </w:r>
      <w:r w:rsidRPr="0045369D">
        <w:rPr>
          <w:rFonts w:ascii="Times New Roman" w:hAnsi="Times New Roman" w:cs="Times New Roman"/>
          <w:sz w:val="24"/>
          <w:szCs w:val="24"/>
        </w:rPr>
        <w:t>to maximize</w:t>
      </w:r>
      <w:r w:rsidR="00CD529A" w:rsidRPr="0045369D">
        <w:rPr>
          <w:rFonts w:ascii="Times New Roman" w:hAnsi="Times New Roman" w:cs="Times New Roman"/>
          <w:sz w:val="24"/>
          <w:szCs w:val="24"/>
        </w:rPr>
        <w:t xml:space="preserve"> their net worth. A brief and logical analysis of each of the ratios are presented.</w:t>
      </w:r>
    </w:p>
    <w:p w14:paraId="6641B61A" w14:textId="0F463FED" w:rsidR="00CD529A" w:rsidRPr="0045369D" w:rsidRDefault="0026652B" w:rsidP="00434D2A">
      <w:pPr>
        <w:jc w:val="both"/>
        <w:rPr>
          <w:rFonts w:ascii="Times New Roman" w:hAnsi="Times New Roman" w:cs="Times New Roman"/>
          <w:sz w:val="24"/>
          <w:szCs w:val="24"/>
        </w:rPr>
      </w:pPr>
      <w:r w:rsidRPr="0045369D">
        <w:rPr>
          <w:rFonts w:ascii="Times New Roman" w:hAnsi="Times New Roman" w:cs="Times New Roman"/>
          <w:sz w:val="24"/>
          <w:szCs w:val="24"/>
        </w:rPr>
        <w:t>The price</w:t>
      </w:r>
      <w:r w:rsidR="00CD529A" w:rsidRPr="0045369D">
        <w:rPr>
          <w:rFonts w:ascii="Times New Roman" w:hAnsi="Times New Roman" w:cs="Times New Roman"/>
          <w:sz w:val="24"/>
          <w:szCs w:val="24"/>
        </w:rPr>
        <w:t xml:space="preserve"> to Equity (P/E) ratio </w:t>
      </w:r>
      <w:r w:rsidRPr="0045369D">
        <w:rPr>
          <w:rFonts w:ascii="Times New Roman" w:hAnsi="Times New Roman" w:cs="Times New Roman"/>
          <w:sz w:val="24"/>
          <w:szCs w:val="24"/>
        </w:rPr>
        <w:t>refers</w:t>
      </w:r>
      <w:r w:rsidR="00CD529A" w:rsidRPr="0045369D">
        <w:rPr>
          <w:rFonts w:ascii="Times New Roman" w:hAnsi="Times New Roman" w:cs="Times New Roman"/>
          <w:sz w:val="24"/>
          <w:szCs w:val="24"/>
        </w:rPr>
        <w:t xml:space="preserve"> to </w:t>
      </w:r>
      <w:r w:rsidRPr="0045369D">
        <w:rPr>
          <w:rFonts w:ascii="Times New Roman" w:hAnsi="Times New Roman" w:cs="Times New Roman"/>
          <w:sz w:val="24"/>
          <w:szCs w:val="24"/>
        </w:rPr>
        <w:t xml:space="preserve">the </w:t>
      </w:r>
      <w:r w:rsidR="00CD529A" w:rsidRPr="0045369D">
        <w:rPr>
          <w:rFonts w:ascii="Times New Roman" w:hAnsi="Times New Roman" w:cs="Times New Roman"/>
          <w:sz w:val="24"/>
          <w:szCs w:val="24"/>
        </w:rPr>
        <w:t xml:space="preserve">market value/price of stock to the </w:t>
      </w:r>
      <w:r w:rsidRPr="0045369D">
        <w:rPr>
          <w:rFonts w:ascii="Times New Roman" w:hAnsi="Times New Roman" w:cs="Times New Roman"/>
          <w:sz w:val="24"/>
          <w:szCs w:val="24"/>
        </w:rPr>
        <w:t>earnings</w:t>
      </w:r>
      <w:r w:rsidR="00CD529A" w:rsidRPr="0045369D">
        <w:rPr>
          <w:rFonts w:ascii="Times New Roman" w:hAnsi="Times New Roman" w:cs="Times New Roman"/>
          <w:sz w:val="24"/>
          <w:szCs w:val="24"/>
        </w:rPr>
        <w:t xml:space="preserve"> of </w:t>
      </w:r>
      <w:r w:rsidRPr="0045369D">
        <w:rPr>
          <w:rFonts w:ascii="Times New Roman" w:hAnsi="Times New Roman" w:cs="Times New Roman"/>
          <w:sz w:val="24"/>
          <w:szCs w:val="24"/>
        </w:rPr>
        <w:t>shareholders</w:t>
      </w:r>
      <w:r w:rsidR="00CD529A" w:rsidRPr="0045369D">
        <w:rPr>
          <w:rFonts w:ascii="Times New Roman" w:hAnsi="Times New Roman" w:cs="Times New Roman"/>
          <w:sz w:val="24"/>
          <w:szCs w:val="24"/>
        </w:rPr>
        <w:t xml:space="preserve">. A high ratio is justified for </w:t>
      </w:r>
      <w:r w:rsidRPr="0045369D">
        <w:rPr>
          <w:rFonts w:ascii="Times New Roman" w:hAnsi="Times New Roman" w:cs="Times New Roman"/>
          <w:sz w:val="24"/>
          <w:szCs w:val="24"/>
        </w:rPr>
        <w:t xml:space="preserve">a </w:t>
      </w:r>
      <w:r w:rsidR="00CD529A" w:rsidRPr="0045369D">
        <w:rPr>
          <w:rFonts w:ascii="Times New Roman" w:hAnsi="Times New Roman" w:cs="Times New Roman"/>
          <w:sz w:val="24"/>
          <w:szCs w:val="24"/>
        </w:rPr>
        <w:t xml:space="preserve">high price relative to earnings. Evidence in the figure shows that the company’s P/E ratio </w:t>
      </w:r>
      <w:r w:rsidRPr="0045369D">
        <w:rPr>
          <w:rFonts w:ascii="Times New Roman" w:hAnsi="Times New Roman" w:cs="Times New Roman"/>
          <w:sz w:val="24"/>
          <w:szCs w:val="24"/>
        </w:rPr>
        <w:t>declined</w:t>
      </w:r>
      <w:r w:rsidR="00CD529A" w:rsidRPr="0045369D">
        <w:rPr>
          <w:rFonts w:ascii="Times New Roman" w:hAnsi="Times New Roman" w:cs="Times New Roman"/>
          <w:sz w:val="24"/>
          <w:szCs w:val="24"/>
        </w:rPr>
        <w:t xml:space="preserve"> considerably from 2020 to 2023. Probably, this could be a result of either </w:t>
      </w:r>
      <w:r w:rsidRPr="0045369D">
        <w:rPr>
          <w:rFonts w:ascii="Times New Roman" w:hAnsi="Times New Roman" w:cs="Times New Roman"/>
          <w:sz w:val="24"/>
          <w:szCs w:val="24"/>
        </w:rPr>
        <w:t xml:space="preserve">an </w:t>
      </w:r>
      <w:r w:rsidR="00CD529A" w:rsidRPr="0045369D">
        <w:rPr>
          <w:rFonts w:ascii="Times New Roman" w:hAnsi="Times New Roman" w:cs="Times New Roman"/>
          <w:sz w:val="24"/>
          <w:szCs w:val="24"/>
        </w:rPr>
        <w:t xml:space="preserve">increase in earnings or </w:t>
      </w:r>
      <w:r w:rsidRPr="0045369D">
        <w:rPr>
          <w:rFonts w:ascii="Times New Roman" w:hAnsi="Times New Roman" w:cs="Times New Roman"/>
          <w:sz w:val="24"/>
          <w:szCs w:val="24"/>
        </w:rPr>
        <w:t xml:space="preserve">a </w:t>
      </w:r>
      <w:r w:rsidR="00CD529A" w:rsidRPr="0045369D">
        <w:rPr>
          <w:rFonts w:ascii="Times New Roman" w:hAnsi="Times New Roman" w:cs="Times New Roman"/>
          <w:sz w:val="24"/>
          <w:szCs w:val="24"/>
        </w:rPr>
        <w:t xml:space="preserve">fall in prices. The earnings per share (EPS) of the company rises with </w:t>
      </w:r>
      <w:r w:rsidR="00442207" w:rsidRPr="0045369D">
        <w:rPr>
          <w:rFonts w:ascii="Times New Roman" w:hAnsi="Times New Roman" w:cs="Times New Roman"/>
          <w:sz w:val="24"/>
          <w:szCs w:val="24"/>
        </w:rPr>
        <w:t>time and</w:t>
      </w:r>
      <w:r w:rsidR="00CD529A" w:rsidRPr="0045369D">
        <w:rPr>
          <w:rFonts w:ascii="Times New Roman" w:hAnsi="Times New Roman" w:cs="Times New Roman"/>
          <w:sz w:val="24"/>
          <w:szCs w:val="24"/>
        </w:rPr>
        <w:t xml:space="preserve"> reached the highest in 2023. This is an indicator that the prices of the company are increasing simultaneously with the earnings that are allocated to each stock.  The ratio of price to book value (P/BV) or price per book value decreases sharply. This is a sign that the stock of the company is devalued or simply the market value of the company is relatively low compared to its book value. This suggests that no matter how stock prices </w:t>
      </w:r>
      <w:r w:rsidR="00442207" w:rsidRPr="0045369D">
        <w:rPr>
          <w:rFonts w:ascii="Times New Roman" w:hAnsi="Times New Roman" w:cs="Times New Roman"/>
          <w:sz w:val="24"/>
          <w:szCs w:val="24"/>
        </w:rPr>
        <w:t>rise,</w:t>
      </w:r>
      <w:r w:rsidR="00CD529A" w:rsidRPr="0045369D">
        <w:rPr>
          <w:rFonts w:ascii="Times New Roman" w:hAnsi="Times New Roman" w:cs="Times New Roman"/>
          <w:sz w:val="24"/>
          <w:szCs w:val="24"/>
        </w:rPr>
        <w:t xml:space="preserve"> if the book value is all the time high, the stock will remain </w:t>
      </w:r>
      <w:r w:rsidRPr="0045369D">
        <w:rPr>
          <w:rFonts w:ascii="Times New Roman" w:hAnsi="Times New Roman" w:cs="Times New Roman"/>
          <w:sz w:val="24"/>
          <w:szCs w:val="24"/>
        </w:rPr>
        <w:t>undervalued</w:t>
      </w:r>
      <w:r w:rsidR="00CD529A" w:rsidRPr="0045369D">
        <w:rPr>
          <w:rFonts w:ascii="Times New Roman" w:hAnsi="Times New Roman" w:cs="Times New Roman"/>
          <w:sz w:val="24"/>
          <w:szCs w:val="24"/>
        </w:rPr>
        <w:t xml:space="preserve">. We see that the book value per share of the company improved, implying a healthy financial position of the company, and a sustainable increase in the net worth of shareholders. This can serve as an attractive measure to investors </w:t>
      </w:r>
      <w:r w:rsidRPr="0045369D">
        <w:rPr>
          <w:rFonts w:ascii="Times New Roman" w:hAnsi="Times New Roman" w:cs="Times New Roman"/>
          <w:sz w:val="24"/>
          <w:szCs w:val="24"/>
        </w:rPr>
        <w:t>buying</w:t>
      </w:r>
      <w:r w:rsidR="00CD529A" w:rsidRPr="0045369D">
        <w:rPr>
          <w:rFonts w:ascii="Times New Roman" w:hAnsi="Times New Roman" w:cs="Times New Roman"/>
          <w:sz w:val="24"/>
          <w:szCs w:val="24"/>
        </w:rPr>
        <w:t xml:space="preserve"> the stock of this company. As indicated in the figure, the dividend payout ratio decreases over the years, suggesting very </w:t>
      </w:r>
      <w:r w:rsidRPr="0045369D">
        <w:rPr>
          <w:rFonts w:ascii="Times New Roman" w:hAnsi="Times New Roman" w:cs="Times New Roman"/>
          <w:sz w:val="24"/>
          <w:szCs w:val="24"/>
        </w:rPr>
        <w:t>few</w:t>
      </w:r>
      <w:r w:rsidR="00CD529A" w:rsidRPr="0045369D">
        <w:rPr>
          <w:rFonts w:ascii="Times New Roman" w:hAnsi="Times New Roman" w:cs="Times New Roman"/>
          <w:sz w:val="24"/>
          <w:szCs w:val="24"/>
        </w:rPr>
        <w:t xml:space="preserve"> earnings are distributed as dividend income to shareholders, while </w:t>
      </w:r>
      <w:r w:rsidRPr="0045369D">
        <w:rPr>
          <w:rFonts w:ascii="Times New Roman" w:hAnsi="Times New Roman" w:cs="Times New Roman"/>
          <w:sz w:val="24"/>
          <w:szCs w:val="24"/>
        </w:rPr>
        <w:t xml:space="preserve">a </w:t>
      </w:r>
      <w:r w:rsidR="00CD529A" w:rsidRPr="0045369D">
        <w:rPr>
          <w:rFonts w:ascii="Times New Roman" w:hAnsi="Times New Roman" w:cs="Times New Roman"/>
          <w:sz w:val="24"/>
          <w:szCs w:val="24"/>
        </w:rPr>
        <w:t xml:space="preserve">large proportion of earnings are retained for expansion. Most likely this company is a growing firm with many profitable investments. The dividend per share of the company seems to have increased. It </w:t>
      </w:r>
      <w:r w:rsidRPr="0045369D">
        <w:rPr>
          <w:rFonts w:ascii="Times New Roman" w:hAnsi="Times New Roman" w:cs="Times New Roman"/>
          <w:sz w:val="24"/>
          <w:szCs w:val="24"/>
        </w:rPr>
        <w:t>is observed</w:t>
      </w:r>
      <w:r w:rsidR="00CD529A" w:rsidRPr="0045369D">
        <w:rPr>
          <w:rFonts w:ascii="Times New Roman" w:hAnsi="Times New Roman" w:cs="Times New Roman"/>
          <w:sz w:val="24"/>
          <w:szCs w:val="24"/>
        </w:rPr>
        <w:t xml:space="preserve"> that the company has increased </w:t>
      </w:r>
      <w:r w:rsidRPr="0045369D">
        <w:rPr>
          <w:rFonts w:ascii="Times New Roman" w:hAnsi="Times New Roman" w:cs="Times New Roman"/>
          <w:sz w:val="24"/>
          <w:szCs w:val="24"/>
        </w:rPr>
        <w:t xml:space="preserve">its </w:t>
      </w:r>
      <w:r w:rsidR="00CD529A" w:rsidRPr="0045369D">
        <w:rPr>
          <w:rFonts w:ascii="Times New Roman" w:hAnsi="Times New Roman" w:cs="Times New Roman"/>
          <w:sz w:val="24"/>
          <w:szCs w:val="24"/>
        </w:rPr>
        <w:t xml:space="preserve">earning capacity to </w:t>
      </w:r>
      <w:r w:rsidR="00442207" w:rsidRPr="0045369D">
        <w:rPr>
          <w:rFonts w:ascii="Times New Roman" w:hAnsi="Times New Roman" w:cs="Times New Roman"/>
          <w:sz w:val="24"/>
          <w:szCs w:val="24"/>
        </w:rPr>
        <w:t>pay</w:t>
      </w:r>
      <w:r w:rsidR="00CD529A" w:rsidRPr="0045369D">
        <w:rPr>
          <w:rFonts w:ascii="Times New Roman" w:hAnsi="Times New Roman" w:cs="Times New Roman"/>
          <w:sz w:val="24"/>
          <w:szCs w:val="24"/>
        </w:rPr>
        <w:t xml:space="preserve"> dividends </w:t>
      </w:r>
      <w:r w:rsidR="00CD529A" w:rsidRPr="0045369D">
        <w:rPr>
          <w:rFonts w:ascii="Times New Roman" w:hAnsi="Times New Roman" w:cs="Times New Roman"/>
          <w:sz w:val="24"/>
          <w:szCs w:val="24"/>
        </w:rPr>
        <w:lastRenderedPageBreak/>
        <w:t xml:space="preserve">to shareholders. Since investors like </w:t>
      </w:r>
      <w:r w:rsidRPr="0045369D">
        <w:rPr>
          <w:rFonts w:ascii="Times New Roman" w:hAnsi="Times New Roman" w:cs="Times New Roman"/>
          <w:sz w:val="24"/>
          <w:szCs w:val="24"/>
        </w:rPr>
        <w:t>consistent</w:t>
      </w:r>
      <w:r w:rsidR="00CD529A" w:rsidRPr="0045369D">
        <w:rPr>
          <w:rFonts w:ascii="Times New Roman" w:hAnsi="Times New Roman" w:cs="Times New Roman"/>
          <w:sz w:val="24"/>
          <w:szCs w:val="24"/>
        </w:rPr>
        <w:t xml:space="preserve"> payment of </w:t>
      </w:r>
      <w:r w:rsidRPr="0045369D">
        <w:rPr>
          <w:rFonts w:ascii="Times New Roman" w:hAnsi="Times New Roman" w:cs="Times New Roman"/>
          <w:sz w:val="24"/>
          <w:szCs w:val="24"/>
        </w:rPr>
        <w:t>dividends</w:t>
      </w:r>
      <w:r w:rsidR="00CD529A" w:rsidRPr="0045369D">
        <w:rPr>
          <w:rFonts w:ascii="Times New Roman" w:hAnsi="Times New Roman" w:cs="Times New Roman"/>
          <w:sz w:val="24"/>
          <w:szCs w:val="24"/>
        </w:rPr>
        <w:t xml:space="preserve">, investors will be attracted to buy the stock of this company. </w:t>
      </w:r>
      <w:r w:rsidRPr="0045369D">
        <w:rPr>
          <w:rFonts w:ascii="Times New Roman" w:hAnsi="Times New Roman" w:cs="Times New Roman"/>
          <w:sz w:val="24"/>
          <w:szCs w:val="24"/>
        </w:rPr>
        <w:t>The</w:t>
      </w:r>
      <w:r w:rsidR="00CD529A" w:rsidRPr="0045369D">
        <w:rPr>
          <w:rFonts w:ascii="Times New Roman" w:hAnsi="Times New Roman" w:cs="Times New Roman"/>
          <w:sz w:val="24"/>
          <w:szCs w:val="24"/>
        </w:rPr>
        <w:t xml:space="preserve"> company exhibits a rising dividend yield. This means a decrease in the dividend payout, </w:t>
      </w:r>
      <w:r w:rsidRPr="0045369D">
        <w:rPr>
          <w:rFonts w:ascii="Times New Roman" w:hAnsi="Times New Roman" w:cs="Times New Roman"/>
          <w:sz w:val="24"/>
          <w:szCs w:val="24"/>
        </w:rPr>
        <w:t xml:space="preserve">an </w:t>
      </w:r>
      <w:r w:rsidR="00CD529A" w:rsidRPr="0045369D">
        <w:rPr>
          <w:rFonts w:ascii="Times New Roman" w:hAnsi="Times New Roman" w:cs="Times New Roman"/>
          <w:sz w:val="24"/>
          <w:szCs w:val="24"/>
        </w:rPr>
        <w:t>increase in prices</w:t>
      </w:r>
      <w:r w:rsidRPr="0045369D">
        <w:rPr>
          <w:rFonts w:ascii="Times New Roman" w:hAnsi="Times New Roman" w:cs="Times New Roman"/>
          <w:sz w:val="24"/>
          <w:szCs w:val="24"/>
        </w:rPr>
        <w:t>,</w:t>
      </w:r>
      <w:r w:rsidR="00CD529A" w:rsidRPr="0045369D">
        <w:rPr>
          <w:rFonts w:ascii="Times New Roman" w:hAnsi="Times New Roman" w:cs="Times New Roman"/>
          <w:sz w:val="24"/>
          <w:szCs w:val="24"/>
        </w:rPr>
        <w:t xml:space="preserve"> and </w:t>
      </w:r>
      <w:r w:rsidRPr="0045369D">
        <w:rPr>
          <w:rFonts w:ascii="Times New Roman" w:hAnsi="Times New Roman" w:cs="Times New Roman"/>
          <w:sz w:val="24"/>
          <w:szCs w:val="24"/>
        </w:rPr>
        <w:t xml:space="preserve">an </w:t>
      </w:r>
      <w:r w:rsidR="00CD529A" w:rsidRPr="0045369D">
        <w:rPr>
          <w:rFonts w:ascii="Times New Roman" w:hAnsi="Times New Roman" w:cs="Times New Roman"/>
          <w:sz w:val="24"/>
          <w:szCs w:val="24"/>
        </w:rPr>
        <w:t xml:space="preserve">appreciation of the market value of the company.  It is </w:t>
      </w:r>
      <w:r w:rsidR="00442207" w:rsidRPr="0045369D">
        <w:rPr>
          <w:rFonts w:ascii="Times New Roman" w:hAnsi="Times New Roman" w:cs="Times New Roman"/>
          <w:sz w:val="24"/>
          <w:szCs w:val="24"/>
        </w:rPr>
        <w:t>pretty</w:t>
      </w:r>
      <w:r w:rsidR="00CD529A" w:rsidRPr="0045369D">
        <w:rPr>
          <w:rFonts w:ascii="Times New Roman" w:hAnsi="Times New Roman" w:cs="Times New Roman"/>
          <w:sz w:val="24"/>
          <w:szCs w:val="24"/>
        </w:rPr>
        <w:t xml:space="preserve"> </w:t>
      </w:r>
      <w:r w:rsidRPr="0045369D">
        <w:rPr>
          <w:rFonts w:ascii="Times New Roman" w:hAnsi="Times New Roman" w:cs="Times New Roman"/>
          <w:sz w:val="24"/>
          <w:szCs w:val="24"/>
        </w:rPr>
        <w:t>outstanding</w:t>
      </w:r>
      <w:r w:rsidR="00CD529A" w:rsidRPr="0045369D">
        <w:rPr>
          <w:rFonts w:ascii="Times New Roman" w:hAnsi="Times New Roman" w:cs="Times New Roman"/>
          <w:sz w:val="24"/>
          <w:szCs w:val="24"/>
        </w:rPr>
        <w:t xml:space="preserve"> to see that the company’s return on equity, return on capital </w:t>
      </w:r>
      <w:r w:rsidR="00442207" w:rsidRPr="0045369D">
        <w:rPr>
          <w:rFonts w:ascii="Times New Roman" w:hAnsi="Times New Roman" w:cs="Times New Roman"/>
          <w:sz w:val="24"/>
          <w:szCs w:val="24"/>
        </w:rPr>
        <w:t>employed and</w:t>
      </w:r>
      <w:r w:rsidR="00CD529A" w:rsidRPr="0045369D">
        <w:rPr>
          <w:rFonts w:ascii="Times New Roman" w:hAnsi="Times New Roman" w:cs="Times New Roman"/>
          <w:sz w:val="24"/>
          <w:szCs w:val="24"/>
        </w:rPr>
        <w:t xml:space="preserve"> return on asset are increasing with time. This means the management of this company has used the assets of this company to create profit or effectively employed the capital to maximize earnings. The company is efficient and effective in utilizing resources. The company has an increased ratio of enterprise value to earnings before interest, tax depreciation</w:t>
      </w:r>
      <w:r w:rsidRPr="0045369D">
        <w:rPr>
          <w:rFonts w:ascii="Times New Roman" w:hAnsi="Times New Roman" w:cs="Times New Roman"/>
          <w:sz w:val="24"/>
          <w:szCs w:val="24"/>
        </w:rPr>
        <w:t>,</w:t>
      </w:r>
      <w:r w:rsidR="00CD529A" w:rsidRPr="0045369D">
        <w:rPr>
          <w:rFonts w:ascii="Times New Roman" w:hAnsi="Times New Roman" w:cs="Times New Roman"/>
          <w:sz w:val="24"/>
          <w:szCs w:val="24"/>
        </w:rPr>
        <w:t xml:space="preserve"> and amortization. This implies that the company has become more expensive compared to its earnings. </w:t>
      </w:r>
      <w:r w:rsidRPr="0045369D">
        <w:rPr>
          <w:rFonts w:ascii="Times New Roman" w:hAnsi="Times New Roman" w:cs="Times New Roman"/>
          <w:sz w:val="24"/>
          <w:szCs w:val="24"/>
        </w:rPr>
        <w:t>It</w:t>
      </w:r>
      <w:r w:rsidR="00CD529A" w:rsidRPr="0045369D">
        <w:rPr>
          <w:rFonts w:ascii="Times New Roman" w:hAnsi="Times New Roman" w:cs="Times New Roman"/>
          <w:sz w:val="24"/>
          <w:szCs w:val="24"/>
        </w:rPr>
        <w:t xml:space="preserve"> is seemingly an overvalued firm. The ratio of enterprise value to total revenue of the company rises, suggesting the market values of debt and equity increase in proportion to revenue. Investors </w:t>
      </w:r>
      <w:proofErr w:type="gramStart"/>
      <w:r w:rsidR="00CD529A" w:rsidRPr="0045369D">
        <w:rPr>
          <w:rFonts w:ascii="Times New Roman" w:hAnsi="Times New Roman" w:cs="Times New Roman"/>
          <w:sz w:val="24"/>
          <w:szCs w:val="24"/>
        </w:rPr>
        <w:t>of</w:t>
      </w:r>
      <w:proofErr w:type="gramEnd"/>
      <w:r w:rsidR="00CD529A" w:rsidRPr="0045369D">
        <w:rPr>
          <w:rFonts w:ascii="Times New Roman" w:hAnsi="Times New Roman" w:cs="Times New Roman"/>
          <w:sz w:val="24"/>
          <w:szCs w:val="24"/>
        </w:rPr>
        <w:t xml:space="preserve"> this company will therefore </w:t>
      </w:r>
      <w:r w:rsidRPr="0045369D">
        <w:rPr>
          <w:rFonts w:ascii="Times New Roman" w:hAnsi="Times New Roman" w:cs="Times New Roman"/>
          <w:sz w:val="24"/>
          <w:szCs w:val="24"/>
        </w:rPr>
        <w:t>be satisfied with</w:t>
      </w:r>
      <w:r w:rsidR="00CD529A" w:rsidRPr="0045369D">
        <w:rPr>
          <w:rFonts w:ascii="Times New Roman" w:hAnsi="Times New Roman" w:cs="Times New Roman"/>
          <w:sz w:val="24"/>
          <w:szCs w:val="24"/>
        </w:rPr>
        <w:t xml:space="preserve"> </w:t>
      </w:r>
      <w:r w:rsidRPr="0045369D">
        <w:rPr>
          <w:rFonts w:ascii="Times New Roman" w:hAnsi="Times New Roman" w:cs="Times New Roman"/>
          <w:sz w:val="24"/>
          <w:szCs w:val="24"/>
        </w:rPr>
        <w:t>the revenue growth</w:t>
      </w:r>
      <w:r w:rsidR="00CD529A" w:rsidRPr="0045369D">
        <w:rPr>
          <w:rFonts w:ascii="Times New Roman" w:hAnsi="Times New Roman" w:cs="Times New Roman"/>
          <w:sz w:val="24"/>
          <w:szCs w:val="24"/>
        </w:rPr>
        <w:t xml:space="preserve">. </w:t>
      </w:r>
    </w:p>
    <w:p w14:paraId="5C14C842" w14:textId="612FCEDB" w:rsidR="001F4940" w:rsidRPr="0045369D" w:rsidRDefault="0026652B" w:rsidP="001F4940">
      <w:pPr>
        <w:rPr>
          <w:rFonts w:ascii="Times New Roman" w:hAnsi="Times New Roman" w:cs="Times New Roman"/>
          <w:sz w:val="24"/>
          <w:szCs w:val="24"/>
        </w:rPr>
      </w:pPr>
      <w:r w:rsidRPr="0045369D">
        <w:rPr>
          <w:rFonts w:ascii="Times New Roman" w:hAnsi="Times New Roman" w:cs="Times New Roman"/>
          <w:b/>
          <w:bCs/>
          <w:iCs/>
          <w:sz w:val="24"/>
          <w:szCs w:val="24"/>
        </w:rPr>
        <w:t>Growth Rates</w:t>
      </w:r>
      <w:r w:rsidRPr="0045369D">
        <w:rPr>
          <w:rFonts w:ascii="Times New Roman" w:hAnsi="Times New Roman" w:cs="Times New Roman"/>
          <w:sz w:val="24"/>
          <w:szCs w:val="24"/>
        </w:rPr>
        <w:t xml:space="preserve"> </w:t>
      </w:r>
    </w:p>
    <w:p w14:paraId="021F9209" w14:textId="580389F8" w:rsidR="001F4940" w:rsidRPr="0045369D" w:rsidRDefault="001F4940" w:rsidP="001F4940">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45369D">
        <w:rPr>
          <w:rFonts w:ascii="Times New Roman" w:hAnsi="Times New Roman" w:cs="Times New Roman"/>
          <w:b/>
          <w:bCs/>
          <w:sz w:val="24"/>
          <w:szCs w:val="24"/>
        </w:rPr>
        <w:t>Sales</w:t>
      </w:r>
    </w:p>
    <w:bookmarkStart w:id="0" w:name="_Hlk176946742"/>
    <w:p w14:paraId="76583912" w14:textId="1286AF2A" w:rsidR="001F4940" w:rsidRPr="0045369D" w:rsidRDefault="0045369D" w:rsidP="001F494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5369D">
        <w:rPr>
          <w:rFonts w:ascii="Times New Roman" w:hAnsi="Times New Roman" w:cs="Times New Roman"/>
          <w:sz w:val="24"/>
          <w:szCs w:val="24"/>
        </w:rPr>
        <w:object w:dxaOrig="8460" w:dyaOrig="5281" w14:anchorId="0A1CCD0F">
          <v:shape id="_x0000_i1030" type="#_x0000_t75" style="width:445.5pt;height:152.25pt" o:ole="">
            <v:imagedata r:id="rId17" o:title=""/>
          </v:shape>
          <o:OLEObject Type="Embed" ProgID="EViews.Workfile.2" ShapeID="_x0000_i1030" DrawAspect="Content" ObjectID="_1787828366" r:id="rId18"/>
        </w:object>
      </w:r>
      <w:bookmarkEnd w:id="0"/>
    </w:p>
    <w:p w14:paraId="3EE6676D" w14:textId="1AD0C5A3" w:rsidR="001F4940" w:rsidRPr="0045369D" w:rsidRDefault="001F4940" w:rsidP="001F494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bCs/>
          <w:sz w:val="24"/>
          <w:szCs w:val="24"/>
        </w:rPr>
      </w:pPr>
      <w:r w:rsidRPr="0045369D">
        <w:rPr>
          <w:rFonts w:ascii="Times New Roman" w:hAnsi="Times New Roman" w:cs="Times New Roman"/>
          <w:b/>
          <w:bCs/>
          <w:sz w:val="24"/>
          <w:szCs w:val="24"/>
        </w:rPr>
        <w:t>Operating Expenses</w:t>
      </w:r>
    </w:p>
    <w:bookmarkStart w:id="1" w:name="_Hlk176946813"/>
    <w:p w14:paraId="563AD02F" w14:textId="6DE0A5FE" w:rsidR="001F4940" w:rsidRPr="0045369D" w:rsidRDefault="0045369D" w:rsidP="001F494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45369D">
        <w:rPr>
          <w:rFonts w:ascii="Times New Roman" w:hAnsi="Times New Roman" w:cs="Times New Roman"/>
          <w:sz w:val="24"/>
          <w:szCs w:val="24"/>
        </w:rPr>
        <w:object w:dxaOrig="10141" w:dyaOrig="9526" w14:anchorId="7A590173">
          <v:shape id="_x0000_i1031" type="#_x0000_t75" style="width:467.25pt;height:184.5pt" o:ole="">
            <v:imagedata r:id="rId19" o:title=""/>
          </v:shape>
          <o:OLEObject Type="Embed" ProgID="EViews.Workfile.2" ShapeID="_x0000_i1031" DrawAspect="Content" ObjectID="_1787828367" r:id="rId20"/>
        </w:object>
      </w:r>
      <w:bookmarkEnd w:id="1"/>
    </w:p>
    <w:p w14:paraId="6C4331D5" w14:textId="7BD89559" w:rsidR="00A46BB6" w:rsidRPr="0045369D" w:rsidRDefault="00A46BB6" w:rsidP="001F4940">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sz w:val="24"/>
          <w:szCs w:val="24"/>
        </w:rPr>
      </w:pPr>
      <w:r w:rsidRPr="0045369D">
        <w:rPr>
          <w:rFonts w:ascii="Times New Roman" w:hAnsi="Times New Roman" w:cs="Times New Roman"/>
          <w:sz w:val="24"/>
          <w:szCs w:val="24"/>
        </w:rPr>
        <w:t>Figure 6</w:t>
      </w:r>
      <w:r w:rsidR="00C845BA" w:rsidRPr="0045369D">
        <w:rPr>
          <w:rFonts w:ascii="Times New Roman" w:hAnsi="Times New Roman" w:cs="Times New Roman"/>
          <w:sz w:val="24"/>
          <w:szCs w:val="24"/>
        </w:rPr>
        <w:t xml:space="preserve"> </w:t>
      </w:r>
    </w:p>
    <w:p w14:paraId="4BBBB21F" w14:textId="06E8C570" w:rsidR="00C845BA" w:rsidRPr="0045369D" w:rsidRDefault="00C845BA" w:rsidP="006F002D">
      <w:pPr>
        <w:spacing w:line="240" w:lineRule="auto"/>
        <w:jc w:val="both"/>
        <w:rPr>
          <w:rFonts w:ascii="Times New Roman" w:hAnsi="Times New Roman" w:cs="Times New Roman"/>
          <w:sz w:val="24"/>
          <w:szCs w:val="24"/>
        </w:rPr>
      </w:pPr>
      <w:r w:rsidRPr="0045369D">
        <w:rPr>
          <w:rFonts w:ascii="Times New Roman" w:hAnsi="Times New Roman" w:cs="Times New Roman"/>
          <w:sz w:val="24"/>
          <w:szCs w:val="24"/>
        </w:rPr>
        <w:lastRenderedPageBreak/>
        <w:t xml:space="preserve">Analyzing the growth rate of a company is essential to understand the financial position of the company. It is also an important way of revealing the performance of the management term over </w:t>
      </w:r>
      <w:r w:rsidR="00330E80" w:rsidRPr="0045369D">
        <w:rPr>
          <w:rFonts w:ascii="Times New Roman" w:hAnsi="Times New Roman" w:cs="Times New Roman"/>
          <w:sz w:val="24"/>
          <w:szCs w:val="24"/>
        </w:rPr>
        <w:t xml:space="preserve">the </w:t>
      </w:r>
      <w:r w:rsidRPr="0045369D">
        <w:rPr>
          <w:rFonts w:ascii="Times New Roman" w:hAnsi="Times New Roman" w:cs="Times New Roman"/>
          <w:sz w:val="24"/>
          <w:szCs w:val="24"/>
        </w:rPr>
        <w:t>tim</w:t>
      </w:r>
      <w:r w:rsidR="00330E80" w:rsidRPr="0045369D">
        <w:rPr>
          <w:rFonts w:ascii="Times New Roman" w:hAnsi="Times New Roman" w:cs="Times New Roman"/>
          <w:sz w:val="24"/>
          <w:szCs w:val="24"/>
        </w:rPr>
        <w:t xml:space="preserve">e </w:t>
      </w:r>
      <w:r w:rsidRPr="0045369D">
        <w:rPr>
          <w:rFonts w:ascii="Times New Roman" w:hAnsi="Times New Roman" w:cs="Times New Roman"/>
          <w:sz w:val="24"/>
          <w:szCs w:val="24"/>
        </w:rPr>
        <w:t xml:space="preserve">horizon. Therefore, we </w:t>
      </w:r>
      <w:r w:rsidR="00330E80" w:rsidRPr="0045369D">
        <w:rPr>
          <w:rFonts w:ascii="Times New Roman" w:hAnsi="Times New Roman" w:cs="Times New Roman"/>
          <w:sz w:val="24"/>
          <w:szCs w:val="24"/>
        </w:rPr>
        <w:t>provide the analysis of the Apple</w:t>
      </w:r>
      <w:r w:rsidRPr="0045369D">
        <w:rPr>
          <w:rFonts w:ascii="Times New Roman" w:hAnsi="Times New Roman" w:cs="Times New Roman"/>
          <w:sz w:val="24"/>
          <w:szCs w:val="24"/>
        </w:rPr>
        <w:t xml:space="preserve"> company based on the several elements in which </w:t>
      </w:r>
      <w:r w:rsidR="00A43D0B" w:rsidRPr="0045369D">
        <w:rPr>
          <w:rFonts w:ascii="Times New Roman" w:hAnsi="Times New Roman" w:cs="Times New Roman"/>
          <w:sz w:val="24"/>
          <w:szCs w:val="24"/>
        </w:rPr>
        <w:t xml:space="preserve">the </w:t>
      </w:r>
      <w:r w:rsidRPr="0045369D">
        <w:rPr>
          <w:rFonts w:ascii="Times New Roman" w:hAnsi="Times New Roman" w:cs="Times New Roman"/>
          <w:sz w:val="24"/>
          <w:szCs w:val="24"/>
        </w:rPr>
        <w:t xml:space="preserve">growth rate can be observed. These are products, services, net sales, gross profit, depreciation and amortization, </w:t>
      </w:r>
      <w:r w:rsidR="00A43D0B" w:rsidRPr="0045369D">
        <w:rPr>
          <w:rFonts w:ascii="Times New Roman" w:hAnsi="Times New Roman" w:cs="Times New Roman"/>
          <w:sz w:val="24"/>
          <w:szCs w:val="24"/>
        </w:rPr>
        <w:t>share-based</w:t>
      </w:r>
      <w:r w:rsidRPr="0045369D">
        <w:rPr>
          <w:rFonts w:ascii="Times New Roman" w:hAnsi="Times New Roman" w:cs="Times New Roman"/>
          <w:sz w:val="24"/>
          <w:szCs w:val="24"/>
        </w:rPr>
        <w:t xml:space="preserve"> compensation expense, deferred income tax expense/(benefit) and myriad/sundry expenses. The analysis covers a period of three years, 2020 through 2022. In 2021 the growth rate of </w:t>
      </w:r>
      <w:r w:rsidR="00442207" w:rsidRPr="0045369D">
        <w:rPr>
          <w:rFonts w:ascii="Times New Roman" w:hAnsi="Times New Roman" w:cs="Times New Roman"/>
          <w:sz w:val="24"/>
          <w:szCs w:val="24"/>
        </w:rPr>
        <w:t>products</w:t>
      </w:r>
      <w:r w:rsidRPr="0045369D">
        <w:rPr>
          <w:rFonts w:ascii="Times New Roman" w:hAnsi="Times New Roman" w:cs="Times New Roman"/>
          <w:sz w:val="24"/>
          <w:szCs w:val="24"/>
        </w:rPr>
        <w:t xml:space="preserve"> was 35%, but this declined to 6%. This sharp reduction in the company’s growth rate might </w:t>
      </w:r>
      <w:r w:rsidR="00330E80" w:rsidRPr="0045369D">
        <w:rPr>
          <w:rFonts w:ascii="Times New Roman" w:hAnsi="Times New Roman" w:cs="Times New Roman"/>
          <w:sz w:val="24"/>
          <w:szCs w:val="24"/>
        </w:rPr>
        <w:t>be necessitated by a fall in</w:t>
      </w:r>
      <w:r w:rsidRPr="0045369D">
        <w:rPr>
          <w:rFonts w:ascii="Times New Roman" w:hAnsi="Times New Roman" w:cs="Times New Roman"/>
          <w:sz w:val="24"/>
          <w:szCs w:val="24"/>
        </w:rPr>
        <w:t xml:space="preserve"> demand, while the astronomically unexpected rise in 2</w:t>
      </w:r>
      <w:r w:rsidR="00330E80" w:rsidRPr="0045369D">
        <w:rPr>
          <w:rFonts w:ascii="Times New Roman" w:hAnsi="Times New Roman" w:cs="Times New Roman"/>
          <w:sz w:val="24"/>
          <w:szCs w:val="24"/>
        </w:rPr>
        <w:t>021 was induced by post-</w:t>
      </w:r>
      <w:r w:rsidRPr="0045369D">
        <w:rPr>
          <w:rFonts w:ascii="Times New Roman" w:hAnsi="Times New Roman" w:cs="Times New Roman"/>
          <w:sz w:val="24"/>
          <w:szCs w:val="24"/>
        </w:rPr>
        <w:t xml:space="preserve">COVID excess </w:t>
      </w:r>
      <w:r w:rsidR="00330E80" w:rsidRPr="0045369D">
        <w:rPr>
          <w:rFonts w:ascii="Times New Roman" w:hAnsi="Times New Roman" w:cs="Times New Roman"/>
          <w:sz w:val="24"/>
          <w:szCs w:val="24"/>
        </w:rPr>
        <w:t>demand, which was however short-</w:t>
      </w:r>
      <w:r w:rsidRPr="0045369D">
        <w:rPr>
          <w:rFonts w:ascii="Times New Roman" w:hAnsi="Times New Roman" w:cs="Times New Roman"/>
          <w:sz w:val="24"/>
          <w:szCs w:val="24"/>
        </w:rPr>
        <w:t xml:space="preserve">lived. The growth rate in service accelerated to 27% in 2021, but in 2022, it declined to 14% to reveal that other competitors were striving very hard to gain market share, even as the entire market was </w:t>
      </w:r>
      <w:r w:rsidR="00CE435F" w:rsidRPr="0045369D">
        <w:rPr>
          <w:rFonts w:ascii="Times New Roman" w:hAnsi="Times New Roman" w:cs="Times New Roman"/>
          <w:sz w:val="24"/>
          <w:szCs w:val="24"/>
        </w:rPr>
        <w:t>maturing</w:t>
      </w:r>
      <w:r w:rsidRPr="0045369D">
        <w:rPr>
          <w:rFonts w:ascii="Times New Roman" w:hAnsi="Times New Roman" w:cs="Times New Roman"/>
          <w:sz w:val="24"/>
          <w:szCs w:val="24"/>
        </w:rPr>
        <w:t xml:space="preserve"> over time. </w:t>
      </w:r>
      <w:r w:rsidR="00330E80" w:rsidRPr="0045369D">
        <w:rPr>
          <w:rFonts w:ascii="Times New Roman" w:hAnsi="Times New Roman" w:cs="Times New Roman"/>
          <w:sz w:val="24"/>
          <w:szCs w:val="24"/>
        </w:rPr>
        <w:t>The s</w:t>
      </w:r>
      <w:r w:rsidRPr="0045369D">
        <w:rPr>
          <w:rFonts w:ascii="Times New Roman" w:hAnsi="Times New Roman" w:cs="Times New Roman"/>
          <w:sz w:val="24"/>
          <w:szCs w:val="24"/>
        </w:rPr>
        <w:t>ale</w:t>
      </w:r>
      <w:r w:rsidR="00330E80" w:rsidRPr="0045369D">
        <w:rPr>
          <w:rFonts w:ascii="Times New Roman" w:hAnsi="Times New Roman" w:cs="Times New Roman"/>
          <w:sz w:val="24"/>
          <w:szCs w:val="24"/>
        </w:rPr>
        <w:t>s</w:t>
      </w:r>
      <w:r w:rsidRPr="0045369D">
        <w:rPr>
          <w:rFonts w:ascii="Times New Roman" w:hAnsi="Times New Roman" w:cs="Times New Roman"/>
          <w:sz w:val="24"/>
          <w:szCs w:val="24"/>
        </w:rPr>
        <w:t xml:space="preserve"> growth rate was 33% in 2021. This significantly dropped to only 8% in 2022. This implies that the net sale</w:t>
      </w:r>
      <w:r w:rsidR="00330E80" w:rsidRPr="0045369D">
        <w:rPr>
          <w:rFonts w:ascii="Times New Roman" w:hAnsi="Times New Roman" w:cs="Times New Roman"/>
          <w:sz w:val="24"/>
          <w:szCs w:val="24"/>
        </w:rPr>
        <w:t>s</w:t>
      </w:r>
      <w:r w:rsidRPr="0045369D">
        <w:rPr>
          <w:rFonts w:ascii="Times New Roman" w:hAnsi="Times New Roman" w:cs="Times New Roman"/>
          <w:sz w:val="24"/>
          <w:szCs w:val="24"/>
        </w:rPr>
        <w:t xml:space="preserve"> of the company is growing at a</w:t>
      </w:r>
      <w:r w:rsidR="0057179F" w:rsidRPr="0045369D">
        <w:rPr>
          <w:rFonts w:ascii="Times New Roman" w:hAnsi="Times New Roman" w:cs="Times New Roman"/>
          <w:sz w:val="24"/>
          <w:szCs w:val="24"/>
        </w:rPr>
        <w:t xml:space="preserve"> reduced</w:t>
      </w:r>
      <w:r w:rsidRPr="0045369D">
        <w:rPr>
          <w:rFonts w:ascii="Times New Roman" w:hAnsi="Times New Roman" w:cs="Times New Roman"/>
          <w:sz w:val="24"/>
          <w:szCs w:val="24"/>
        </w:rPr>
        <w:t xml:space="preserve"> rate. This should trigger a conce</w:t>
      </w:r>
      <w:r w:rsidR="0057179F" w:rsidRPr="0045369D">
        <w:rPr>
          <w:rFonts w:ascii="Times New Roman" w:hAnsi="Times New Roman" w:cs="Times New Roman"/>
          <w:sz w:val="24"/>
          <w:szCs w:val="24"/>
        </w:rPr>
        <w:t xml:space="preserve">rn </w:t>
      </w:r>
      <w:r w:rsidR="00442207" w:rsidRPr="0045369D">
        <w:rPr>
          <w:rFonts w:ascii="Times New Roman" w:hAnsi="Times New Roman" w:cs="Times New Roman"/>
          <w:sz w:val="24"/>
          <w:szCs w:val="24"/>
        </w:rPr>
        <w:t>for</w:t>
      </w:r>
      <w:r w:rsidR="0057179F" w:rsidRPr="0045369D">
        <w:rPr>
          <w:rFonts w:ascii="Times New Roman" w:hAnsi="Times New Roman" w:cs="Times New Roman"/>
          <w:sz w:val="24"/>
          <w:szCs w:val="24"/>
        </w:rPr>
        <w:t xml:space="preserve"> the management</w:t>
      </w:r>
      <w:r w:rsidRPr="0045369D">
        <w:rPr>
          <w:rFonts w:ascii="Times New Roman" w:hAnsi="Times New Roman" w:cs="Times New Roman"/>
          <w:sz w:val="24"/>
          <w:szCs w:val="24"/>
        </w:rPr>
        <w:t xml:space="preserve"> if they care about the future financial performance of the company. In the same manner, </w:t>
      </w:r>
      <w:r w:rsidR="00CE435F" w:rsidRPr="0045369D">
        <w:rPr>
          <w:rFonts w:ascii="Times New Roman" w:hAnsi="Times New Roman" w:cs="Times New Roman"/>
          <w:sz w:val="24"/>
          <w:szCs w:val="24"/>
        </w:rPr>
        <w:t xml:space="preserve">the </w:t>
      </w:r>
      <w:r w:rsidRPr="0045369D">
        <w:rPr>
          <w:rFonts w:ascii="Times New Roman" w:hAnsi="Times New Roman" w:cs="Times New Roman"/>
          <w:sz w:val="24"/>
          <w:szCs w:val="24"/>
        </w:rPr>
        <w:t xml:space="preserve">gross profit growth rate went down from 46% in 20221 to 12% in 2022. This reduction in </w:t>
      </w:r>
      <w:r w:rsidR="00E75439" w:rsidRPr="0045369D">
        <w:rPr>
          <w:rFonts w:ascii="Times New Roman" w:hAnsi="Times New Roman" w:cs="Times New Roman"/>
          <w:sz w:val="24"/>
          <w:szCs w:val="24"/>
        </w:rPr>
        <w:t xml:space="preserve">the </w:t>
      </w:r>
      <w:r w:rsidRPr="0045369D">
        <w:rPr>
          <w:rFonts w:ascii="Times New Roman" w:hAnsi="Times New Roman" w:cs="Times New Roman"/>
          <w:sz w:val="24"/>
          <w:szCs w:val="24"/>
        </w:rPr>
        <w:t xml:space="preserve">growth of gross profit is still an indication of healthy performance, but the management should be aptly cautious of sustaining future profit. This reduction in </w:t>
      </w:r>
      <w:r w:rsidR="00442207" w:rsidRPr="0045369D">
        <w:rPr>
          <w:rFonts w:ascii="Times New Roman" w:hAnsi="Times New Roman" w:cs="Times New Roman"/>
          <w:sz w:val="24"/>
          <w:szCs w:val="24"/>
        </w:rPr>
        <w:t>the gross</w:t>
      </w:r>
      <w:r w:rsidRPr="0045369D">
        <w:rPr>
          <w:rFonts w:ascii="Times New Roman" w:hAnsi="Times New Roman" w:cs="Times New Roman"/>
          <w:sz w:val="24"/>
          <w:szCs w:val="24"/>
        </w:rPr>
        <w:t xml:space="preserve"> profit growth rate is induced by factors such as </w:t>
      </w:r>
      <w:r w:rsidR="00A351AA" w:rsidRPr="0045369D">
        <w:rPr>
          <w:rFonts w:ascii="Times New Roman" w:hAnsi="Times New Roman" w:cs="Times New Roman"/>
          <w:sz w:val="24"/>
          <w:szCs w:val="24"/>
        </w:rPr>
        <w:t xml:space="preserve">a </w:t>
      </w:r>
      <w:r w:rsidRPr="0045369D">
        <w:rPr>
          <w:rFonts w:ascii="Times New Roman" w:hAnsi="Times New Roman" w:cs="Times New Roman"/>
          <w:sz w:val="24"/>
          <w:szCs w:val="24"/>
        </w:rPr>
        <w:t>reduction in sales</w:t>
      </w:r>
      <w:r w:rsidR="00A351AA" w:rsidRPr="0045369D">
        <w:rPr>
          <w:rFonts w:ascii="Times New Roman" w:hAnsi="Times New Roman" w:cs="Times New Roman"/>
          <w:sz w:val="24"/>
          <w:szCs w:val="24"/>
        </w:rPr>
        <w:t>, a</w:t>
      </w:r>
      <w:r w:rsidRPr="0045369D">
        <w:rPr>
          <w:rFonts w:ascii="Times New Roman" w:hAnsi="Times New Roman" w:cs="Times New Roman"/>
          <w:sz w:val="24"/>
          <w:szCs w:val="24"/>
        </w:rPr>
        <w:t xml:space="preserve"> hike in operational costs </w:t>
      </w:r>
      <w:r w:rsidR="00A351AA" w:rsidRPr="0045369D">
        <w:rPr>
          <w:rFonts w:ascii="Times New Roman" w:hAnsi="Times New Roman" w:cs="Times New Roman"/>
          <w:sz w:val="24"/>
          <w:szCs w:val="24"/>
        </w:rPr>
        <w:t>and</w:t>
      </w:r>
      <w:r w:rsidRPr="0045369D">
        <w:rPr>
          <w:rFonts w:ascii="Times New Roman" w:hAnsi="Times New Roman" w:cs="Times New Roman"/>
          <w:sz w:val="24"/>
          <w:szCs w:val="24"/>
        </w:rPr>
        <w:t xml:space="preserve"> </w:t>
      </w:r>
      <w:r w:rsidR="00A351AA" w:rsidRPr="0045369D">
        <w:rPr>
          <w:rFonts w:ascii="Times New Roman" w:hAnsi="Times New Roman" w:cs="Times New Roman"/>
          <w:sz w:val="24"/>
          <w:szCs w:val="24"/>
        </w:rPr>
        <w:t xml:space="preserve">an </w:t>
      </w:r>
      <w:r w:rsidRPr="0045369D">
        <w:rPr>
          <w:rFonts w:ascii="Times New Roman" w:hAnsi="Times New Roman" w:cs="Times New Roman"/>
          <w:sz w:val="24"/>
          <w:szCs w:val="24"/>
        </w:rPr>
        <w:t xml:space="preserve">increase in competition. Depreciation/amortization growth rate falls from 2% in 2021 to -2% in 2022. This is a reflection that few capital assets are added to the stock of capital in the company or most of the assets have fully depreciated. Deferred income tax expenses appeared to be volatile. It was 21.20% in 2021 but reduced to -1.19% in 2022. This reduction in tax rate implies that the company is benefiting from reduced tax burdens or postponed tax assets. Share-based compensation expenses decline from 16% in 2021 to 14% in 2022. This means the company’s incentives to shareholders in </w:t>
      </w:r>
      <w:r w:rsidR="00A351AA" w:rsidRPr="0045369D">
        <w:rPr>
          <w:rFonts w:ascii="Times New Roman" w:hAnsi="Times New Roman" w:cs="Times New Roman"/>
          <w:sz w:val="24"/>
          <w:szCs w:val="24"/>
        </w:rPr>
        <w:t>terms</w:t>
      </w:r>
      <w:r w:rsidRPr="0045369D">
        <w:rPr>
          <w:rFonts w:ascii="Times New Roman" w:hAnsi="Times New Roman" w:cs="Times New Roman"/>
          <w:sz w:val="24"/>
          <w:szCs w:val="24"/>
        </w:rPr>
        <w:t xml:space="preserve"> of either bonuses or splits have drastically reduced. Other operating </w:t>
      </w:r>
      <w:r w:rsidR="00442207" w:rsidRPr="0045369D">
        <w:rPr>
          <w:rFonts w:ascii="Times New Roman" w:hAnsi="Times New Roman" w:cs="Times New Roman"/>
          <w:sz w:val="24"/>
          <w:szCs w:val="24"/>
        </w:rPr>
        <w:t>expenses of</w:t>
      </w:r>
      <w:r w:rsidRPr="0045369D">
        <w:rPr>
          <w:rFonts w:ascii="Times New Roman" w:hAnsi="Times New Roman" w:cs="Times New Roman"/>
          <w:sz w:val="24"/>
          <w:szCs w:val="24"/>
        </w:rPr>
        <w:t xml:space="preserve"> sundry</w:t>
      </w:r>
      <w:r w:rsidR="00442207">
        <w:rPr>
          <w:rFonts w:ascii="Times New Roman" w:hAnsi="Times New Roman" w:cs="Times New Roman"/>
          <w:sz w:val="24"/>
          <w:szCs w:val="24"/>
        </w:rPr>
        <w:t xml:space="preserve"> nature</w:t>
      </w:r>
      <w:r w:rsidRPr="0045369D">
        <w:rPr>
          <w:rFonts w:ascii="Times New Roman" w:hAnsi="Times New Roman" w:cs="Times New Roman"/>
          <w:sz w:val="24"/>
          <w:szCs w:val="24"/>
        </w:rPr>
        <w:t xml:space="preserve"> dropped from 0.52% in 2021 to -1.79% in 2022 indicating that some of the sundry expenses have </w:t>
      </w:r>
      <w:r w:rsidR="00A351AA" w:rsidRPr="0045369D">
        <w:rPr>
          <w:rFonts w:ascii="Times New Roman" w:hAnsi="Times New Roman" w:cs="Times New Roman"/>
          <w:sz w:val="24"/>
          <w:szCs w:val="24"/>
        </w:rPr>
        <w:t xml:space="preserve">been </w:t>
      </w:r>
      <w:r w:rsidRPr="0045369D">
        <w:rPr>
          <w:rFonts w:ascii="Times New Roman" w:hAnsi="Times New Roman" w:cs="Times New Roman"/>
          <w:sz w:val="24"/>
          <w:szCs w:val="24"/>
        </w:rPr>
        <w:t>dispensed or reduced.</w:t>
      </w:r>
    </w:p>
    <w:p w14:paraId="7AAD3EE7" w14:textId="77777777" w:rsidR="0088214A" w:rsidRPr="0045369D" w:rsidRDefault="002E1BDD" w:rsidP="00434D2A">
      <w:pPr>
        <w:rPr>
          <w:rFonts w:ascii="Times New Roman" w:eastAsia="Times New Roman" w:hAnsi="Times New Roman" w:cs="Times New Roman"/>
          <w:b/>
          <w:bCs/>
          <w:color w:val="000000"/>
          <w:sz w:val="24"/>
          <w:szCs w:val="24"/>
        </w:rPr>
      </w:pPr>
      <w:r w:rsidRPr="0045369D">
        <w:rPr>
          <w:rFonts w:ascii="Times New Roman" w:eastAsia="Times New Roman" w:hAnsi="Times New Roman" w:cs="Times New Roman"/>
          <w:b/>
          <w:bCs/>
          <w:color w:val="000000"/>
          <w:sz w:val="24"/>
          <w:szCs w:val="24"/>
        </w:rPr>
        <w:t xml:space="preserve"> Main line items of the balance sheet</w:t>
      </w:r>
    </w:p>
    <w:p w14:paraId="6353167B" w14:textId="4A94DE9F" w:rsidR="002A234C" w:rsidRPr="0045369D" w:rsidRDefault="0045369D" w:rsidP="00434D2A">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45369D">
        <w:rPr>
          <w:rFonts w:ascii="Times New Roman" w:hAnsi="Times New Roman" w:cs="Times New Roman"/>
          <w:sz w:val="24"/>
          <w:szCs w:val="24"/>
        </w:rPr>
        <w:object w:dxaOrig="10306" w:dyaOrig="5041" w14:anchorId="2FB800A8">
          <v:shape id="_x0000_i1039" type="#_x0000_t75" style="width:468pt;height:213.75pt" o:ole="">
            <v:imagedata r:id="rId21" o:title=""/>
          </v:shape>
          <o:OLEObject Type="Embed" ProgID="EViews.Workfile.2" ShapeID="_x0000_i1039" DrawAspect="Content" ObjectID="_1787828368" r:id="rId22"/>
        </w:object>
      </w:r>
    </w:p>
    <w:p w14:paraId="0592628D" w14:textId="77777777" w:rsidR="002A234C" w:rsidRPr="0045369D" w:rsidRDefault="002A234C" w:rsidP="00434D2A">
      <w:pPr>
        <w:spacing w:line="240" w:lineRule="auto"/>
        <w:jc w:val="both"/>
        <w:rPr>
          <w:rFonts w:ascii="Times New Roman" w:eastAsia="Times New Roman" w:hAnsi="Times New Roman" w:cs="Times New Roman"/>
          <w:sz w:val="24"/>
          <w:szCs w:val="24"/>
          <w:lang w:eastAsia="en-GB"/>
        </w:rPr>
      </w:pPr>
      <w:r w:rsidRPr="0045369D">
        <w:rPr>
          <w:rFonts w:ascii="Times New Roman" w:eastAsia="Times New Roman" w:hAnsi="Times New Roman" w:cs="Times New Roman"/>
          <w:sz w:val="24"/>
          <w:szCs w:val="24"/>
          <w:lang w:eastAsia="en-GB"/>
        </w:rPr>
        <w:t>Figure 7</w:t>
      </w:r>
    </w:p>
    <w:p w14:paraId="4C5A64F8" w14:textId="4CA064B5" w:rsidR="00A46BB6" w:rsidRPr="0045369D" w:rsidRDefault="005C20C5" w:rsidP="006F002D">
      <w:pPr>
        <w:spacing w:line="240" w:lineRule="auto"/>
        <w:jc w:val="both"/>
        <w:rPr>
          <w:rFonts w:ascii="Times New Roman" w:eastAsia="Times New Roman" w:hAnsi="Times New Roman" w:cs="Times New Roman"/>
          <w:b/>
          <w:bCs/>
          <w:sz w:val="24"/>
          <w:szCs w:val="24"/>
          <w:lang w:eastAsia="en-GB"/>
        </w:rPr>
      </w:pPr>
      <w:r w:rsidRPr="0045369D">
        <w:rPr>
          <w:rFonts w:ascii="Times New Roman" w:eastAsia="Times New Roman" w:hAnsi="Times New Roman" w:cs="Times New Roman"/>
          <w:sz w:val="24"/>
          <w:szCs w:val="24"/>
          <w:lang w:eastAsia="en-GB"/>
        </w:rPr>
        <w:lastRenderedPageBreak/>
        <w:t>Main line items of the balance sheet presented on the bar chart above are</w:t>
      </w:r>
      <w:r w:rsidRPr="0045369D">
        <w:rPr>
          <w:rFonts w:ascii="Times New Roman" w:eastAsia="Times New Roman" w:hAnsi="Times New Roman" w:cs="Times New Roman"/>
          <w:bCs/>
          <w:sz w:val="24"/>
          <w:szCs w:val="24"/>
          <w:lang w:eastAsia="en-GB"/>
        </w:rPr>
        <w:t xml:space="preserve"> total current assets</w:t>
      </w:r>
      <w:r w:rsidRPr="0045369D">
        <w:rPr>
          <w:rFonts w:ascii="Times New Roman" w:eastAsia="Times New Roman" w:hAnsi="Times New Roman" w:cs="Times New Roman"/>
          <w:sz w:val="24"/>
          <w:szCs w:val="24"/>
          <w:lang w:eastAsia="en-GB"/>
        </w:rPr>
        <w:t xml:space="preserve">, </w:t>
      </w:r>
      <w:r w:rsidRPr="0045369D">
        <w:rPr>
          <w:rFonts w:ascii="Times New Roman" w:eastAsia="Times New Roman" w:hAnsi="Times New Roman" w:cs="Times New Roman"/>
          <w:bCs/>
          <w:sz w:val="24"/>
          <w:szCs w:val="24"/>
          <w:lang w:eastAsia="en-GB"/>
        </w:rPr>
        <w:t>total non-current assets</w:t>
      </w:r>
      <w:r w:rsidRPr="0045369D">
        <w:rPr>
          <w:rFonts w:ascii="Times New Roman" w:eastAsia="Times New Roman" w:hAnsi="Times New Roman" w:cs="Times New Roman"/>
          <w:sz w:val="24"/>
          <w:szCs w:val="24"/>
          <w:lang w:eastAsia="en-GB"/>
        </w:rPr>
        <w:t xml:space="preserve">, total </w:t>
      </w:r>
      <w:r w:rsidR="00A351AA" w:rsidRPr="0045369D">
        <w:rPr>
          <w:rFonts w:ascii="Times New Roman" w:eastAsia="Times New Roman" w:hAnsi="Times New Roman" w:cs="Times New Roman"/>
          <w:sz w:val="24"/>
          <w:szCs w:val="24"/>
          <w:lang w:eastAsia="en-GB"/>
        </w:rPr>
        <w:t>assets</w:t>
      </w:r>
      <w:r w:rsidRPr="0045369D">
        <w:rPr>
          <w:rFonts w:ascii="Times New Roman" w:eastAsia="Times New Roman" w:hAnsi="Times New Roman" w:cs="Times New Roman"/>
          <w:sz w:val="24"/>
          <w:szCs w:val="24"/>
          <w:lang w:eastAsia="en-GB"/>
        </w:rPr>
        <w:t xml:space="preserve">, total </w:t>
      </w:r>
      <w:r w:rsidR="00EB0B7B" w:rsidRPr="0045369D">
        <w:rPr>
          <w:rFonts w:ascii="Times New Roman" w:eastAsia="Times New Roman" w:hAnsi="Times New Roman" w:cs="Times New Roman"/>
          <w:sz w:val="24"/>
          <w:szCs w:val="24"/>
          <w:lang w:eastAsia="en-GB"/>
        </w:rPr>
        <w:t xml:space="preserve">current liabilities, total non-current liabilities, </w:t>
      </w:r>
      <w:r w:rsidRPr="0045369D">
        <w:rPr>
          <w:rFonts w:ascii="Times New Roman" w:eastAsia="Times New Roman" w:hAnsi="Times New Roman" w:cs="Times New Roman"/>
          <w:bCs/>
          <w:sz w:val="24"/>
          <w:szCs w:val="24"/>
          <w:lang w:eastAsia="en-GB"/>
        </w:rPr>
        <w:t>total liabilities</w:t>
      </w:r>
      <w:r w:rsidRPr="0045369D">
        <w:rPr>
          <w:rFonts w:ascii="Times New Roman" w:eastAsia="Times New Roman" w:hAnsi="Times New Roman" w:cs="Times New Roman"/>
          <w:sz w:val="24"/>
          <w:szCs w:val="24"/>
          <w:lang w:eastAsia="en-GB"/>
        </w:rPr>
        <w:t xml:space="preserve">, and </w:t>
      </w:r>
      <w:r w:rsidRPr="0045369D">
        <w:rPr>
          <w:rFonts w:ascii="Times New Roman" w:eastAsia="Times New Roman" w:hAnsi="Times New Roman" w:cs="Times New Roman"/>
          <w:bCs/>
          <w:sz w:val="24"/>
          <w:szCs w:val="24"/>
          <w:lang w:eastAsia="en-GB"/>
        </w:rPr>
        <w:t>total shareholders' equity</w:t>
      </w:r>
      <w:r w:rsidR="00EB0B7B" w:rsidRPr="0045369D">
        <w:rPr>
          <w:rFonts w:ascii="Times New Roman" w:eastAsia="Times New Roman" w:hAnsi="Times New Roman" w:cs="Times New Roman"/>
          <w:bCs/>
          <w:sz w:val="24"/>
          <w:szCs w:val="24"/>
          <w:lang w:eastAsia="en-GB"/>
        </w:rPr>
        <w:t xml:space="preserve"> and </w:t>
      </w:r>
      <w:r w:rsidR="00EB0B7B" w:rsidRPr="0045369D">
        <w:rPr>
          <w:rFonts w:ascii="Times New Roman" w:eastAsia="Times New Roman" w:hAnsi="Times New Roman" w:cs="Times New Roman"/>
          <w:color w:val="000000"/>
          <w:sz w:val="24"/>
          <w:szCs w:val="24"/>
        </w:rPr>
        <w:t xml:space="preserve">total liabilities and shareholders' equity. </w:t>
      </w:r>
      <w:r w:rsidR="00A351AA" w:rsidRPr="0045369D">
        <w:rPr>
          <w:rFonts w:ascii="Times New Roman" w:eastAsia="Times New Roman" w:hAnsi="Times New Roman" w:cs="Times New Roman"/>
          <w:color w:val="000000"/>
          <w:sz w:val="24"/>
          <w:szCs w:val="24"/>
        </w:rPr>
        <w:t>These</w:t>
      </w:r>
      <w:r w:rsidR="00EB0B7B" w:rsidRPr="0045369D">
        <w:rPr>
          <w:rFonts w:ascii="Times New Roman" w:eastAsia="Times New Roman" w:hAnsi="Times New Roman" w:cs="Times New Roman"/>
          <w:color w:val="000000"/>
          <w:sz w:val="24"/>
          <w:szCs w:val="24"/>
        </w:rPr>
        <w:t xml:space="preserve"> main line items </w:t>
      </w:r>
      <w:r w:rsidR="00F25888" w:rsidRPr="0045369D">
        <w:rPr>
          <w:rFonts w:ascii="Times New Roman" w:eastAsia="Times New Roman" w:hAnsi="Times New Roman" w:cs="Times New Roman"/>
          <w:color w:val="000000"/>
          <w:sz w:val="24"/>
          <w:szCs w:val="24"/>
        </w:rPr>
        <w:t>give</w:t>
      </w:r>
      <w:r w:rsidR="00EB0B7B" w:rsidRPr="0045369D">
        <w:rPr>
          <w:rFonts w:ascii="Times New Roman" w:eastAsia="Times New Roman" w:hAnsi="Times New Roman" w:cs="Times New Roman"/>
          <w:color w:val="000000"/>
          <w:sz w:val="24"/>
          <w:szCs w:val="24"/>
        </w:rPr>
        <w:t xml:space="preserve"> a quick view </w:t>
      </w:r>
      <w:r w:rsidR="00F25888" w:rsidRPr="0045369D">
        <w:rPr>
          <w:rFonts w:ascii="Times New Roman" w:eastAsia="Times New Roman" w:hAnsi="Times New Roman" w:cs="Times New Roman"/>
          <w:color w:val="000000"/>
          <w:sz w:val="24"/>
          <w:szCs w:val="24"/>
        </w:rPr>
        <w:t>of</w:t>
      </w:r>
      <w:r w:rsidR="00EB0B7B" w:rsidRPr="0045369D">
        <w:rPr>
          <w:rFonts w:ascii="Times New Roman" w:eastAsia="Times New Roman" w:hAnsi="Times New Roman" w:cs="Times New Roman"/>
          <w:color w:val="000000"/>
          <w:sz w:val="24"/>
          <w:szCs w:val="24"/>
        </w:rPr>
        <w:t xml:space="preserve"> the financial standing or condition of a firm at a particular time.</w:t>
      </w:r>
      <w:r w:rsidRPr="0045369D">
        <w:rPr>
          <w:rFonts w:ascii="Times New Roman" w:eastAsia="Times New Roman" w:hAnsi="Times New Roman" w:cs="Times New Roman"/>
          <w:sz w:val="24"/>
          <w:szCs w:val="24"/>
          <w:lang w:eastAsia="en-GB"/>
        </w:rPr>
        <w:t xml:space="preserve"> </w:t>
      </w:r>
      <w:r w:rsidR="00B817B2" w:rsidRPr="0045369D">
        <w:rPr>
          <w:rFonts w:ascii="Times New Roman" w:eastAsia="Times New Roman" w:hAnsi="Times New Roman" w:cs="Times New Roman"/>
          <w:sz w:val="24"/>
          <w:szCs w:val="24"/>
          <w:lang w:eastAsia="en-GB"/>
        </w:rPr>
        <w:t xml:space="preserve">Total current assets, which represent the </w:t>
      </w:r>
      <w:r w:rsidR="00F25888" w:rsidRPr="0045369D">
        <w:rPr>
          <w:rFonts w:ascii="Times New Roman" w:eastAsia="Times New Roman" w:hAnsi="Times New Roman" w:cs="Times New Roman"/>
          <w:sz w:val="24"/>
          <w:szCs w:val="24"/>
          <w:lang w:eastAsia="en-GB"/>
        </w:rPr>
        <w:t>short-term</w:t>
      </w:r>
      <w:r w:rsidR="00B817B2" w:rsidRPr="0045369D">
        <w:rPr>
          <w:rFonts w:ascii="Times New Roman" w:eastAsia="Times New Roman" w:hAnsi="Times New Roman" w:cs="Times New Roman"/>
          <w:sz w:val="24"/>
          <w:szCs w:val="24"/>
          <w:lang w:eastAsia="en-GB"/>
        </w:rPr>
        <w:t xml:space="preserve"> resources of the firm that </w:t>
      </w:r>
      <w:r w:rsidR="00F25888" w:rsidRPr="0045369D">
        <w:rPr>
          <w:rFonts w:ascii="Times New Roman" w:eastAsia="Times New Roman" w:hAnsi="Times New Roman" w:cs="Times New Roman"/>
          <w:sz w:val="24"/>
          <w:szCs w:val="24"/>
          <w:lang w:eastAsia="en-GB"/>
        </w:rPr>
        <w:t xml:space="preserve">are </w:t>
      </w:r>
      <w:r w:rsidR="00B817B2" w:rsidRPr="0045369D">
        <w:rPr>
          <w:rFonts w:ascii="Times New Roman" w:eastAsia="Times New Roman" w:hAnsi="Times New Roman" w:cs="Times New Roman"/>
          <w:sz w:val="24"/>
          <w:szCs w:val="24"/>
          <w:lang w:eastAsia="en-GB"/>
        </w:rPr>
        <w:t xml:space="preserve">supposed to be converted into cash within one year and total </w:t>
      </w:r>
      <w:r w:rsidR="00F25888" w:rsidRPr="0045369D">
        <w:rPr>
          <w:rFonts w:ascii="Times New Roman" w:eastAsia="Times New Roman" w:hAnsi="Times New Roman" w:cs="Times New Roman"/>
          <w:sz w:val="24"/>
          <w:szCs w:val="24"/>
          <w:lang w:eastAsia="en-GB"/>
        </w:rPr>
        <w:t>assets</w:t>
      </w:r>
      <w:r w:rsidR="00B817B2" w:rsidRPr="0045369D">
        <w:rPr>
          <w:rFonts w:ascii="Times New Roman" w:eastAsia="Times New Roman" w:hAnsi="Times New Roman" w:cs="Times New Roman"/>
          <w:sz w:val="24"/>
          <w:szCs w:val="24"/>
          <w:lang w:eastAsia="en-GB"/>
        </w:rPr>
        <w:t xml:space="preserve"> which is the combination of total current asset</w:t>
      </w:r>
      <w:r w:rsidR="008E178F" w:rsidRPr="0045369D">
        <w:rPr>
          <w:rFonts w:ascii="Times New Roman" w:eastAsia="Times New Roman" w:hAnsi="Times New Roman" w:cs="Times New Roman"/>
          <w:sz w:val="24"/>
          <w:szCs w:val="24"/>
          <w:lang w:eastAsia="en-GB"/>
        </w:rPr>
        <w:t>s</w:t>
      </w:r>
      <w:r w:rsidR="00B817B2" w:rsidRPr="0045369D">
        <w:rPr>
          <w:rFonts w:ascii="Times New Roman" w:eastAsia="Times New Roman" w:hAnsi="Times New Roman" w:cs="Times New Roman"/>
          <w:sz w:val="24"/>
          <w:szCs w:val="24"/>
          <w:lang w:eastAsia="en-GB"/>
        </w:rPr>
        <w:t xml:space="preserve"> and total non-current asset</w:t>
      </w:r>
      <w:r w:rsidR="008E178F" w:rsidRPr="0045369D">
        <w:rPr>
          <w:rFonts w:ascii="Times New Roman" w:eastAsia="Times New Roman" w:hAnsi="Times New Roman" w:cs="Times New Roman"/>
          <w:sz w:val="24"/>
          <w:szCs w:val="24"/>
          <w:lang w:eastAsia="en-GB"/>
        </w:rPr>
        <w:t>s</w:t>
      </w:r>
      <w:r w:rsidR="00B817B2" w:rsidRPr="0045369D">
        <w:rPr>
          <w:rFonts w:ascii="Times New Roman" w:eastAsia="Times New Roman" w:hAnsi="Times New Roman" w:cs="Times New Roman"/>
          <w:sz w:val="24"/>
          <w:szCs w:val="24"/>
          <w:lang w:eastAsia="en-GB"/>
        </w:rPr>
        <w:t xml:space="preserve"> all show no growth in 2022.</w:t>
      </w:r>
      <w:r w:rsidR="008E178F" w:rsidRPr="0045369D">
        <w:rPr>
          <w:rFonts w:ascii="Times New Roman" w:eastAsia="Times New Roman" w:hAnsi="Times New Roman" w:cs="Times New Roman"/>
          <w:sz w:val="24"/>
          <w:szCs w:val="24"/>
          <w:lang w:eastAsia="en-GB"/>
        </w:rPr>
        <w:t xml:space="preserve"> The</w:t>
      </w:r>
      <w:r w:rsidRPr="0045369D">
        <w:rPr>
          <w:rFonts w:ascii="Times New Roman" w:eastAsia="Times New Roman" w:hAnsi="Times New Roman" w:cs="Times New Roman"/>
          <w:sz w:val="24"/>
          <w:szCs w:val="24"/>
          <w:lang w:eastAsia="en-GB"/>
        </w:rPr>
        <w:t xml:space="preserve"> stagnant performance of current assets </w:t>
      </w:r>
      <w:r w:rsidR="008E178F" w:rsidRPr="0045369D">
        <w:rPr>
          <w:rFonts w:ascii="Times New Roman" w:eastAsia="Times New Roman" w:hAnsi="Times New Roman" w:cs="Times New Roman"/>
          <w:sz w:val="24"/>
          <w:szCs w:val="24"/>
          <w:lang w:eastAsia="en-GB"/>
        </w:rPr>
        <w:t xml:space="preserve">indicates that there is no significant improvement </w:t>
      </w:r>
      <w:r w:rsidR="00F25888" w:rsidRPr="0045369D">
        <w:rPr>
          <w:rFonts w:ascii="Times New Roman" w:eastAsia="Times New Roman" w:hAnsi="Times New Roman" w:cs="Times New Roman"/>
          <w:sz w:val="24"/>
          <w:szCs w:val="24"/>
          <w:lang w:eastAsia="en-GB"/>
        </w:rPr>
        <w:t>in</w:t>
      </w:r>
      <w:r w:rsidR="008E178F" w:rsidRPr="0045369D">
        <w:rPr>
          <w:rFonts w:ascii="Times New Roman" w:eastAsia="Times New Roman" w:hAnsi="Times New Roman" w:cs="Times New Roman"/>
          <w:sz w:val="24"/>
          <w:szCs w:val="24"/>
          <w:lang w:eastAsia="en-GB"/>
        </w:rPr>
        <w:t xml:space="preserve"> the company’s liquidity position. This may be caused by delays in converting assets into cash. Thus, without growth in total current assets, it might be difficult for the company to meet up with short-term </w:t>
      </w:r>
      <w:r w:rsidR="00F25888" w:rsidRPr="0045369D">
        <w:rPr>
          <w:rFonts w:ascii="Times New Roman" w:eastAsia="Times New Roman" w:hAnsi="Times New Roman" w:cs="Times New Roman"/>
          <w:sz w:val="24"/>
          <w:szCs w:val="24"/>
          <w:lang w:eastAsia="en-GB"/>
        </w:rPr>
        <w:t>obligations</w:t>
      </w:r>
      <w:r w:rsidR="008E178F" w:rsidRPr="0045369D">
        <w:rPr>
          <w:rFonts w:ascii="Times New Roman" w:eastAsia="Times New Roman" w:hAnsi="Times New Roman" w:cs="Times New Roman"/>
          <w:sz w:val="24"/>
          <w:szCs w:val="24"/>
          <w:lang w:eastAsia="en-GB"/>
        </w:rPr>
        <w:t xml:space="preserve"> promptly. </w:t>
      </w:r>
      <w:r w:rsidR="00104CA7" w:rsidRPr="0045369D">
        <w:rPr>
          <w:rFonts w:ascii="Times New Roman" w:eastAsia="Times New Roman" w:hAnsi="Times New Roman" w:cs="Times New Roman"/>
          <w:color w:val="000000"/>
          <w:sz w:val="24"/>
          <w:szCs w:val="24"/>
        </w:rPr>
        <w:t>Total non-current assets</w:t>
      </w:r>
      <w:r w:rsidR="00115275" w:rsidRPr="0045369D">
        <w:rPr>
          <w:rFonts w:ascii="Times New Roman" w:eastAsia="Times New Roman" w:hAnsi="Times New Roman" w:cs="Times New Roman"/>
          <w:color w:val="000000"/>
          <w:sz w:val="24"/>
          <w:szCs w:val="24"/>
        </w:rPr>
        <w:t xml:space="preserve"> (</w:t>
      </w:r>
      <w:r w:rsidR="00115275" w:rsidRPr="0045369D">
        <w:rPr>
          <w:rFonts w:ascii="Times New Roman" w:eastAsia="Times New Roman" w:hAnsi="Times New Roman" w:cs="Times New Roman"/>
          <w:sz w:val="24"/>
          <w:szCs w:val="24"/>
          <w:lang w:eastAsia="en-GB"/>
        </w:rPr>
        <w:t>long-term investments, property, plant, equipment, and other assets</w:t>
      </w:r>
      <w:r w:rsidR="00115275" w:rsidRPr="0045369D">
        <w:rPr>
          <w:rFonts w:ascii="Times New Roman" w:eastAsia="Times New Roman" w:hAnsi="Times New Roman" w:cs="Times New Roman"/>
          <w:color w:val="000000"/>
          <w:sz w:val="24"/>
          <w:szCs w:val="24"/>
        </w:rPr>
        <w:t>)</w:t>
      </w:r>
      <w:r w:rsidR="00104CA7" w:rsidRPr="0045369D">
        <w:rPr>
          <w:rFonts w:ascii="Times New Roman" w:eastAsia="Times New Roman" w:hAnsi="Times New Roman" w:cs="Times New Roman"/>
          <w:color w:val="000000"/>
          <w:sz w:val="24"/>
          <w:szCs w:val="24"/>
        </w:rPr>
        <w:t xml:space="preserve"> growth decreases from 0.20 in 2021 to 0.01 in 2022.</w:t>
      </w:r>
      <w:r w:rsidR="00115275" w:rsidRPr="0045369D">
        <w:rPr>
          <w:rFonts w:ascii="Times New Roman" w:eastAsia="Times New Roman" w:hAnsi="Times New Roman" w:cs="Times New Roman"/>
          <w:color w:val="000000"/>
          <w:sz w:val="24"/>
          <w:szCs w:val="24"/>
        </w:rPr>
        <w:t xml:space="preserve"> The high growth of total non-current assets in 2021 suggests that the company significantly </w:t>
      </w:r>
      <w:r w:rsidR="006F002D" w:rsidRPr="0045369D">
        <w:rPr>
          <w:rFonts w:ascii="Times New Roman" w:eastAsia="Times New Roman" w:hAnsi="Times New Roman" w:cs="Times New Roman"/>
          <w:color w:val="000000"/>
          <w:sz w:val="24"/>
          <w:szCs w:val="24"/>
        </w:rPr>
        <w:t>increased</w:t>
      </w:r>
      <w:r w:rsidR="00115275" w:rsidRPr="0045369D">
        <w:rPr>
          <w:rFonts w:ascii="Times New Roman" w:eastAsia="Times New Roman" w:hAnsi="Times New Roman" w:cs="Times New Roman"/>
          <w:color w:val="000000"/>
          <w:sz w:val="24"/>
          <w:szCs w:val="24"/>
        </w:rPr>
        <w:t xml:space="preserve"> its capital investment in that period compared to its investment in 2022. Total current liabilities </w:t>
      </w:r>
      <w:r w:rsidR="006F002D" w:rsidRPr="0045369D">
        <w:rPr>
          <w:rFonts w:ascii="Times New Roman" w:eastAsia="Times New Roman" w:hAnsi="Times New Roman" w:cs="Times New Roman"/>
          <w:color w:val="000000"/>
          <w:sz w:val="24"/>
          <w:szCs w:val="24"/>
        </w:rPr>
        <w:t>increase</w:t>
      </w:r>
      <w:r w:rsidR="00115275" w:rsidRPr="0045369D">
        <w:rPr>
          <w:rFonts w:ascii="Times New Roman" w:eastAsia="Times New Roman" w:hAnsi="Times New Roman" w:cs="Times New Roman"/>
          <w:color w:val="000000"/>
          <w:sz w:val="24"/>
          <w:szCs w:val="24"/>
        </w:rPr>
        <w:t xml:space="preserve"> from 0.19 in 2021 to 0.23 in 2022. This implies that the company has acquired more short-term debts/obligations, in the form of short-term loans, account payables or other liabilities. </w:t>
      </w:r>
      <w:r w:rsidR="00A54E62" w:rsidRPr="0045369D">
        <w:rPr>
          <w:rFonts w:ascii="Times New Roman" w:eastAsia="Times New Roman" w:hAnsi="Times New Roman" w:cs="Times New Roman"/>
          <w:color w:val="000000"/>
          <w:sz w:val="24"/>
          <w:szCs w:val="24"/>
        </w:rPr>
        <w:t xml:space="preserve">Thus, if total current liabilities </w:t>
      </w:r>
      <w:r w:rsidR="006F002D" w:rsidRPr="0045369D">
        <w:rPr>
          <w:rFonts w:ascii="Times New Roman" w:eastAsia="Times New Roman" w:hAnsi="Times New Roman" w:cs="Times New Roman"/>
          <w:color w:val="000000"/>
          <w:sz w:val="24"/>
          <w:szCs w:val="24"/>
        </w:rPr>
        <w:t>increase</w:t>
      </w:r>
      <w:r w:rsidR="00A54E62" w:rsidRPr="0045369D">
        <w:rPr>
          <w:rFonts w:ascii="Times New Roman" w:eastAsia="Times New Roman" w:hAnsi="Times New Roman" w:cs="Times New Roman"/>
          <w:color w:val="000000"/>
          <w:sz w:val="24"/>
          <w:szCs w:val="24"/>
        </w:rPr>
        <w:t xml:space="preserve"> continually without an associated increase or rise in total current assets, it will be challenging for the firm to meet </w:t>
      </w:r>
      <w:r w:rsidR="006F002D" w:rsidRPr="0045369D">
        <w:rPr>
          <w:rFonts w:ascii="Times New Roman" w:eastAsia="Times New Roman" w:hAnsi="Times New Roman" w:cs="Times New Roman"/>
          <w:color w:val="000000"/>
          <w:sz w:val="24"/>
          <w:szCs w:val="24"/>
        </w:rPr>
        <w:t>its</w:t>
      </w:r>
      <w:r w:rsidR="00A54E62" w:rsidRPr="0045369D">
        <w:rPr>
          <w:rFonts w:ascii="Times New Roman" w:eastAsia="Times New Roman" w:hAnsi="Times New Roman" w:cs="Times New Roman"/>
          <w:color w:val="000000"/>
          <w:sz w:val="24"/>
          <w:szCs w:val="24"/>
        </w:rPr>
        <w:t xml:space="preserve"> short-term obligations. However, total non-current liabilities </w:t>
      </w:r>
      <w:r w:rsidR="006F002D" w:rsidRPr="0045369D">
        <w:rPr>
          <w:rFonts w:ascii="Times New Roman" w:eastAsia="Times New Roman" w:hAnsi="Times New Roman" w:cs="Times New Roman"/>
          <w:color w:val="000000"/>
          <w:sz w:val="24"/>
          <w:szCs w:val="24"/>
        </w:rPr>
        <w:t>decrease</w:t>
      </w:r>
      <w:r w:rsidR="00A54E62" w:rsidRPr="0045369D">
        <w:rPr>
          <w:rFonts w:ascii="Times New Roman" w:eastAsia="Times New Roman" w:hAnsi="Times New Roman" w:cs="Times New Roman"/>
          <w:color w:val="000000"/>
          <w:sz w:val="24"/>
          <w:szCs w:val="24"/>
        </w:rPr>
        <w:t xml:space="preserve"> over the period. This connotes that the company is reducing its </w:t>
      </w:r>
      <w:r w:rsidR="006F002D" w:rsidRPr="0045369D">
        <w:rPr>
          <w:rFonts w:ascii="Times New Roman" w:eastAsia="Times New Roman" w:hAnsi="Times New Roman" w:cs="Times New Roman"/>
          <w:color w:val="000000"/>
          <w:sz w:val="24"/>
          <w:szCs w:val="24"/>
        </w:rPr>
        <w:t>long-term</w:t>
      </w:r>
      <w:r w:rsidR="00A54E62" w:rsidRPr="0045369D">
        <w:rPr>
          <w:rFonts w:ascii="Times New Roman" w:eastAsia="Times New Roman" w:hAnsi="Times New Roman" w:cs="Times New Roman"/>
          <w:color w:val="000000"/>
          <w:sz w:val="24"/>
          <w:szCs w:val="24"/>
        </w:rPr>
        <w:t xml:space="preserve"> </w:t>
      </w:r>
      <w:r w:rsidR="00BE0E34" w:rsidRPr="0045369D">
        <w:rPr>
          <w:rFonts w:ascii="Times New Roman" w:eastAsia="Times New Roman" w:hAnsi="Times New Roman" w:cs="Times New Roman"/>
          <w:color w:val="000000"/>
          <w:sz w:val="24"/>
          <w:szCs w:val="24"/>
        </w:rPr>
        <w:t>debts</w:t>
      </w:r>
      <w:r w:rsidR="006F002D" w:rsidRPr="0045369D">
        <w:rPr>
          <w:rFonts w:ascii="Times New Roman" w:eastAsia="Times New Roman" w:hAnsi="Times New Roman" w:cs="Times New Roman"/>
          <w:color w:val="000000"/>
          <w:sz w:val="24"/>
          <w:szCs w:val="24"/>
        </w:rPr>
        <w:t>, reducing</w:t>
      </w:r>
      <w:r w:rsidR="00A54E62" w:rsidRPr="0045369D">
        <w:rPr>
          <w:rFonts w:ascii="Times New Roman" w:eastAsia="Times New Roman" w:hAnsi="Times New Roman" w:cs="Times New Roman"/>
          <w:color w:val="000000"/>
          <w:sz w:val="24"/>
          <w:szCs w:val="24"/>
        </w:rPr>
        <w:t xml:space="preserve"> leverage risk.</w:t>
      </w:r>
      <w:r w:rsidR="00A54E62" w:rsidRPr="0045369D">
        <w:rPr>
          <w:rFonts w:ascii="Times New Roman" w:eastAsia="Times New Roman" w:hAnsi="Times New Roman" w:cs="Times New Roman"/>
          <w:sz w:val="24"/>
          <w:szCs w:val="24"/>
          <w:lang w:eastAsia="en-GB"/>
        </w:rPr>
        <w:t xml:space="preserve"> Similarly, the </w:t>
      </w:r>
      <w:proofErr w:type="gramStart"/>
      <w:r w:rsidR="00A54E62" w:rsidRPr="0045369D">
        <w:rPr>
          <w:rFonts w:ascii="Times New Roman" w:eastAsia="Times New Roman" w:hAnsi="Times New Roman" w:cs="Times New Roman"/>
          <w:sz w:val="24"/>
          <w:szCs w:val="24"/>
          <w:lang w:eastAsia="en-GB"/>
        </w:rPr>
        <w:t>firm</w:t>
      </w:r>
      <w:proofErr w:type="gramEnd"/>
      <w:r w:rsidR="00A54E62" w:rsidRPr="0045369D">
        <w:rPr>
          <w:rFonts w:ascii="Times New Roman" w:eastAsia="Times New Roman" w:hAnsi="Times New Roman" w:cs="Times New Roman"/>
          <w:sz w:val="24"/>
          <w:szCs w:val="24"/>
          <w:lang w:eastAsia="en-GB"/>
        </w:rPr>
        <w:t xml:space="preserve"> total liabilities which is the combination of both current and non-current liabilities also </w:t>
      </w:r>
      <w:r w:rsidR="006F002D" w:rsidRPr="0045369D">
        <w:rPr>
          <w:rFonts w:ascii="Times New Roman" w:eastAsia="Times New Roman" w:hAnsi="Times New Roman" w:cs="Times New Roman"/>
          <w:sz w:val="24"/>
          <w:szCs w:val="24"/>
          <w:lang w:eastAsia="en-GB"/>
        </w:rPr>
        <w:t>decline</w:t>
      </w:r>
      <w:r w:rsidR="00A54E62" w:rsidRPr="0045369D">
        <w:rPr>
          <w:rFonts w:ascii="Times New Roman" w:eastAsia="Times New Roman" w:hAnsi="Times New Roman" w:cs="Times New Roman"/>
          <w:sz w:val="24"/>
          <w:szCs w:val="24"/>
          <w:lang w:eastAsia="en-GB"/>
        </w:rPr>
        <w:t>. The t</w:t>
      </w:r>
      <w:r w:rsidRPr="0045369D">
        <w:rPr>
          <w:rFonts w:ascii="Times New Roman" w:eastAsia="Times New Roman" w:hAnsi="Times New Roman" w:cs="Times New Roman"/>
          <w:sz w:val="24"/>
          <w:szCs w:val="24"/>
          <w:lang w:eastAsia="en-GB"/>
        </w:rPr>
        <w:t>otal shareh</w:t>
      </w:r>
      <w:r w:rsidR="00A54E62" w:rsidRPr="0045369D">
        <w:rPr>
          <w:rFonts w:ascii="Times New Roman" w:eastAsia="Times New Roman" w:hAnsi="Times New Roman" w:cs="Times New Roman"/>
          <w:sz w:val="24"/>
          <w:szCs w:val="24"/>
          <w:lang w:eastAsia="en-GB"/>
        </w:rPr>
        <w:t>olders' equity is</w:t>
      </w:r>
      <w:r w:rsidRPr="0045369D">
        <w:rPr>
          <w:rFonts w:ascii="Times New Roman" w:eastAsia="Times New Roman" w:hAnsi="Times New Roman" w:cs="Times New Roman"/>
          <w:sz w:val="24"/>
          <w:szCs w:val="24"/>
          <w:lang w:eastAsia="en-GB"/>
        </w:rPr>
        <w:t xml:space="preserve"> the owners’ claim on the company’s assets </w:t>
      </w:r>
      <w:r w:rsidR="00BE0E34" w:rsidRPr="0045369D">
        <w:rPr>
          <w:rFonts w:ascii="Times New Roman" w:eastAsia="Times New Roman" w:hAnsi="Times New Roman" w:cs="Times New Roman"/>
          <w:sz w:val="24"/>
          <w:szCs w:val="24"/>
          <w:lang w:eastAsia="en-GB"/>
        </w:rPr>
        <w:t>once</w:t>
      </w:r>
      <w:r w:rsidRPr="0045369D">
        <w:rPr>
          <w:rFonts w:ascii="Times New Roman" w:eastAsia="Times New Roman" w:hAnsi="Times New Roman" w:cs="Times New Roman"/>
          <w:sz w:val="24"/>
          <w:szCs w:val="24"/>
          <w:lang w:eastAsia="en-GB"/>
        </w:rPr>
        <w:t xml:space="preserve"> al</w:t>
      </w:r>
      <w:r w:rsidR="00BE0E34" w:rsidRPr="0045369D">
        <w:rPr>
          <w:rFonts w:ascii="Times New Roman" w:eastAsia="Times New Roman" w:hAnsi="Times New Roman" w:cs="Times New Roman"/>
          <w:sz w:val="24"/>
          <w:szCs w:val="24"/>
          <w:lang w:eastAsia="en-GB"/>
        </w:rPr>
        <w:t xml:space="preserve">l liabilities have been settled. </w:t>
      </w:r>
      <w:r w:rsidRPr="0045369D">
        <w:rPr>
          <w:rFonts w:ascii="Times New Roman" w:eastAsia="Times New Roman" w:hAnsi="Times New Roman" w:cs="Times New Roman"/>
          <w:sz w:val="24"/>
          <w:szCs w:val="24"/>
          <w:lang w:eastAsia="en-GB"/>
        </w:rPr>
        <w:t xml:space="preserve"> </w:t>
      </w:r>
      <w:r w:rsidR="00BE0E34" w:rsidRPr="0045369D">
        <w:rPr>
          <w:rFonts w:ascii="Times New Roman" w:eastAsia="Times New Roman" w:hAnsi="Times New Roman" w:cs="Times New Roman"/>
          <w:sz w:val="24"/>
          <w:szCs w:val="24"/>
          <w:lang w:eastAsia="en-GB"/>
        </w:rPr>
        <w:t>Meanwhile, the total liabilities and shareholders' equity is the sum of all liabilities and equity.</w:t>
      </w:r>
      <w:r w:rsidR="006F002D" w:rsidRPr="0045369D">
        <w:rPr>
          <w:rFonts w:ascii="Times New Roman" w:eastAsia="Times New Roman" w:hAnsi="Times New Roman" w:cs="Times New Roman"/>
          <w:sz w:val="24"/>
          <w:szCs w:val="24"/>
          <w:lang w:eastAsia="en-GB"/>
        </w:rPr>
        <w:t xml:space="preserve"> </w:t>
      </w:r>
      <w:r w:rsidR="00BE0E34" w:rsidRPr="0045369D">
        <w:rPr>
          <w:rFonts w:ascii="Times New Roman" w:eastAsia="Times New Roman" w:hAnsi="Times New Roman" w:cs="Times New Roman"/>
          <w:sz w:val="24"/>
          <w:szCs w:val="24"/>
          <w:lang w:eastAsia="en-GB"/>
        </w:rPr>
        <w:t xml:space="preserve">The company recorded a decline in these items. </w:t>
      </w:r>
      <w:r w:rsidRPr="0045369D">
        <w:rPr>
          <w:rFonts w:ascii="Times New Roman" w:eastAsia="Times New Roman" w:hAnsi="Times New Roman" w:cs="Times New Roman"/>
          <w:sz w:val="24"/>
          <w:szCs w:val="24"/>
          <w:lang w:eastAsia="en-GB"/>
        </w:rPr>
        <w:t xml:space="preserve">A </w:t>
      </w:r>
      <w:r w:rsidR="00BE0E34" w:rsidRPr="0045369D">
        <w:rPr>
          <w:rFonts w:ascii="Times New Roman" w:eastAsia="Times New Roman" w:hAnsi="Times New Roman" w:cs="Times New Roman"/>
          <w:sz w:val="24"/>
          <w:szCs w:val="24"/>
          <w:lang w:eastAsia="en-GB"/>
        </w:rPr>
        <w:t>substantial</w:t>
      </w:r>
      <w:r w:rsidRPr="0045369D">
        <w:rPr>
          <w:rFonts w:ascii="Times New Roman" w:eastAsia="Times New Roman" w:hAnsi="Times New Roman" w:cs="Times New Roman"/>
          <w:sz w:val="24"/>
          <w:szCs w:val="24"/>
          <w:lang w:eastAsia="en-GB"/>
        </w:rPr>
        <w:t xml:space="preserve"> </w:t>
      </w:r>
      <w:r w:rsidR="00BE0E34" w:rsidRPr="0045369D">
        <w:rPr>
          <w:rFonts w:ascii="Times New Roman" w:eastAsia="Times New Roman" w:hAnsi="Times New Roman" w:cs="Times New Roman"/>
          <w:sz w:val="24"/>
          <w:szCs w:val="24"/>
          <w:lang w:eastAsia="en-GB"/>
        </w:rPr>
        <w:t xml:space="preserve">and continuous </w:t>
      </w:r>
      <w:r w:rsidRPr="0045369D">
        <w:rPr>
          <w:rFonts w:ascii="Times New Roman" w:eastAsia="Times New Roman" w:hAnsi="Times New Roman" w:cs="Times New Roman"/>
          <w:sz w:val="24"/>
          <w:szCs w:val="24"/>
          <w:lang w:eastAsia="en-GB"/>
        </w:rPr>
        <w:t xml:space="preserve">decline in shareholders' equity </w:t>
      </w:r>
      <w:r w:rsidR="00BE0E34" w:rsidRPr="0045369D">
        <w:rPr>
          <w:rFonts w:ascii="Times New Roman" w:eastAsia="Times New Roman" w:hAnsi="Times New Roman" w:cs="Times New Roman"/>
          <w:sz w:val="24"/>
          <w:szCs w:val="24"/>
          <w:lang w:eastAsia="en-GB"/>
        </w:rPr>
        <w:t>will raise serious concerns about the financial health and stability of the company.</w:t>
      </w:r>
    </w:p>
    <w:p w14:paraId="03CD1706" w14:textId="77777777" w:rsidR="0045369D" w:rsidRDefault="0045369D" w:rsidP="00434D2A">
      <w:pPr>
        <w:rPr>
          <w:rFonts w:ascii="Times New Roman" w:eastAsia="Times New Roman" w:hAnsi="Times New Roman" w:cs="Times New Roman"/>
          <w:b/>
          <w:bCs/>
          <w:iCs/>
          <w:color w:val="000000"/>
          <w:sz w:val="24"/>
          <w:szCs w:val="24"/>
        </w:rPr>
      </w:pPr>
    </w:p>
    <w:p w14:paraId="03167F79" w14:textId="77777777" w:rsidR="0045369D" w:rsidRDefault="0045369D" w:rsidP="00434D2A">
      <w:pPr>
        <w:rPr>
          <w:rFonts w:ascii="Times New Roman" w:eastAsia="Times New Roman" w:hAnsi="Times New Roman" w:cs="Times New Roman"/>
          <w:b/>
          <w:bCs/>
          <w:iCs/>
          <w:color w:val="000000"/>
          <w:sz w:val="24"/>
          <w:szCs w:val="24"/>
        </w:rPr>
      </w:pPr>
    </w:p>
    <w:p w14:paraId="541BF7D3" w14:textId="77777777" w:rsidR="0045369D" w:rsidRDefault="0045369D" w:rsidP="00434D2A">
      <w:pPr>
        <w:rPr>
          <w:rFonts w:ascii="Times New Roman" w:eastAsia="Times New Roman" w:hAnsi="Times New Roman" w:cs="Times New Roman"/>
          <w:b/>
          <w:bCs/>
          <w:iCs/>
          <w:color w:val="000000"/>
          <w:sz w:val="24"/>
          <w:szCs w:val="24"/>
        </w:rPr>
      </w:pPr>
    </w:p>
    <w:p w14:paraId="0B6D25B3" w14:textId="77777777" w:rsidR="0045369D" w:rsidRDefault="0045369D" w:rsidP="00434D2A">
      <w:pPr>
        <w:rPr>
          <w:rFonts w:ascii="Times New Roman" w:eastAsia="Times New Roman" w:hAnsi="Times New Roman" w:cs="Times New Roman"/>
          <w:b/>
          <w:bCs/>
          <w:iCs/>
          <w:color w:val="000000"/>
          <w:sz w:val="24"/>
          <w:szCs w:val="24"/>
        </w:rPr>
      </w:pPr>
    </w:p>
    <w:p w14:paraId="004E6B6D" w14:textId="77777777" w:rsidR="0045369D" w:rsidRDefault="0045369D" w:rsidP="00434D2A">
      <w:pPr>
        <w:rPr>
          <w:rFonts w:ascii="Times New Roman" w:eastAsia="Times New Roman" w:hAnsi="Times New Roman" w:cs="Times New Roman"/>
          <w:b/>
          <w:bCs/>
          <w:iCs/>
          <w:color w:val="000000"/>
          <w:sz w:val="24"/>
          <w:szCs w:val="24"/>
        </w:rPr>
      </w:pPr>
    </w:p>
    <w:p w14:paraId="39554BAA" w14:textId="77777777" w:rsidR="0045369D" w:rsidRDefault="0045369D" w:rsidP="00434D2A">
      <w:pPr>
        <w:rPr>
          <w:rFonts w:ascii="Times New Roman" w:eastAsia="Times New Roman" w:hAnsi="Times New Roman" w:cs="Times New Roman"/>
          <w:b/>
          <w:bCs/>
          <w:iCs/>
          <w:color w:val="000000"/>
          <w:sz w:val="24"/>
          <w:szCs w:val="24"/>
        </w:rPr>
      </w:pPr>
    </w:p>
    <w:p w14:paraId="1AE3BBCE" w14:textId="77777777" w:rsidR="0045369D" w:rsidRDefault="0045369D" w:rsidP="00434D2A">
      <w:pPr>
        <w:rPr>
          <w:rFonts w:ascii="Times New Roman" w:eastAsia="Times New Roman" w:hAnsi="Times New Roman" w:cs="Times New Roman"/>
          <w:b/>
          <w:bCs/>
          <w:iCs/>
          <w:color w:val="000000"/>
          <w:sz w:val="24"/>
          <w:szCs w:val="24"/>
        </w:rPr>
      </w:pPr>
    </w:p>
    <w:p w14:paraId="392735AD" w14:textId="77777777" w:rsidR="0045369D" w:rsidRDefault="0045369D" w:rsidP="00434D2A">
      <w:pPr>
        <w:rPr>
          <w:rFonts w:ascii="Times New Roman" w:eastAsia="Times New Roman" w:hAnsi="Times New Roman" w:cs="Times New Roman"/>
          <w:b/>
          <w:bCs/>
          <w:iCs/>
          <w:color w:val="000000"/>
          <w:sz w:val="24"/>
          <w:szCs w:val="24"/>
        </w:rPr>
      </w:pPr>
    </w:p>
    <w:p w14:paraId="170936EC" w14:textId="77777777" w:rsidR="0045369D" w:rsidRDefault="0045369D" w:rsidP="00434D2A">
      <w:pPr>
        <w:rPr>
          <w:rFonts w:ascii="Times New Roman" w:eastAsia="Times New Roman" w:hAnsi="Times New Roman" w:cs="Times New Roman"/>
          <w:b/>
          <w:bCs/>
          <w:iCs/>
          <w:color w:val="000000"/>
          <w:sz w:val="24"/>
          <w:szCs w:val="24"/>
        </w:rPr>
      </w:pPr>
    </w:p>
    <w:p w14:paraId="4CABAAF5" w14:textId="77777777" w:rsidR="0045369D" w:rsidRDefault="0045369D" w:rsidP="00434D2A">
      <w:pPr>
        <w:rPr>
          <w:rFonts w:ascii="Times New Roman" w:eastAsia="Times New Roman" w:hAnsi="Times New Roman" w:cs="Times New Roman"/>
          <w:b/>
          <w:bCs/>
          <w:iCs/>
          <w:color w:val="000000"/>
          <w:sz w:val="24"/>
          <w:szCs w:val="24"/>
        </w:rPr>
      </w:pPr>
    </w:p>
    <w:p w14:paraId="2042D2D4" w14:textId="77777777" w:rsidR="0045369D" w:rsidRDefault="0045369D" w:rsidP="00434D2A">
      <w:pPr>
        <w:rPr>
          <w:rFonts w:ascii="Times New Roman" w:eastAsia="Times New Roman" w:hAnsi="Times New Roman" w:cs="Times New Roman"/>
          <w:b/>
          <w:bCs/>
          <w:iCs/>
          <w:color w:val="000000"/>
          <w:sz w:val="24"/>
          <w:szCs w:val="24"/>
        </w:rPr>
      </w:pPr>
    </w:p>
    <w:p w14:paraId="6D869733" w14:textId="77777777" w:rsidR="0045369D" w:rsidRDefault="0045369D" w:rsidP="00434D2A">
      <w:pPr>
        <w:rPr>
          <w:rFonts w:ascii="Times New Roman" w:eastAsia="Times New Roman" w:hAnsi="Times New Roman" w:cs="Times New Roman"/>
          <w:b/>
          <w:bCs/>
          <w:iCs/>
          <w:color w:val="000000"/>
          <w:sz w:val="24"/>
          <w:szCs w:val="24"/>
        </w:rPr>
      </w:pPr>
    </w:p>
    <w:p w14:paraId="04595B04" w14:textId="77777777" w:rsidR="0045369D" w:rsidRDefault="0045369D" w:rsidP="00434D2A">
      <w:pPr>
        <w:rPr>
          <w:rFonts w:ascii="Times New Roman" w:eastAsia="Times New Roman" w:hAnsi="Times New Roman" w:cs="Times New Roman"/>
          <w:b/>
          <w:bCs/>
          <w:iCs/>
          <w:color w:val="000000"/>
          <w:sz w:val="24"/>
          <w:szCs w:val="24"/>
        </w:rPr>
      </w:pPr>
    </w:p>
    <w:p w14:paraId="42E05B88" w14:textId="5F636CFF" w:rsidR="0088214A" w:rsidRPr="0045369D" w:rsidRDefault="00F36F10" w:rsidP="00434D2A">
      <w:pPr>
        <w:rPr>
          <w:rFonts w:ascii="Times New Roman" w:eastAsia="Times New Roman" w:hAnsi="Times New Roman" w:cs="Times New Roman"/>
          <w:b/>
          <w:bCs/>
          <w:iCs/>
          <w:color w:val="000000"/>
          <w:sz w:val="24"/>
          <w:szCs w:val="24"/>
        </w:rPr>
      </w:pPr>
      <w:r w:rsidRPr="0045369D">
        <w:rPr>
          <w:rFonts w:ascii="Times New Roman" w:eastAsia="Times New Roman" w:hAnsi="Times New Roman" w:cs="Times New Roman"/>
          <w:b/>
          <w:bCs/>
          <w:iCs/>
          <w:color w:val="000000"/>
          <w:sz w:val="24"/>
          <w:szCs w:val="24"/>
        </w:rPr>
        <w:lastRenderedPageBreak/>
        <w:t>Margins as a % of net sales</w:t>
      </w:r>
    </w:p>
    <w:p w14:paraId="3424374A" w14:textId="77777777" w:rsidR="009432B9" w:rsidRPr="0045369D" w:rsidRDefault="009432B9" w:rsidP="00434D2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iCs/>
          <w:color w:val="000000"/>
          <w:sz w:val="24"/>
          <w:szCs w:val="24"/>
        </w:rPr>
      </w:pPr>
      <w:r w:rsidRPr="0045369D">
        <w:rPr>
          <w:rFonts w:ascii="Times New Roman" w:eastAsia="Times New Roman" w:hAnsi="Times New Roman" w:cs="Times New Roman"/>
          <w:b/>
          <w:bCs/>
          <w:iCs/>
          <w:color w:val="000000"/>
          <w:sz w:val="24"/>
          <w:szCs w:val="24"/>
        </w:rPr>
        <w:t>Margins as a % of net sales</w:t>
      </w:r>
    </w:p>
    <w:p w14:paraId="6C69E547" w14:textId="77777777" w:rsidR="009432B9" w:rsidRPr="0045369D" w:rsidRDefault="009432B9" w:rsidP="00434D2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iCs/>
          <w:color w:val="000000"/>
          <w:sz w:val="24"/>
          <w:szCs w:val="24"/>
        </w:rPr>
      </w:pPr>
      <w:r w:rsidRPr="0045369D">
        <w:rPr>
          <w:rFonts w:ascii="Times New Roman" w:hAnsi="Times New Roman" w:cs="Times New Roman"/>
          <w:sz w:val="24"/>
          <w:szCs w:val="24"/>
        </w:rPr>
        <w:object w:dxaOrig="6676" w:dyaOrig="3345" w14:anchorId="40FDFCC1">
          <v:shape id="_x0000_i1033" type="#_x0000_t75" style="width:334.5pt;height:108pt" o:ole="">
            <v:imagedata r:id="rId23" o:title=""/>
          </v:shape>
          <o:OLEObject Type="Embed" ProgID="EViews.Workfile.2" ShapeID="_x0000_i1033" DrawAspect="Content" ObjectID="_1787828369" r:id="rId24"/>
        </w:object>
      </w:r>
    </w:p>
    <w:p w14:paraId="358DB500" w14:textId="77777777" w:rsidR="009432B9" w:rsidRPr="0045369D" w:rsidRDefault="009432B9" w:rsidP="00434D2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iCs/>
          <w:color w:val="000000"/>
          <w:sz w:val="24"/>
          <w:szCs w:val="24"/>
        </w:rPr>
      </w:pPr>
      <w:r w:rsidRPr="0045369D">
        <w:rPr>
          <w:rFonts w:ascii="Times New Roman" w:eastAsia="Times New Roman" w:hAnsi="Times New Roman" w:cs="Times New Roman"/>
          <w:b/>
          <w:bCs/>
          <w:iCs/>
          <w:color w:val="000000"/>
          <w:sz w:val="24"/>
          <w:szCs w:val="24"/>
        </w:rPr>
        <w:t>Operating expense/income</w:t>
      </w:r>
    </w:p>
    <w:p w14:paraId="1865A389" w14:textId="631C4E11" w:rsidR="009432B9" w:rsidRPr="0045369D" w:rsidRDefault="0045369D" w:rsidP="00434D2A">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bCs/>
          <w:iCs/>
          <w:color w:val="000000"/>
          <w:sz w:val="24"/>
          <w:szCs w:val="24"/>
        </w:rPr>
      </w:pPr>
      <w:r w:rsidRPr="0045369D">
        <w:rPr>
          <w:rFonts w:ascii="Times New Roman" w:hAnsi="Times New Roman" w:cs="Times New Roman"/>
          <w:sz w:val="24"/>
          <w:szCs w:val="24"/>
        </w:rPr>
        <w:object w:dxaOrig="10125" w:dyaOrig="6525" w14:anchorId="6AD65C24">
          <v:shape id="_x0000_i1034" type="#_x0000_t75" style="width:468pt;height:255.75pt" o:ole="">
            <v:imagedata r:id="rId25" o:title=""/>
          </v:shape>
          <o:OLEObject Type="Embed" ProgID="EViews.Workfile.2" ShapeID="_x0000_i1034" DrawAspect="Content" ObjectID="_1787828370" r:id="rId26"/>
        </w:object>
      </w:r>
    </w:p>
    <w:p w14:paraId="0E3F6CC7" w14:textId="77777777" w:rsidR="009432B9" w:rsidRPr="0045369D" w:rsidRDefault="009432B9" w:rsidP="00434D2A">
      <w:pPr>
        <w:jc w:val="both"/>
        <w:rPr>
          <w:rFonts w:ascii="Times New Roman" w:eastAsia="Times New Roman" w:hAnsi="Times New Roman" w:cs="Times New Roman"/>
          <w:bCs/>
          <w:iCs/>
          <w:color w:val="000000"/>
          <w:sz w:val="24"/>
          <w:szCs w:val="24"/>
        </w:rPr>
      </w:pPr>
      <w:r w:rsidRPr="0045369D">
        <w:rPr>
          <w:rFonts w:ascii="Times New Roman" w:eastAsia="Times New Roman" w:hAnsi="Times New Roman" w:cs="Times New Roman"/>
          <w:bCs/>
          <w:iCs/>
          <w:color w:val="000000"/>
          <w:sz w:val="24"/>
          <w:szCs w:val="24"/>
        </w:rPr>
        <w:t xml:space="preserve">Figure </w:t>
      </w:r>
      <w:r w:rsidR="00A46BB6" w:rsidRPr="0045369D">
        <w:rPr>
          <w:rFonts w:ascii="Times New Roman" w:eastAsia="Times New Roman" w:hAnsi="Times New Roman" w:cs="Times New Roman"/>
          <w:bCs/>
          <w:iCs/>
          <w:color w:val="000000"/>
          <w:sz w:val="24"/>
          <w:szCs w:val="24"/>
        </w:rPr>
        <w:t>8</w:t>
      </w:r>
    </w:p>
    <w:p w14:paraId="323CD600" w14:textId="45AF18B9" w:rsidR="00F36F10" w:rsidRPr="0045369D" w:rsidRDefault="00F36F10" w:rsidP="00434D2A">
      <w:pPr>
        <w:jc w:val="both"/>
        <w:rPr>
          <w:rFonts w:ascii="Times New Roman" w:eastAsia="Times New Roman" w:hAnsi="Times New Roman" w:cs="Times New Roman"/>
          <w:sz w:val="24"/>
          <w:szCs w:val="24"/>
          <w:lang w:eastAsia="en-GB"/>
        </w:rPr>
      </w:pPr>
      <w:r w:rsidRPr="0045369D">
        <w:rPr>
          <w:rFonts w:ascii="Times New Roman" w:eastAsia="Times New Roman" w:hAnsi="Times New Roman" w:cs="Times New Roman"/>
          <w:bCs/>
          <w:iCs/>
          <w:color w:val="000000"/>
          <w:sz w:val="24"/>
          <w:szCs w:val="24"/>
        </w:rPr>
        <w:t>The analysis of</w:t>
      </w:r>
      <w:r w:rsidRPr="0045369D">
        <w:rPr>
          <w:rFonts w:ascii="Times New Roman" w:hAnsi="Times New Roman" w:cs="Times New Roman"/>
          <w:sz w:val="24"/>
          <w:szCs w:val="24"/>
        </w:rPr>
        <w:t xml:space="preserve"> </w:t>
      </w:r>
      <w:r w:rsidR="00E75439" w:rsidRPr="0045369D">
        <w:rPr>
          <w:rFonts w:ascii="Times New Roman" w:eastAsia="Times New Roman" w:hAnsi="Times New Roman" w:cs="Times New Roman"/>
          <w:bCs/>
          <w:iCs/>
          <w:color w:val="000000"/>
          <w:sz w:val="24"/>
          <w:szCs w:val="24"/>
        </w:rPr>
        <w:t>Margins as a percentage of net s</w:t>
      </w:r>
      <w:r w:rsidRPr="0045369D">
        <w:rPr>
          <w:rFonts w:ascii="Times New Roman" w:eastAsia="Times New Roman" w:hAnsi="Times New Roman" w:cs="Times New Roman"/>
          <w:bCs/>
          <w:iCs/>
          <w:color w:val="000000"/>
          <w:sz w:val="24"/>
          <w:szCs w:val="24"/>
        </w:rPr>
        <w:t xml:space="preserve">ales </w:t>
      </w:r>
      <w:r w:rsidR="00C845BA" w:rsidRPr="0045369D">
        <w:rPr>
          <w:rFonts w:ascii="Times New Roman" w:eastAsia="Times New Roman" w:hAnsi="Times New Roman" w:cs="Times New Roman"/>
          <w:bCs/>
          <w:iCs/>
          <w:color w:val="000000"/>
          <w:sz w:val="24"/>
          <w:szCs w:val="24"/>
        </w:rPr>
        <w:t xml:space="preserve">and </w:t>
      </w:r>
      <w:r w:rsidR="00C845BA" w:rsidRPr="0045369D">
        <w:rPr>
          <w:rFonts w:ascii="Times New Roman" w:eastAsia="Times New Roman" w:hAnsi="Times New Roman" w:cs="Times New Roman"/>
          <w:bCs/>
          <w:color w:val="000000"/>
          <w:sz w:val="24"/>
          <w:szCs w:val="24"/>
        </w:rPr>
        <w:t>each operating expenses are done using a pie chart and dot plot respectively</w:t>
      </w:r>
      <w:r w:rsidR="00C845BA" w:rsidRPr="0045369D">
        <w:rPr>
          <w:rFonts w:ascii="Times New Roman" w:eastAsia="Times New Roman" w:hAnsi="Times New Roman" w:cs="Times New Roman"/>
          <w:bCs/>
          <w:iCs/>
          <w:color w:val="000000"/>
          <w:sz w:val="24"/>
          <w:szCs w:val="24"/>
        </w:rPr>
        <w:t xml:space="preserve"> </w:t>
      </w:r>
      <w:r w:rsidRPr="0045369D">
        <w:rPr>
          <w:rFonts w:ascii="Times New Roman" w:eastAsia="Times New Roman" w:hAnsi="Times New Roman" w:cs="Times New Roman"/>
          <w:bCs/>
          <w:iCs/>
          <w:color w:val="000000"/>
          <w:sz w:val="24"/>
          <w:szCs w:val="24"/>
        </w:rPr>
        <w:t>(2020-2022)</w:t>
      </w:r>
      <w:r w:rsidR="00C845BA" w:rsidRPr="0045369D">
        <w:rPr>
          <w:rFonts w:ascii="Times New Roman" w:eastAsia="Times New Roman" w:hAnsi="Times New Roman" w:cs="Times New Roman"/>
          <w:bCs/>
          <w:iCs/>
          <w:color w:val="000000"/>
          <w:sz w:val="24"/>
          <w:szCs w:val="24"/>
        </w:rPr>
        <w:t>.</w:t>
      </w:r>
      <w:r w:rsidRPr="0045369D">
        <w:rPr>
          <w:rFonts w:ascii="Times New Roman" w:eastAsia="Times New Roman" w:hAnsi="Times New Roman" w:cs="Times New Roman"/>
          <w:bCs/>
          <w:iCs/>
          <w:color w:val="000000"/>
          <w:sz w:val="24"/>
          <w:szCs w:val="24"/>
        </w:rPr>
        <w:t xml:space="preserve"> </w:t>
      </w:r>
      <w:r w:rsidR="00E75439" w:rsidRPr="0045369D">
        <w:rPr>
          <w:rFonts w:ascii="Times New Roman" w:eastAsia="Times New Roman" w:hAnsi="Times New Roman" w:cs="Times New Roman"/>
          <w:bCs/>
          <w:iCs/>
          <w:color w:val="000000"/>
          <w:sz w:val="24"/>
          <w:szCs w:val="24"/>
        </w:rPr>
        <w:t xml:space="preserve">It is essential to evaluate key margins as a percentage of net sales, cost of goods </w:t>
      </w:r>
      <w:r w:rsidR="00442207" w:rsidRPr="0045369D">
        <w:rPr>
          <w:rFonts w:ascii="Times New Roman" w:eastAsia="Times New Roman" w:hAnsi="Times New Roman" w:cs="Times New Roman"/>
          <w:bCs/>
          <w:iCs/>
          <w:color w:val="000000"/>
          <w:sz w:val="24"/>
          <w:szCs w:val="24"/>
        </w:rPr>
        <w:t>sold,</w:t>
      </w:r>
      <w:r w:rsidR="00E75439" w:rsidRPr="0045369D">
        <w:rPr>
          <w:rFonts w:ascii="Times New Roman" w:eastAsia="Times New Roman" w:hAnsi="Times New Roman" w:cs="Times New Roman"/>
          <w:bCs/>
          <w:iCs/>
          <w:color w:val="000000"/>
          <w:sz w:val="24"/>
          <w:szCs w:val="24"/>
        </w:rPr>
        <w:t xml:space="preserve"> and gross profit margin are used here. Also, the operating expenses like depreciation and amortization and </w:t>
      </w:r>
      <w:r w:rsidR="00F25888" w:rsidRPr="0045369D">
        <w:rPr>
          <w:rFonts w:ascii="Times New Roman" w:eastAsia="Times New Roman" w:hAnsi="Times New Roman" w:cs="Times New Roman"/>
          <w:bCs/>
          <w:iCs/>
          <w:color w:val="000000"/>
          <w:sz w:val="24"/>
          <w:szCs w:val="24"/>
        </w:rPr>
        <w:t>share-based</w:t>
      </w:r>
      <w:r w:rsidR="00E75439" w:rsidRPr="0045369D">
        <w:rPr>
          <w:rFonts w:ascii="Times New Roman" w:eastAsia="Times New Roman" w:hAnsi="Times New Roman" w:cs="Times New Roman"/>
          <w:bCs/>
          <w:iCs/>
          <w:color w:val="000000"/>
          <w:sz w:val="24"/>
          <w:szCs w:val="24"/>
        </w:rPr>
        <w:t xml:space="preserve"> compensation </w:t>
      </w:r>
      <w:r w:rsidR="00F25888" w:rsidRPr="0045369D">
        <w:rPr>
          <w:rFonts w:ascii="Times New Roman" w:eastAsia="Times New Roman" w:hAnsi="Times New Roman" w:cs="Times New Roman"/>
          <w:bCs/>
          <w:iCs/>
          <w:color w:val="000000"/>
          <w:sz w:val="24"/>
          <w:szCs w:val="24"/>
        </w:rPr>
        <w:t>expenses</w:t>
      </w:r>
      <w:r w:rsidR="00E75439" w:rsidRPr="0045369D">
        <w:rPr>
          <w:rFonts w:ascii="Times New Roman" w:eastAsia="Times New Roman" w:hAnsi="Times New Roman" w:cs="Times New Roman"/>
          <w:bCs/>
          <w:iCs/>
          <w:color w:val="000000"/>
          <w:sz w:val="24"/>
          <w:szCs w:val="24"/>
        </w:rPr>
        <w:t xml:space="preserve"> of the firm are examined. The cost of goods sold (COGS) of the company over</w:t>
      </w:r>
      <w:r w:rsidR="00F42C55" w:rsidRPr="0045369D">
        <w:rPr>
          <w:rFonts w:ascii="Times New Roman" w:eastAsia="Times New Roman" w:hAnsi="Times New Roman" w:cs="Times New Roman"/>
          <w:bCs/>
          <w:iCs/>
          <w:color w:val="000000"/>
          <w:sz w:val="24"/>
          <w:szCs w:val="24"/>
        </w:rPr>
        <w:t xml:space="preserve"> </w:t>
      </w:r>
      <w:r w:rsidR="00F25888" w:rsidRPr="0045369D">
        <w:rPr>
          <w:rFonts w:ascii="Times New Roman" w:eastAsia="Times New Roman" w:hAnsi="Times New Roman" w:cs="Times New Roman"/>
          <w:bCs/>
          <w:iCs/>
          <w:color w:val="000000"/>
          <w:sz w:val="24"/>
          <w:szCs w:val="24"/>
        </w:rPr>
        <w:t>the three years</w:t>
      </w:r>
      <w:r w:rsidR="00F42C55" w:rsidRPr="0045369D">
        <w:rPr>
          <w:rFonts w:ascii="Times New Roman" w:eastAsia="Times New Roman" w:hAnsi="Times New Roman" w:cs="Times New Roman"/>
          <w:bCs/>
          <w:iCs/>
          <w:color w:val="000000"/>
          <w:sz w:val="24"/>
          <w:szCs w:val="24"/>
        </w:rPr>
        <w:t xml:space="preserve"> </w:t>
      </w:r>
      <w:r w:rsidR="00F25888" w:rsidRPr="0045369D">
        <w:rPr>
          <w:rFonts w:ascii="Times New Roman" w:eastAsia="Times New Roman" w:hAnsi="Times New Roman" w:cs="Times New Roman"/>
          <w:bCs/>
          <w:iCs/>
          <w:color w:val="000000"/>
          <w:sz w:val="24"/>
          <w:szCs w:val="24"/>
        </w:rPr>
        <w:t>declined</w:t>
      </w:r>
      <w:r w:rsidR="00F42C55" w:rsidRPr="0045369D">
        <w:rPr>
          <w:rFonts w:ascii="Times New Roman" w:eastAsia="Times New Roman" w:hAnsi="Times New Roman" w:cs="Times New Roman"/>
          <w:bCs/>
          <w:iCs/>
          <w:color w:val="000000"/>
          <w:sz w:val="24"/>
          <w:szCs w:val="24"/>
        </w:rPr>
        <w:t xml:space="preserve"> consistently. The decline of COGS reveals that the company is efficient in its operations as the cost of producing goods </w:t>
      </w:r>
      <w:r w:rsidR="00F25888" w:rsidRPr="0045369D">
        <w:rPr>
          <w:rFonts w:ascii="Times New Roman" w:eastAsia="Times New Roman" w:hAnsi="Times New Roman" w:cs="Times New Roman"/>
          <w:bCs/>
          <w:iCs/>
          <w:color w:val="000000"/>
          <w:sz w:val="24"/>
          <w:szCs w:val="24"/>
        </w:rPr>
        <w:t xml:space="preserve">is </w:t>
      </w:r>
      <w:r w:rsidR="00F42C55" w:rsidRPr="0045369D">
        <w:rPr>
          <w:rFonts w:ascii="Times New Roman" w:eastAsia="Times New Roman" w:hAnsi="Times New Roman" w:cs="Times New Roman"/>
          <w:bCs/>
          <w:iCs/>
          <w:color w:val="000000"/>
          <w:sz w:val="24"/>
          <w:szCs w:val="24"/>
        </w:rPr>
        <w:t xml:space="preserve">reduced. This decrease also shows that the company has better supply chain management, </w:t>
      </w:r>
      <w:r w:rsidR="00F25888" w:rsidRPr="0045369D">
        <w:rPr>
          <w:rFonts w:ascii="Times New Roman" w:eastAsia="Times New Roman" w:hAnsi="Times New Roman" w:cs="Times New Roman"/>
          <w:bCs/>
          <w:iCs/>
          <w:color w:val="000000"/>
          <w:sz w:val="24"/>
          <w:szCs w:val="24"/>
        </w:rPr>
        <w:t>can</w:t>
      </w:r>
      <w:r w:rsidR="00F42C55" w:rsidRPr="0045369D">
        <w:rPr>
          <w:rFonts w:ascii="Times New Roman" w:eastAsia="Times New Roman" w:hAnsi="Times New Roman" w:cs="Times New Roman"/>
          <w:bCs/>
          <w:iCs/>
          <w:color w:val="000000"/>
          <w:sz w:val="24"/>
          <w:szCs w:val="24"/>
        </w:rPr>
        <w:t xml:space="preserve"> negotiate excellently with its suppliers and </w:t>
      </w:r>
      <w:r w:rsidR="00F25888" w:rsidRPr="0045369D">
        <w:rPr>
          <w:rFonts w:ascii="Times New Roman" w:eastAsia="Times New Roman" w:hAnsi="Times New Roman" w:cs="Times New Roman"/>
          <w:bCs/>
          <w:iCs/>
          <w:color w:val="000000"/>
          <w:sz w:val="24"/>
          <w:szCs w:val="24"/>
        </w:rPr>
        <w:t xml:space="preserve">that </w:t>
      </w:r>
      <w:r w:rsidR="00F42C55" w:rsidRPr="0045369D">
        <w:rPr>
          <w:rFonts w:ascii="Times New Roman" w:eastAsia="Times New Roman" w:hAnsi="Times New Roman" w:cs="Times New Roman"/>
          <w:bCs/>
          <w:iCs/>
          <w:color w:val="000000"/>
          <w:sz w:val="24"/>
          <w:szCs w:val="24"/>
        </w:rPr>
        <w:t xml:space="preserve">production processes </w:t>
      </w:r>
      <w:r w:rsidR="00F25888" w:rsidRPr="0045369D">
        <w:rPr>
          <w:rFonts w:ascii="Times New Roman" w:eastAsia="Times New Roman" w:hAnsi="Times New Roman" w:cs="Times New Roman"/>
          <w:bCs/>
          <w:iCs/>
          <w:color w:val="000000"/>
          <w:sz w:val="24"/>
          <w:szCs w:val="24"/>
        </w:rPr>
        <w:t>are</w:t>
      </w:r>
      <w:r w:rsidR="00F42C55" w:rsidRPr="0045369D">
        <w:rPr>
          <w:rFonts w:ascii="Times New Roman" w:eastAsia="Times New Roman" w:hAnsi="Times New Roman" w:cs="Times New Roman"/>
          <w:bCs/>
          <w:iCs/>
          <w:color w:val="000000"/>
          <w:sz w:val="24"/>
          <w:szCs w:val="24"/>
        </w:rPr>
        <w:t xml:space="preserve"> optimized. Therefore, the company </w:t>
      </w:r>
      <w:r w:rsidR="00F25888" w:rsidRPr="0045369D">
        <w:rPr>
          <w:rFonts w:ascii="Times New Roman" w:eastAsia="Times New Roman" w:hAnsi="Times New Roman" w:cs="Times New Roman"/>
          <w:bCs/>
          <w:iCs/>
          <w:color w:val="000000"/>
          <w:sz w:val="24"/>
          <w:szCs w:val="24"/>
        </w:rPr>
        <w:t>can</w:t>
      </w:r>
      <w:r w:rsidR="00F42C55" w:rsidRPr="0045369D">
        <w:rPr>
          <w:rFonts w:ascii="Times New Roman" w:eastAsia="Times New Roman" w:hAnsi="Times New Roman" w:cs="Times New Roman"/>
          <w:bCs/>
          <w:iCs/>
          <w:color w:val="000000"/>
          <w:sz w:val="24"/>
          <w:szCs w:val="24"/>
        </w:rPr>
        <w:t xml:space="preserve"> make significant profits. </w:t>
      </w:r>
      <w:r w:rsidRPr="0045369D">
        <w:rPr>
          <w:rFonts w:ascii="Times New Roman" w:eastAsia="Times New Roman" w:hAnsi="Times New Roman" w:cs="Times New Roman"/>
          <w:sz w:val="24"/>
          <w:szCs w:val="24"/>
          <w:lang w:eastAsia="en-GB"/>
        </w:rPr>
        <w:t xml:space="preserve">The </w:t>
      </w:r>
      <w:r w:rsidR="0041702E" w:rsidRPr="0045369D">
        <w:rPr>
          <w:rFonts w:ascii="Times New Roman" w:eastAsia="Times New Roman" w:hAnsi="Times New Roman" w:cs="Times New Roman"/>
          <w:bCs/>
          <w:sz w:val="24"/>
          <w:szCs w:val="24"/>
          <w:lang w:eastAsia="en-GB"/>
        </w:rPr>
        <w:t>gross profit margin</w:t>
      </w:r>
      <w:r w:rsidR="0041702E" w:rsidRPr="0045369D">
        <w:rPr>
          <w:rFonts w:ascii="Times New Roman" w:eastAsia="Times New Roman" w:hAnsi="Times New Roman" w:cs="Times New Roman"/>
          <w:sz w:val="24"/>
          <w:szCs w:val="24"/>
          <w:lang w:eastAsia="en-GB"/>
        </w:rPr>
        <w:t xml:space="preserve"> is part of sales revenue that is above the COGS, and it shows the ability of the </w:t>
      </w:r>
      <w:r w:rsidR="00442207" w:rsidRPr="0045369D">
        <w:rPr>
          <w:rFonts w:ascii="Times New Roman" w:eastAsia="Times New Roman" w:hAnsi="Times New Roman" w:cs="Times New Roman"/>
          <w:sz w:val="24"/>
          <w:szCs w:val="24"/>
          <w:lang w:eastAsia="en-GB"/>
        </w:rPr>
        <w:t>firm</w:t>
      </w:r>
      <w:r w:rsidR="0041702E" w:rsidRPr="0045369D">
        <w:rPr>
          <w:rFonts w:ascii="Times New Roman" w:eastAsia="Times New Roman" w:hAnsi="Times New Roman" w:cs="Times New Roman"/>
          <w:sz w:val="24"/>
          <w:szCs w:val="24"/>
          <w:lang w:eastAsia="en-GB"/>
        </w:rPr>
        <w:t xml:space="preserve"> </w:t>
      </w:r>
      <w:r w:rsidR="00F25888" w:rsidRPr="0045369D">
        <w:rPr>
          <w:rFonts w:ascii="Times New Roman" w:eastAsia="Times New Roman" w:hAnsi="Times New Roman" w:cs="Times New Roman"/>
          <w:sz w:val="24"/>
          <w:szCs w:val="24"/>
          <w:lang w:eastAsia="en-GB"/>
        </w:rPr>
        <w:t>to manage</w:t>
      </w:r>
      <w:r w:rsidR="0041702E" w:rsidRPr="0045369D">
        <w:rPr>
          <w:rFonts w:ascii="Times New Roman" w:eastAsia="Times New Roman" w:hAnsi="Times New Roman" w:cs="Times New Roman"/>
          <w:sz w:val="24"/>
          <w:szCs w:val="24"/>
          <w:lang w:eastAsia="en-GB"/>
        </w:rPr>
        <w:t xml:space="preserve"> </w:t>
      </w:r>
      <w:r w:rsidR="00F25888" w:rsidRPr="0045369D">
        <w:rPr>
          <w:rFonts w:ascii="Times New Roman" w:eastAsia="Times New Roman" w:hAnsi="Times New Roman" w:cs="Times New Roman"/>
          <w:sz w:val="24"/>
          <w:szCs w:val="24"/>
          <w:lang w:eastAsia="en-GB"/>
        </w:rPr>
        <w:t>its</w:t>
      </w:r>
      <w:r w:rsidR="0041702E" w:rsidRPr="0045369D">
        <w:rPr>
          <w:rFonts w:ascii="Times New Roman" w:eastAsia="Times New Roman" w:hAnsi="Times New Roman" w:cs="Times New Roman"/>
          <w:sz w:val="24"/>
          <w:szCs w:val="24"/>
          <w:lang w:eastAsia="en-GB"/>
        </w:rPr>
        <w:t xml:space="preserve"> pricing and input costs over time.</w:t>
      </w:r>
      <w:r w:rsidR="00042170" w:rsidRPr="0045369D">
        <w:rPr>
          <w:rFonts w:ascii="Times New Roman" w:eastAsia="Times New Roman" w:hAnsi="Times New Roman" w:cs="Times New Roman"/>
          <w:sz w:val="24"/>
          <w:szCs w:val="24"/>
          <w:lang w:eastAsia="en-GB"/>
        </w:rPr>
        <w:t xml:space="preserve"> The gross profit of the company </w:t>
      </w:r>
      <w:r w:rsidR="00F25888" w:rsidRPr="0045369D">
        <w:rPr>
          <w:rFonts w:ascii="Times New Roman" w:eastAsia="Times New Roman" w:hAnsi="Times New Roman" w:cs="Times New Roman"/>
          <w:sz w:val="24"/>
          <w:szCs w:val="24"/>
          <w:lang w:eastAsia="en-GB"/>
        </w:rPr>
        <w:t>rose</w:t>
      </w:r>
      <w:r w:rsidR="00042170" w:rsidRPr="0045369D">
        <w:rPr>
          <w:rFonts w:ascii="Times New Roman" w:eastAsia="Times New Roman" w:hAnsi="Times New Roman" w:cs="Times New Roman"/>
          <w:sz w:val="24"/>
          <w:szCs w:val="24"/>
          <w:lang w:eastAsia="en-GB"/>
        </w:rPr>
        <w:t xml:space="preserve"> from 38.23 in </w:t>
      </w:r>
      <w:r w:rsidR="00042170" w:rsidRPr="0045369D">
        <w:rPr>
          <w:rFonts w:ascii="Times New Roman" w:eastAsia="Times New Roman" w:hAnsi="Times New Roman" w:cs="Times New Roman"/>
          <w:sz w:val="24"/>
          <w:szCs w:val="24"/>
          <w:lang w:eastAsia="en-GB"/>
        </w:rPr>
        <w:lastRenderedPageBreak/>
        <w:t xml:space="preserve">2020 to 43.31 in 2022. This is an indication that the company </w:t>
      </w:r>
      <w:r w:rsidR="00F25888" w:rsidRPr="0045369D">
        <w:rPr>
          <w:rFonts w:ascii="Times New Roman" w:eastAsia="Times New Roman" w:hAnsi="Times New Roman" w:cs="Times New Roman"/>
          <w:sz w:val="24"/>
          <w:szCs w:val="24"/>
          <w:lang w:eastAsia="en-GB"/>
        </w:rPr>
        <w:t>succeeded</w:t>
      </w:r>
      <w:r w:rsidR="00CB33C2" w:rsidRPr="0045369D">
        <w:rPr>
          <w:rFonts w:ascii="Times New Roman" w:eastAsia="Times New Roman" w:hAnsi="Times New Roman" w:cs="Times New Roman"/>
          <w:sz w:val="24"/>
          <w:szCs w:val="24"/>
          <w:lang w:eastAsia="en-GB"/>
        </w:rPr>
        <w:t xml:space="preserve"> in adjusting production costs while still maintaining revenue growth.</w:t>
      </w:r>
      <w:r w:rsidR="002D3EB1" w:rsidRPr="0045369D">
        <w:rPr>
          <w:rFonts w:ascii="Times New Roman" w:eastAsia="Times New Roman" w:hAnsi="Times New Roman" w:cs="Times New Roman"/>
          <w:sz w:val="24"/>
          <w:szCs w:val="24"/>
          <w:lang w:eastAsia="en-GB"/>
        </w:rPr>
        <w:t xml:space="preserve"> </w:t>
      </w:r>
    </w:p>
    <w:p w14:paraId="62EA9152" w14:textId="76FE5602" w:rsidR="00F36F10" w:rsidRPr="0045369D" w:rsidRDefault="00CB33C2" w:rsidP="00434D2A">
      <w:pPr>
        <w:spacing w:line="240" w:lineRule="auto"/>
        <w:jc w:val="both"/>
        <w:rPr>
          <w:rFonts w:ascii="Times New Roman" w:eastAsia="Times New Roman" w:hAnsi="Times New Roman" w:cs="Times New Roman"/>
          <w:sz w:val="24"/>
          <w:szCs w:val="24"/>
          <w:lang w:eastAsia="en-GB"/>
        </w:rPr>
      </w:pPr>
      <w:r w:rsidRPr="0045369D">
        <w:rPr>
          <w:rFonts w:ascii="Times New Roman" w:eastAsia="Times New Roman" w:hAnsi="Times New Roman" w:cs="Times New Roman"/>
          <w:bCs/>
          <w:sz w:val="24"/>
          <w:szCs w:val="24"/>
          <w:lang w:eastAsia="en-GB"/>
        </w:rPr>
        <w:t>The o</w:t>
      </w:r>
      <w:r w:rsidR="00F36F10" w:rsidRPr="0045369D">
        <w:rPr>
          <w:rFonts w:ascii="Times New Roman" w:eastAsia="Times New Roman" w:hAnsi="Times New Roman" w:cs="Times New Roman"/>
          <w:bCs/>
          <w:sz w:val="24"/>
          <w:szCs w:val="24"/>
          <w:lang w:eastAsia="en-GB"/>
        </w:rPr>
        <w:t>perating expenses</w:t>
      </w:r>
      <w:r w:rsidR="00F36F10" w:rsidRPr="0045369D">
        <w:rPr>
          <w:rFonts w:ascii="Times New Roman" w:eastAsia="Times New Roman" w:hAnsi="Times New Roman" w:cs="Times New Roman"/>
          <w:sz w:val="24"/>
          <w:szCs w:val="24"/>
          <w:lang w:eastAsia="en-GB"/>
        </w:rPr>
        <w:t xml:space="preserve"> </w:t>
      </w:r>
      <w:r w:rsidRPr="0045369D">
        <w:rPr>
          <w:rFonts w:ascii="Times New Roman" w:eastAsia="Times New Roman" w:hAnsi="Times New Roman" w:cs="Times New Roman"/>
          <w:sz w:val="24"/>
          <w:szCs w:val="24"/>
          <w:lang w:eastAsia="en-GB"/>
        </w:rPr>
        <w:t xml:space="preserve">of the firm </w:t>
      </w:r>
      <w:r w:rsidR="00F25888" w:rsidRPr="0045369D">
        <w:rPr>
          <w:rFonts w:ascii="Times New Roman" w:eastAsia="Times New Roman" w:hAnsi="Times New Roman" w:cs="Times New Roman"/>
          <w:sz w:val="24"/>
          <w:szCs w:val="24"/>
          <w:lang w:eastAsia="en-GB"/>
        </w:rPr>
        <w:t>include</w:t>
      </w:r>
      <w:r w:rsidRPr="0045369D">
        <w:rPr>
          <w:rFonts w:ascii="Times New Roman" w:eastAsia="Times New Roman" w:hAnsi="Times New Roman" w:cs="Times New Roman"/>
          <w:sz w:val="24"/>
          <w:szCs w:val="24"/>
          <w:lang w:eastAsia="en-GB"/>
        </w:rPr>
        <w:t xml:space="preserve"> the costs </w:t>
      </w:r>
      <w:r w:rsidR="00F25888" w:rsidRPr="0045369D">
        <w:rPr>
          <w:rFonts w:ascii="Times New Roman" w:eastAsia="Times New Roman" w:hAnsi="Times New Roman" w:cs="Times New Roman"/>
          <w:sz w:val="24"/>
          <w:szCs w:val="24"/>
          <w:lang w:eastAsia="en-GB"/>
        </w:rPr>
        <w:t>involved</w:t>
      </w:r>
      <w:r w:rsidRPr="0045369D">
        <w:rPr>
          <w:rFonts w:ascii="Times New Roman" w:eastAsia="Times New Roman" w:hAnsi="Times New Roman" w:cs="Times New Roman"/>
          <w:sz w:val="24"/>
          <w:szCs w:val="24"/>
          <w:lang w:eastAsia="en-GB"/>
        </w:rPr>
        <w:t xml:space="preserve"> in</w:t>
      </w:r>
      <w:r w:rsidR="00F36F10" w:rsidRPr="0045369D">
        <w:rPr>
          <w:rFonts w:ascii="Times New Roman" w:eastAsia="Times New Roman" w:hAnsi="Times New Roman" w:cs="Times New Roman"/>
          <w:sz w:val="24"/>
          <w:szCs w:val="24"/>
          <w:lang w:eastAsia="en-GB"/>
        </w:rPr>
        <w:t xml:space="preserve"> running the company’</w:t>
      </w:r>
      <w:r w:rsidRPr="0045369D">
        <w:rPr>
          <w:rFonts w:ascii="Times New Roman" w:eastAsia="Times New Roman" w:hAnsi="Times New Roman" w:cs="Times New Roman"/>
          <w:sz w:val="24"/>
          <w:szCs w:val="24"/>
          <w:lang w:eastAsia="en-GB"/>
        </w:rPr>
        <w:t>s core business.</w:t>
      </w:r>
      <w:r w:rsidR="00F36F10" w:rsidRPr="0045369D">
        <w:rPr>
          <w:rFonts w:ascii="Times New Roman" w:eastAsia="Times New Roman" w:hAnsi="Times New Roman" w:cs="Times New Roman"/>
          <w:sz w:val="24"/>
          <w:szCs w:val="24"/>
          <w:lang w:eastAsia="en-GB"/>
        </w:rPr>
        <w:t xml:space="preserve"> </w:t>
      </w:r>
      <w:r w:rsidRPr="0045369D">
        <w:rPr>
          <w:rFonts w:ascii="Times New Roman" w:eastAsia="Times New Roman" w:hAnsi="Times New Roman" w:cs="Times New Roman"/>
          <w:sz w:val="24"/>
          <w:szCs w:val="24"/>
          <w:lang w:eastAsia="en-GB"/>
        </w:rPr>
        <w:t>They are</w:t>
      </w:r>
      <w:r w:rsidR="00F36F10" w:rsidRPr="0045369D">
        <w:rPr>
          <w:rFonts w:ascii="Times New Roman" w:eastAsia="Times New Roman" w:hAnsi="Times New Roman" w:cs="Times New Roman"/>
          <w:sz w:val="24"/>
          <w:szCs w:val="24"/>
          <w:lang w:eastAsia="en-GB"/>
        </w:rPr>
        <w:t xml:space="preserve"> </w:t>
      </w:r>
      <w:r w:rsidRPr="0045369D">
        <w:rPr>
          <w:rFonts w:ascii="Times New Roman" w:eastAsia="Times New Roman" w:hAnsi="Times New Roman" w:cs="Times New Roman"/>
          <w:bCs/>
          <w:sz w:val="24"/>
          <w:szCs w:val="24"/>
          <w:lang w:eastAsia="en-GB"/>
        </w:rPr>
        <w:t>depreciation and a</w:t>
      </w:r>
      <w:r w:rsidR="00F36F10" w:rsidRPr="0045369D">
        <w:rPr>
          <w:rFonts w:ascii="Times New Roman" w:eastAsia="Times New Roman" w:hAnsi="Times New Roman" w:cs="Times New Roman"/>
          <w:bCs/>
          <w:sz w:val="24"/>
          <w:szCs w:val="24"/>
          <w:lang w:eastAsia="en-GB"/>
        </w:rPr>
        <w:t>mortization</w:t>
      </w:r>
      <w:r w:rsidR="00F36F10" w:rsidRPr="0045369D">
        <w:rPr>
          <w:rFonts w:ascii="Times New Roman" w:eastAsia="Times New Roman" w:hAnsi="Times New Roman" w:cs="Times New Roman"/>
          <w:sz w:val="24"/>
          <w:szCs w:val="24"/>
          <w:lang w:eastAsia="en-GB"/>
        </w:rPr>
        <w:t xml:space="preserve">, </w:t>
      </w:r>
      <w:r w:rsidRPr="0045369D">
        <w:rPr>
          <w:rFonts w:ascii="Times New Roman" w:eastAsia="Times New Roman" w:hAnsi="Times New Roman" w:cs="Times New Roman"/>
          <w:bCs/>
          <w:sz w:val="24"/>
          <w:szCs w:val="24"/>
          <w:lang w:eastAsia="en-GB"/>
        </w:rPr>
        <w:t>share-based compensation</w:t>
      </w:r>
      <w:r w:rsidRPr="0045369D">
        <w:rPr>
          <w:rFonts w:ascii="Times New Roman" w:eastAsia="Times New Roman" w:hAnsi="Times New Roman" w:cs="Times New Roman"/>
          <w:sz w:val="24"/>
          <w:szCs w:val="24"/>
          <w:lang w:eastAsia="en-GB"/>
        </w:rPr>
        <w:t xml:space="preserve">, </w:t>
      </w:r>
      <w:r w:rsidRPr="0045369D">
        <w:rPr>
          <w:rFonts w:ascii="Times New Roman" w:eastAsia="Times New Roman" w:hAnsi="Times New Roman" w:cs="Times New Roman"/>
          <w:bCs/>
          <w:sz w:val="24"/>
          <w:szCs w:val="24"/>
          <w:lang w:eastAsia="en-GB"/>
        </w:rPr>
        <w:t>deferred income tax expense/benefit</w:t>
      </w:r>
      <w:r w:rsidRPr="0045369D">
        <w:rPr>
          <w:rFonts w:ascii="Times New Roman" w:eastAsia="Times New Roman" w:hAnsi="Times New Roman" w:cs="Times New Roman"/>
          <w:sz w:val="24"/>
          <w:szCs w:val="24"/>
          <w:lang w:eastAsia="en-GB"/>
        </w:rPr>
        <w:t xml:space="preserve">, and </w:t>
      </w:r>
      <w:r w:rsidRPr="0045369D">
        <w:rPr>
          <w:rFonts w:ascii="Times New Roman" w:eastAsia="Times New Roman" w:hAnsi="Times New Roman" w:cs="Times New Roman"/>
          <w:bCs/>
          <w:sz w:val="24"/>
          <w:szCs w:val="24"/>
          <w:lang w:eastAsia="en-GB"/>
        </w:rPr>
        <w:t>other expenses</w:t>
      </w:r>
      <w:r w:rsidRPr="0045369D">
        <w:rPr>
          <w:rFonts w:ascii="Times New Roman" w:eastAsia="Times New Roman" w:hAnsi="Times New Roman" w:cs="Times New Roman"/>
          <w:sz w:val="24"/>
          <w:szCs w:val="24"/>
          <w:lang w:eastAsia="en-GB"/>
        </w:rPr>
        <w:t>.</w:t>
      </w:r>
      <w:r w:rsidR="00472DC1" w:rsidRPr="0045369D">
        <w:rPr>
          <w:rFonts w:ascii="Times New Roman" w:eastAsia="Times New Roman" w:hAnsi="Times New Roman" w:cs="Times New Roman"/>
          <w:sz w:val="24"/>
          <w:szCs w:val="24"/>
          <w:lang w:eastAsia="en-GB"/>
        </w:rPr>
        <w:t xml:space="preserve"> It is seen that </w:t>
      </w:r>
      <w:r w:rsidR="00472DC1" w:rsidRPr="0045369D">
        <w:rPr>
          <w:rFonts w:ascii="Times New Roman" w:eastAsia="Times New Roman" w:hAnsi="Times New Roman" w:cs="Times New Roman"/>
          <w:bCs/>
          <w:sz w:val="24"/>
          <w:szCs w:val="24"/>
          <w:lang w:eastAsia="en-GB"/>
        </w:rPr>
        <w:t>depreciation and a</w:t>
      </w:r>
      <w:r w:rsidR="00F36F10" w:rsidRPr="0045369D">
        <w:rPr>
          <w:rFonts w:ascii="Times New Roman" w:eastAsia="Times New Roman" w:hAnsi="Times New Roman" w:cs="Times New Roman"/>
          <w:bCs/>
          <w:sz w:val="24"/>
          <w:szCs w:val="24"/>
          <w:lang w:eastAsia="en-GB"/>
        </w:rPr>
        <w:t>mortization</w:t>
      </w:r>
      <w:r w:rsidR="00F36F10" w:rsidRPr="0045369D">
        <w:rPr>
          <w:rFonts w:ascii="Times New Roman" w:eastAsia="Times New Roman" w:hAnsi="Times New Roman" w:cs="Times New Roman"/>
          <w:sz w:val="24"/>
          <w:szCs w:val="24"/>
          <w:lang w:eastAsia="en-GB"/>
        </w:rPr>
        <w:t xml:space="preserve"> </w:t>
      </w:r>
      <w:r w:rsidR="00472DC1" w:rsidRPr="0045369D">
        <w:rPr>
          <w:rFonts w:ascii="Times New Roman" w:eastAsia="Times New Roman" w:hAnsi="Times New Roman" w:cs="Times New Roman"/>
          <w:sz w:val="24"/>
          <w:szCs w:val="24"/>
          <w:lang w:eastAsia="en-GB"/>
        </w:rPr>
        <w:t xml:space="preserve">constantly </w:t>
      </w:r>
      <w:r w:rsidR="00F36F10" w:rsidRPr="0045369D">
        <w:rPr>
          <w:rFonts w:ascii="Times New Roman" w:eastAsia="Times New Roman" w:hAnsi="Times New Roman" w:cs="Times New Roman"/>
          <w:sz w:val="24"/>
          <w:szCs w:val="24"/>
          <w:lang w:eastAsia="en-GB"/>
        </w:rPr>
        <w:t xml:space="preserve">decreased </w:t>
      </w:r>
      <w:r w:rsidR="00175F5A" w:rsidRPr="0045369D">
        <w:rPr>
          <w:rFonts w:ascii="Times New Roman" w:eastAsia="Times New Roman" w:hAnsi="Times New Roman" w:cs="Times New Roman"/>
          <w:sz w:val="24"/>
          <w:szCs w:val="24"/>
          <w:lang w:eastAsia="en-GB"/>
        </w:rPr>
        <w:t>from 4.03 in 2020 to 2.82 in 2022</w:t>
      </w:r>
      <w:r w:rsidR="002D3EB1" w:rsidRPr="0045369D">
        <w:rPr>
          <w:rFonts w:ascii="Times New Roman" w:eastAsia="Times New Roman" w:hAnsi="Times New Roman" w:cs="Times New Roman"/>
          <w:sz w:val="24"/>
          <w:szCs w:val="24"/>
          <w:lang w:eastAsia="en-GB"/>
        </w:rPr>
        <w:t>,</w:t>
      </w:r>
      <w:r w:rsidR="00F36F10" w:rsidRPr="0045369D">
        <w:rPr>
          <w:rFonts w:ascii="Times New Roman" w:eastAsia="Times New Roman" w:hAnsi="Times New Roman" w:cs="Times New Roman"/>
          <w:sz w:val="24"/>
          <w:szCs w:val="24"/>
          <w:lang w:eastAsia="en-GB"/>
        </w:rPr>
        <w:t xml:space="preserve"> </w:t>
      </w:r>
      <w:r w:rsidR="002D3EB1" w:rsidRPr="0045369D">
        <w:rPr>
          <w:rFonts w:ascii="Times New Roman" w:eastAsia="Times New Roman" w:hAnsi="Times New Roman" w:cs="Times New Roman"/>
          <w:sz w:val="24"/>
          <w:szCs w:val="24"/>
          <w:lang w:eastAsia="en-GB"/>
        </w:rPr>
        <w:t>implying</w:t>
      </w:r>
      <w:r w:rsidR="00F36F10" w:rsidRPr="0045369D">
        <w:rPr>
          <w:rFonts w:ascii="Times New Roman" w:eastAsia="Times New Roman" w:hAnsi="Times New Roman" w:cs="Times New Roman"/>
          <w:sz w:val="24"/>
          <w:szCs w:val="24"/>
          <w:lang w:eastAsia="en-GB"/>
        </w:rPr>
        <w:t xml:space="preserve"> that the </w:t>
      </w:r>
      <w:r w:rsidR="002D3EB1" w:rsidRPr="0045369D">
        <w:rPr>
          <w:rFonts w:ascii="Times New Roman" w:eastAsia="Times New Roman" w:hAnsi="Times New Roman" w:cs="Times New Roman"/>
          <w:sz w:val="24"/>
          <w:szCs w:val="24"/>
          <w:lang w:eastAsia="en-GB"/>
        </w:rPr>
        <w:t>firm</w:t>
      </w:r>
      <w:r w:rsidR="00F36F10" w:rsidRPr="0045369D">
        <w:rPr>
          <w:rFonts w:ascii="Times New Roman" w:eastAsia="Times New Roman" w:hAnsi="Times New Roman" w:cs="Times New Roman"/>
          <w:sz w:val="24"/>
          <w:szCs w:val="24"/>
          <w:lang w:eastAsia="en-GB"/>
        </w:rPr>
        <w:t xml:space="preserve"> has experienced </w:t>
      </w:r>
      <w:r w:rsidR="002D3EB1" w:rsidRPr="0045369D">
        <w:rPr>
          <w:rFonts w:ascii="Times New Roman" w:eastAsia="Times New Roman" w:hAnsi="Times New Roman" w:cs="Times New Roman"/>
          <w:sz w:val="24"/>
          <w:szCs w:val="24"/>
          <w:lang w:eastAsia="en-GB"/>
        </w:rPr>
        <w:t xml:space="preserve">a decrease in its non-cash expenses (wears and tears of assets). More efficient utilization of existing or old assets or less capital-intensive investment might cause this steady decrease. </w:t>
      </w:r>
      <w:r w:rsidR="00F36F10" w:rsidRPr="0045369D">
        <w:rPr>
          <w:rFonts w:ascii="Times New Roman" w:eastAsia="Times New Roman" w:hAnsi="Times New Roman" w:cs="Times New Roman"/>
          <w:bCs/>
          <w:sz w:val="24"/>
          <w:szCs w:val="24"/>
          <w:lang w:eastAsia="en-GB"/>
        </w:rPr>
        <w:t>Share-</w:t>
      </w:r>
      <w:r w:rsidR="002E1C84" w:rsidRPr="0045369D">
        <w:rPr>
          <w:rFonts w:ascii="Times New Roman" w:eastAsia="Times New Roman" w:hAnsi="Times New Roman" w:cs="Times New Roman"/>
          <w:bCs/>
          <w:sz w:val="24"/>
          <w:szCs w:val="24"/>
          <w:lang w:eastAsia="en-GB"/>
        </w:rPr>
        <w:t xml:space="preserve">based compensation </w:t>
      </w:r>
      <w:r w:rsidR="00442207" w:rsidRPr="0045369D">
        <w:rPr>
          <w:rFonts w:ascii="Times New Roman" w:eastAsia="Times New Roman" w:hAnsi="Times New Roman" w:cs="Times New Roman"/>
          <w:bCs/>
          <w:sz w:val="24"/>
          <w:szCs w:val="24"/>
          <w:lang w:eastAsia="en-GB"/>
        </w:rPr>
        <w:t>expenses</w:t>
      </w:r>
      <w:r w:rsidR="00F36F10" w:rsidRPr="0045369D">
        <w:rPr>
          <w:rFonts w:ascii="Times New Roman" w:eastAsia="Times New Roman" w:hAnsi="Times New Roman" w:cs="Times New Roman"/>
          <w:sz w:val="24"/>
          <w:szCs w:val="24"/>
          <w:lang w:eastAsia="en-GB"/>
        </w:rPr>
        <w:t xml:space="preserve"> </w:t>
      </w:r>
      <w:r w:rsidR="00CE7C57" w:rsidRPr="0045369D">
        <w:rPr>
          <w:rFonts w:ascii="Times New Roman" w:eastAsia="Times New Roman" w:hAnsi="Times New Roman" w:cs="Times New Roman"/>
          <w:sz w:val="24"/>
          <w:szCs w:val="24"/>
          <w:lang w:eastAsia="en-GB"/>
        </w:rPr>
        <w:t xml:space="preserve">also </w:t>
      </w:r>
      <w:r w:rsidR="00F36F10" w:rsidRPr="0045369D">
        <w:rPr>
          <w:rFonts w:ascii="Times New Roman" w:eastAsia="Times New Roman" w:hAnsi="Times New Roman" w:cs="Times New Roman"/>
          <w:sz w:val="24"/>
          <w:szCs w:val="24"/>
          <w:lang w:eastAsia="en-GB"/>
        </w:rPr>
        <w:t xml:space="preserve">remained relatively </w:t>
      </w:r>
      <w:r w:rsidR="00442207" w:rsidRPr="0045369D">
        <w:rPr>
          <w:rFonts w:ascii="Times New Roman" w:eastAsia="Times New Roman" w:hAnsi="Times New Roman" w:cs="Times New Roman"/>
          <w:sz w:val="24"/>
          <w:szCs w:val="24"/>
          <w:lang w:eastAsia="en-GB"/>
        </w:rPr>
        <w:t>stable but</w:t>
      </w:r>
      <w:r w:rsidR="00CE7C57" w:rsidRPr="0045369D">
        <w:rPr>
          <w:rFonts w:ascii="Times New Roman" w:eastAsia="Times New Roman" w:hAnsi="Times New Roman" w:cs="Times New Roman"/>
          <w:sz w:val="24"/>
          <w:szCs w:val="24"/>
          <w:lang w:eastAsia="en-GB"/>
        </w:rPr>
        <w:t xml:space="preserve"> </w:t>
      </w:r>
      <w:r w:rsidR="0013547D">
        <w:rPr>
          <w:rFonts w:ascii="Times New Roman" w:eastAsia="Times New Roman" w:hAnsi="Times New Roman" w:cs="Times New Roman"/>
          <w:sz w:val="24"/>
          <w:szCs w:val="24"/>
          <w:lang w:eastAsia="en-GB"/>
        </w:rPr>
        <w:t>fluctuated</w:t>
      </w:r>
      <w:r w:rsidR="00F36F10" w:rsidRPr="0045369D">
        <w:rPr>
          <w:rFonts w:ascii="Times New Roman" w:eastAsia="Times New Roman" w:hAnsi="Times New Roman" w:cs="Times New Roman"/>
          <w:sz w:val="24"/>
          <w:szCs w:val="24"/>
          <w:lang w:eastAsia="en-GB"/>
        </w:rPr>
        <w:t xml:space="preserve"> slightly </w:t>
      </w:r>
      <w:r w:rsidR="00CE7C57" w:rsidRPr="0045369D">
        <w:rPr>
          <w:rFonts w:ascii="Times New Roman" w:eastAsia="Times New Roman" w:hAnsi="Times New Roman" w:cs="Times New Roman"/>
          <w:sz w:val="24"/>
          <w:szCs w:val="24"/>
          <w:lang w:eastAsia="en-GB"/>
        </w:rPr>
        <w:t xml:space="preserve">from 2.49 in 2020 to 2.16 in 2021 and 2.29 in 2022. These values are almost in the same </w:t>
      </w:r>
      <w:r w:rsidR="00442207" w:rsidRPr="0045369D">
        <w:rPr>
          <w:rFonts w:ascii="Times New Roman" w:eastAsia="Times New Roman" w:hAnsi="Times New Roman" w:cs="Times New Roman"/>
          <w:sz w:val="24"/>
          <w:szCs w:val="24"/>
          <w:lang w:eastAsia="en-GB"/>
        </w:rPr>
        <w:t>range,</w:t>
      </w:r>
      <w:r w:rsidR="00CE7C57" w:rsidRPr="0045369D">
        <w:rPr>
          <w:rFonts w:ascii="Times New Roman" w:eastAsia="Times New Roman" w:hAnsi="Times New Roman" w:cs="Times New Roman"/>
          <w:sz w:val="24"/>
          <w:szCs w:val="24"/>
          <w:lang w:eastAsia="en-GB"/>
        </w:rPr>
        <w:t xml:space="preserve"> which </w:t>
      </w:r>
      <w:r w:rsidR="0013547D">
        <w:rPr>
          <w:rFonts w:ascii="Times New Roman" w:eastAsia="Times New Roman" w:hAnsi="Times New Roman" w:cs="Times New Roman"/>
          <w:sz w:val="24"/>
          <w:szCs w:val="24"/>
          <w:lang w:eastAsia="en-GB"/>
        </w:rPr>
        <w:t>suggests</w:t>
      </w:r>
      <w:r w:rsidR="00CE7C57" w:rsidRPr="0045369D">
        <w:rPr>
          <w:rFonts w:ascii="Times New Roman" w:eastAsia="Times New Roman" w:hAnsi="Times New Roman" w:cs="Times New Roman"/>
          <w:sz w:val="24"/>
          <w:szCs w:val="24"/>
          <w:lang w:eastAsia="en-GB"/>
        </w:rPr>
        <w:t xml:space="preserve"> that the policy of </w:t>
      </w:r>
      <w:r w:rsidR="0013547D">
        <w:rPr>
          <w:rFonts w:ascii="Times New Roman" w:eastAsia="Times New Roman" w:hAnsi="Times New Roman" w:cs="Times New Roman"/>
          <w:sz w:val="24"/>
          <w:szCs w:val="24"/>
          <w:lang w:eastAsia="en-GB"/>
        </w:rPr>
        <w:t xml:space="preserve">the </w:t>
      </w:r>
      <w:r w:rsidR="00CE7C57" w:rsidRPr="0045369D">
        <w:rPr>
          <w:rFonts w:ascii="Times New Roman" w:eastAsia="Times New Roman" w:hAnsi="Times New Roman" w:cs="Times New Roman"/>
          <w:sz w:val="24"/>
          <w:szCs w:val="24"/>
          <w:lang w:eastAsia="en-GB"/>
        </w:rPr>
        <w:t xml:space="preserve">company regarding employee stock-based compensation remained consistent throughout the period. However, the </w:t>
      </w:r>
      <w:r w:rsidR="00CE7C57" w:rsidRPr="0045369D">
        <w:rPr>
          <w:rFonts w:ascii="Times New Roman" w:eastAsia="Times New Roman" w:hAnsi="Times New Roman" w:cs="Times New Roman"/>
          <w:bCs/>
          <w:sz w:val="24"/>
          <w:szCs w:val="24"/>
          <w:lang w:eastAsia="en-GB"/>
        </w:rPr>
        <w:t>d</w:t>
      </w:r>
      <w:r w:rsidR="00F36F10" w:rsidRPr="0045369D">
        <w:rPr>
          <w:rFonts w:ascii="Times New Roman" w:eastAsia="Times New Roman" w:hAnsi="Times New Roman" w:cs="Times New Roman"/>
          <w:bCs/>
          <w:sz w:val="24"/>
          <w:szCs w:val="24"/>
          <w:lang w:eastAsia="en-GB"/>
        </w:rPr>
        <w:t xml:space="preserve">eferred </w:t>
      </w:r>
      <w:r w:rsidR="00CE7C57" w:rsidRPr="0045369D">
        <w:rPr>
          <w:rFonts w:ascii="Times New Roman" w:eastAsia="Times New Roman" w:hAnsi="Times New Roman" w:cs="Times New Roman"/>
          <w:bCs/>
          <w:sz w:val="24"/>
          <w:szCs w:val="24"/>
          <w:lang w:eastAsia="en-GB"/>
        </w:rPr>
        <w:t>income tax expense/benefit</w:t>
      </w:r>
      <w:r w:rsidR="00CE7C57" w:rsidRPr="0045369D">
        <w:rPr>
          <w:rFonts w:ascii="Times New Roman" w:eastAsia="Times New Roman" w:hAnsi="Times New Roman" w:cs="Times New Roman"/>
          <w:sz w:val="24"/>
          <w:szCs w:val="24"/>
          <w:lang w:eastAsia="en-GB"/>
        </w:rPr>
        <w:t xml:space="preserve"> </w:t>
      </w:r>
      <w:r w:rsidR="00F36F10" w:rsidRPr="0045369D">
        <w:rPr>
          <w:rFonts w:ascii="Times New Roman" w:eastAsia="Times New Roman" w:hAnsi="Times New Roman" w:cs="Times New Roman"/>
          <w:sz w:val="24"/>
          <w:szCs w:val="24"/>
          <w:lang w:eastAsia="en-GB"/>
        </w:rPr>
        <w:t>shows si</w:t>
      </w:r>
      <w:r w:rsidR="00CE7C57" w:rsidRPr="0045369D">
        <w:rPr>
          <w:rFonts w:ascii="Times New Roman" w:eastAsia="Times New Roman" w:hAnsi="Times New Roman" w:cs="Times New Roman"/>
          <w:sz w:val="24"/>
          <w:szCs w:val="24"/>
          <w:lang w:eastAsia="en-GB"/>
        </w:rPr>
        <w:t>gnificant fluctuations.</w:t>
      </w:r>
      <w:r w:rsidR="00F36F10" w:rsidRPr="0045369D">
        <w:rPr>
          <w:rFonts w:ascii="Times New Roman" w:eastAsia="Times New Roman" w:hAnsi="Times New Roman" w:cs="Times New Roman"/>
          <w:sz w:val="24"/>
          <w:szCs w:val="24"/>
          <w:lang w:eastAsia="en-GB"/>
        </w:rPr>
        <w:t xml:space="preserve"> </w:t>
      </w:r>
      <w:r w:rsidR="007A456C" w:rsidRPr="0045369D">
        <w:rPr>
          <w:rFonts w:ascii="Times New Roman" w:eastAsia="Times New Roman" w:hAnsi="Times New Roman" w:cs="Times New Roman"/>
          <w:sz w:val="24"/>
          <w:szCs w:val="24"/>
          <w:lang w:eastAsia="en-GB"/>
        </w:rPr>
        <w:t>In 2020, 2021 and 2022 t</w:t>
      </w:r>
      <w:r w:rsidR="00F36F10" w:rsidRPr="0045369D">
        <w:rPr>
          <w:rFonts w:ascii="Times New Roman" w:eastAsia="Times New Roman" w:hAnsi="Times New Roman" w:cs="Times New Roman"/>
          <w:sz w:val="24"/>
          <w:szCs w:val="24"/>
          <w:lang w:eastAsia="en-GB"/>
        </w:rPr>
        <w:t>he</w:t>
      </w:r>
      <w:r w:rsidR="00CE7C57" w:rsidRPr="0045369D">
        <w:rPr>
          <w:rFonts w:ascii="Times New Roman" w:eastAsia="Times New Roman" w:hAnsi="Times New Roman" w:cs="Times New Roman"/>
          <w:sz w:val="24"/>
          <w:szCs w:val="24"/>
          <w:lang w:eastAsia="en-GB"/>
        </w:rPr>
        <w:t xml:space="preserve"> company recorded</w:t>
      </w:r>
      <w:r w:rsidR="00F36F10" w:rsidRPr="0045369D">
        <w:rPr>
          <w:rFonts w:ascii="Times New Roman" w:eastAsia="Times New Roman" w:hAnsi="Times New Roman" w:cs="Times New Roman"/>
          <w:sz w:val="24"/>
          <w:szCs w:val="24"/>
          <w:lang w:eastAsia="en-GB"/>
        </w:rPr>
        <w:t xml:space="preserve"> a deferred income tax</w:t>
      </w:r>
      <w:r w:rsidR="00CE7C57" w:rsidRPr="0045369D">
        <w:rPr>
          <w:rFonts w:ascii="Times New Roman" w:eastAsia="Times New Roman" w:hAnsi="Times New Roman" w:cs="Times New Roman"/>
          <w:sz w:val="24"/>
          <w:szCs w:val="24"/>
          <w:lang w:eastAsia="en-GB"/>
        </w:rPr>
        <w:t xml:space="preserve"> expense/</w:t>
      </w:r>
      <w:r w:rsidR="00F36F10" w:rsidRPr="0045369D">
        <w:rPr>
          <w:rFonts w:ascii="Times New Roman" w:eastAsia="Times New Roman" w:hAnsi="Times New Roman" w:cs="Times New Roman"/>
          <w:sz w:val="24"/>
          <w:szCs w:val="24"/>
          <w:lang w:eastAsia="en-GB"/>
        </w:rPr>
        <w:t xml:space="preserve">benefit of </w:t>
      </w:r>
      <w:r w:rsidR="00CE7C57" w:rsidRPr="0045369D">
        <w:rPr>
          <w:rFonts w:ascii="Times New Roman" w:eastAsia="Times New Roman" w:hAnsi="Times New Roman" w:cs="Times New Roman"/>
          <w:sz w:val="24"/>
          <w:szCs w:val="24"/>
          <w:lang w:eastAsia="en-GB"/>
        </w:rPr>
        <w:t xml:space="preserve">-0.08, </w:t>
      </w:r>
      <w:r w:rsidR="007A456C" w:rsidRPr="0045369D">
        <w:rPr>
          <w:rFonts w:ascii="Times New Roman" w:eastAsia="Times New Roman" w:hAnsi="Times New Roman" w:cs="Times New Roman"/>
          <w:sz w:val="24"/>
          <w:szCs w:val="24"/>
          <w:lang w:eastAsia="en-GB"/>
        </w:rPr>
        <w:t>-1.31</w:t>
      </w:r>
      <w:r w:rsidR="00F36F10" w:rsidRPr="0045369D">
        <w:rPr>
          <w:rFonts w:ascii="Times New Roman" w:eastAsia="Times New Roman" w:hAnsi="Times New Roman" w:cs="Times New Roman"/>
          <w:sz w:val="24"/>
          <w:szCs w:val="24"/>
          <w:lang w:eastAsia="en-GB"/>
        </w:rPr>
        <w:t xml:space="preserve">, </w:t>
      </w:r>
      <w:r w:rsidR="007A456C" w:rsidRPr="0045369D">
        <w:rPr>
          <w:rFonts w:ascii="Times New Roman" w:eastAsia="Times New Roman" w:hAnsi="Times New Roman" w:cs="Times New Roman"/>
          <w:sz w:val="24"/>
          <w:szCs w:val="24"/>
          <w:lang w:eastAsia="en-GB"/>
        </w:rPr>
        <w:t>and 0.23</w:t>
      </w:r>
      <w:r w:rsidR="00F36F10" w:rsidRPr="0045369D">
        <w:rPr>
          <w:rFonts w:ascii="Times New Roman" w:eastAsia="Times New Roman" w:hAnsi="Times New Roman" w:cs="Times New Roman"/>
          <w:sz w:val="24"/>
          <w:szCs w:val="24"/>
          <w:lang w:eastAsia="en-GB"/>
        </w:rPr>
        <w:t xml:space="preserve"> respectively. The variation in deferred tax </w:t>
      </w:r>
      <w:r w:rsidR="007A456C" w:rsidRPr="0045369D">
        <w:rPr>
          <w:rFonts w:ascii="Times New Roman" w:eastAsia="Times New Roman" w:hAnsi="Times New Roman" w:cs="Times New Roman"/>
          <w:sz w:val="24"/>
          <w:szCs w:val="24"/>
          <w:lang w:eastAsia="en-GB"/>
        </w:rPr>
        <w:t xml:space="preserve">is a sign of </w:t>
      </w:r>
      <w:r w:rsidR="00F36F10" w:rsidRPr="0045369D">
        <w:rPr>
          <w:rFonts w:ascii="Times New Roman" w:eastAsia="Times New Roman" w:hAnsi="Times New Roman" w:cs="Times New Roman"/>
          <w:sz w:val="24"/>
          <w:szCs w:val="24"/>
          <w:lang w:eastAsia="en-GB"/>
        </w:rPr>
        <w:t>changes in tax liability expectations,</w:t>
      </w:r>
      <w:r w:rsidR="007A456C" w:rsidRPr="0045369D">
        <w:rPr>
          <w:rFonts w:ascii="Times New Roman" w:eastAsia="Times New Roman" w:hAnsi="Times New Roman" w:cs="Times New Roman"/>
          <w:sz w:val="24"/>
          <w:szCs w:val="24"/>
          <w:lang w:eastAsia="en-GB"/>
        </w:rPr>
        <w:t xml:space="preserve"> that may be fuelled by </w:t>
      </w:r>
      <w:r w:rsidR="00F25888" w:rsidRPr="0045369D">
        <w:rPr>
          <w:rFonts w:ascii="Times New Roman" w:eastAsia="Times New Roman" w:hAnsi="Times New Roman" w:cs="Times New Roman"/>
          <w:sz w:val="24"/>
          <w:szCs w:val="24"/>
          <w:lang w:eastAsia="en-GB"/>
        </w:rPr>
        <w:t>a possible shift</w:t>
      </w:r>
      <w:r w:rsidR="007A456C" w:rsidRPr="0045369D">
        <w:rPr>
          <w:rFonts w:ascii="Times New Roman" w:eastAsia="Times New Roman" w:hAnsi="Times New Roman" w:cs="Times New Roman"/>
          <w:sz w:val="24"/>
          <w:szCs w:val="24"/>
          <w:lang w:eastAsia="en-GB"/>
        </w:rPr>
        <w:t xml:space="preserve"> in corporate strategy</w:t>
      </w:r>
      <w:r w:rsidR="00F36F10" w:rsidRPr="0045369D">
        <w:rPr>
          <w:rFonts w:ascii="Times New Roman" w:eastAsia="Times New Roman" w:hAnsi="Times New Roman" w:cs="Times New Roman"/>
          <w:sz w:val="24"/>
          <w:szCs w:val="24"/>
          <w:lang w:eastAsia="en-GB"/>
        </w:rPr>
        <w:t xml:space="preserve"> </w:t>
      </w:r>
      <w:r w:rsidR="007A456C" w:rsidRPr="0045369D">
        <w:rPr>
          <w:rFonts w:ascii="Times New Roman" w:eastAsia="Times New Roman" w:hAnsi="Times New Roman" w:cs="Times New Roman"/>
          <w:sz w:val="24"/>
          <w:szCs w:val="24"/>
          <w:lang w:eastAsia="en-GB"/>
        </w:rPr>
        <w:t xml:space="preserve">otherwise </w:t>
      </w:r>
      <w:r w:rsidR="00F36F10" w:rsidRPr="0045369D">
        <w:rPr>
          <w:rFonts w:ascii="Times New Roman" w:eastAsia="Times New Roman" w:hAnsi="Times New Roman" w:cs="Times New Roman"/>
          <w:sz w:val="24"/>
          <w:szCs w:val="24"/>
          <w:lang w:eastAsia="en-GB"/>
        </w:rPr>
        <w:t>changes in tax regulations.</w:t>
      </w:r>
      <w:r w:rsidR="00D02908" w:rsidRPr="0045369D">
        <w:rPr>
          <w:rFonts w:ascii="Times New Roman" w:eastAsia="Times New Roman" w:hAnsi="Times New Roman" w:cs="Times New Roman"/>
          <w:sz w:val="24"/>
          <w:szCs w:val="24"/>
          <w:lang w:eastAsia="en-GB"/>
        </w:rPr>
        <w:t xml:space="preserve"> The value of </w:t>
      </w:r>
      <w:r w:rsidR="00D02908" w:rsidRPr="0045369D">
        <w:rPr>
          <w:rFonts w:ascii="Times New Roman" w:eastAsia="Times New Roman" w:hAnsi="Times New Roman" w:cs="Times New Roman"/>
          <w:bCs/>
          <w:sz w:val="24"/>
          <w:szCs w:val="24"/>
          <w:lang w:eastAsia="en-GB"/>
        </w:rPr>
        <w:t>other e</w:t>
      </w:r>
      <w:r w:rsidR="00F36F10" w:rsidRPr="0045369D">
        <w:rPr>
          <w:rFonts w:ascii="Times New Roman" w:eastAsia="Times New Roman" w:hAnsi="Times New Roman" w:cs="Times New Roman"/>
          <w:bCs/>
          <w:sz w:val="24"/>
          <w:szCs w:val="24"/>
          <w:lang w:eastAsia="en-GB"/>
        </w:rPr>
        <w:t>xpenses</w:t>
      </w:r>
      <w:r w:rsidR="00F36F10" w:rsidRPr="0045369D">
        <w:rPr>
          <w:rFonts w:ascii="Times New Roman" w:eastAsia="Times New Roman" w:hAnsi="Times New Roman" w:cs="Times New Roman"/>
          <w:sz w:val="24"/>
          <w:szCs w:val="24"/>
          <w:lang w:eastAsia="en-GB"/>
        </w:rPr>
        <w:t xml:space="preserve"> </w:t>
      </w:r>
      <w:r w:rsidR="00D02908" w:rsidRPr="0045369D">
        <w:rPr>
          <w:rFonts w:ascii="Times New Roman" w:eastAsia="Times New Roman" w:hAnsi="Times New Roman" w:cs="Times New Roman"/>
          <w:sz w:val="24"/>
          <w:szCs w:val="24"/>
          <w:lang w:eastAsia="en-GB"/>
        </w:rPr>
        <w:t>from 2020 to 2022 remained negligible.</w:t>
      </w:r>
      <w:r w:rsidR="00F36F10" w:rsidRPr="0045369D">
        <w:rPr>
          <w:rFonts w:ascii="Times New Roman" w:eastAsia="Times New Roman" w:hAnsi="Times New Roman" w:cs="Times New Roman"/>
          <w:sz w:val="24"/>
          <w:szCs w:val="24"/>
          <w:lang w:eastAsia="en-GB"/>
        </w:rPr>
        <w:t xml:space="preserve"> </w:t>
      </w:r>
      <w:r w:rsidR="00D02908" w:rsidRPr="0045369D">
        <w:rPr>
          <w:rFonts w:ascii="Times New Roman" w:eastAsia="Times New Roman" w:hAnsi="Times New Roman" w:cs="Times New Roman"/>
          <w:sz w:val="24"/>
          <w:szCs w:val="24"/>
          <w:lang w:eastAsia="en-GB"/>
        </w:rPr>
        <w:t xml:space="preserve">This reveals </w:t>
      </w:r>
      <w:r w:rsidR="00F36F10" w:rsidRPr="0045369D">
        <w:rPr>
          <w:rFonts w:ascii="Times New Roman" w:eastAsia="Times New Roman" w:hAnsi="Times New Roman" w:cs="Times New Roman"/>
          <w:sz w:val="24"/>
          <w:szCs w:val="24"/>
          <w:lang w:eastAsia="en-GB"/>
        </w:rPr>
        <w:t xml:space="preserve">that non-operating costs have had little impact on </w:t>
      </w:r>
      <w:r w:rsidR="00D02908" w:rsidRPr="0045369D">
        <w:rPr>
          <w:rFonts w:ascii="Times New Roman" w:eastAsia="Times New Roman" w:hAnsi="Times New Roman" w:cs="Times New Roman"/>
          <w:sz w:val="24"/>
          <w:szCs w:val="24"/>
          <w:lang w:eastAsia="en-GB"/>
        </w:rPr>
        <w:t xml:space="preserve">the </w:t>
      </w:r>
      <w:r w:rsidR="00F36F10" w:rsidRPr="0045369D">
        <w:rPr>
          <w:rFonts w:ascii="Times New Roman" w:eastAsia="Times New Roman" w:hAnsi="Times New Roman" w:cs="Times New Roman"/>
          <w:sz w:val="24"/>
          <w:szCs w:val="24"/>
          <w:lang w:eastAsia="en-GB"/>
        </w:rPr>
        <w:t>overall financial performance</w:t>
      </w:r>
      <w:r w:rsidR="00D02908" w:rsidRPr="0045369D">
        <w:rPr>
          <w:rFonts w:ascii="Times New Roman" w:eastAsia="Times New Roman" w:hAnsi="Times New Roman" w:cs="Times New Roman"/>
          <w:sz w:val="24"/>
          <w:szCs w:val="24"/>
          <w:lang w:eastAsia="en-GB"/>
        </w:rPr>
        <w:t xml:space="preserve"> of the company</w:t>
      </w:r>
      <w:r w:rsidR="00F36F10" w:rsidRPr="0045369D">
        <w:rPr>
          <w:rFonts w:ascii="Times New Roman" w:eastAsia="Times New Roman" w:hAnsi="Times New Roman" w:cs="Times New Roman"/>
          <w:sz w:val="24"/>
          <w:szCs w:val="24"/>
          <w:lang w:eastAsia="en-GB"/>
        </w:rPr>
        <w:t>.</w:t>
      </w:r>
    </w:p>
    <w:p w14:paraId="349A8332" w14:textId="44296D78" w:rsidR="0088214A" w:rsidRPr="0045369D" w:rsidRDefault="00D02908" w:rsidP="00F25888">
      <w:pPr>
        <w:spacing w:line="240" w:lineRule="auto"/>
        <w:jc w:val="both"/>
        <w:rPr>
          <w:rFonts w:ascii="Times New Roman" w:eastAsia="Times New Roman" w:hAnsi="Times New Roman" w:cs="Times New Roman"/>
          <w:sz w:val="24"/>
          <w:szCs w:val="24"/>
          <w:lang w:eastAsia="en-GB"/>
        </w:rPr>
      </w:pPr>
      <w:r w:rsidRPr="0045369D">
        <w:rPr>
          <w:rFonts w:ascii="Times New Roman" w:eastAsia="Times New Roman" w:hAnsi="Times New Roman" w:cs="Times New Roman"/>
          <w:bCs/>
          <w:sz w:val="24"/>
          <w:szCs w:val="24"/>
          <w:lang w:eastAsia="en-GB"/>
        </w:rPr>
        <w:t>The company’s operating i</w:t>
      </w:r>
      <w:r w:rsidR="00F36F10" w:rsidRPr="0045369D">
        <w:rPr>
          <w:rFonts w:ascii="Times New Roman" w:eastAsia="Times New Roman" w:hAnsi="Times New Roman" w:cs="Times New Roman"/>
          <w:bCs/>
          <w:sz w:val="24"/>
          <w:szCs w:val="24"/>
          <w:lang w:eastAsia="en-GB"/>
        </w:rPr>
        <w:t>ncome</w:t>
      </w:r>
      <w:r w:rsidR="00F36F10" w:rsidRPr="0045369D">
        <w:rPr>
          <w:rFonts w:ascii="Times New Roman" w:eastAsia="Times New Roman" w:hAnsi="Times New Roman" w:cs="Times New Roman"/>
          <w:sz w:val="24"/>
          <w:szCs w:val="24"/>
          <w:lang w:eastAsia="en-GB"/>
        </w:rPr>
        <w:t xml:space="preserve"> </w:t>
      </w:r>
      <w:r w:rsidR="00F25888" w:rsidRPr="0045369D">
        <w:rPr>
          <w:rFonts w:ascii="Times New Roman" w:eastAsia="Times New Roman" w:hAnsi="Times New Roman" w:cs="Times New Roman"/>
          <w:sz w:val="24"/>
          <w:szCs w:val="24"/>
          <w:lang w:eastAsia="en-GB"/>
        </w:rPr>
        <w:t>increased</w:t>
      </w:r>
      <w:r w:rsidRPr="0045369D">
        <w:rPr>
          <w:rFonts w:ascii="Times New Roman" w:eastAsia="Times New Roman" w:hAnsi="Times New Roman" w:cs="Times New Roman"/>
          <w:sz w:val="24"/>
          <w:szCs w:val="24"/>
          <w:lang w:eastAsia="en-GB"/>
        </w:rPr>
        <w:t xml:space="preserve"> from 24.15 in 2020 to 30.29 in 2022. Similarly, the net profit margin increases from </w:t>
      </w:r>
      <w:r w:rsidR="00950FB7" w:rsidRPr="0045369D">
        <w:rPr>
          <w:rFonts w:ascii="Times New Roman" w:eastAsia="Times New Roman" w:hAnsi="Times New Roman" w:cs="Times New Roman"/>
          <w:sz w:val="24"/>
          <w:szCs w:val="24"/>
          <w:lang w:eastAsia="en-GB"/>
        </w:rPr>
        <w:t xml:space="preserve">20.91 in 2020 to 25.31 in 2022. This increase shows that the firm is able to manage its main business </w:t>
      </w:r>
      <w:r w:rsidR="00442207" w:rsidRPr="0045369D">
        <w:rPr>
          <w:rFonts w:ascii="Times New Roman" w:eastAsia="Times New Roman" w:hAnsi="Times New Roman" w:cs="Times New Roman"/>
          <w:sz w:val="24"/>
          <w:szCs w:val="24"/>
          <w:lang w:eastAsia="en-GB"/>
        </w:rPr>
        <w:t>operations and</w:t>
      </w:r>
      <w:r w:rsidR="00950FB7" w:rsidRPr="0045369D">
        <w:rPr>
          <w:rFonts w:ascii="Times New Roman" w:eastAsia="Times New Roman" w:hAnsi="Times New Roman" w:cs="Times New Roman"/>
          <w:sz w:val="24"/>
          <w:szCs w:val="24"/>
          <w:lang w:eastAsia="en-GB"/>
        </w:rPr>
        <w:t xml:space="preserve"> operating and non-operating expenses efficiently to generate revenue. Finally, this trend reveals that the company has well-managed its operational </w:t>
      </w:r>
      <w:r w:rsidR="00F36F10" w:rsidRPr="0045369D">
        <w:rPr>
          <w:rFonts w:ascii="Times New Roman" w:eastAsia="Times New Roman" w:hAnsi="Times New Roman" w:cs="Times New Roman"/>
          <w:sz w:val="24"/>
          <w:szCs w:val="24"/>
          <w:lang w:eastAsia="en-GB"/>
        </w:rPr>
        <w:t xml:space="preserve">challenges </w:t>
      </w:r>
      <w:r w:rsidR="00950FB7" w:rsidRPr="0045369D">
        <w:rPr>
          <w:rFonts w:ascii="Times New Roman" w:eastAsia="Times New Roman" w:hAnsi="Times New Roman" w:cs="Times New Roman"/>
          <w:sz w:val="24"/>
          <w:szCs w:val="24"/>
          <w:lang w:eastAsia="en-GB"/>
        </w:rPr>
        <w:t xml:space="preserve">at the same time as </w:t>
      </w:r>
      <w:r w:rsidR="00F36F10" w:rsidRPr="0045369D">
        <w:rPr>
          <w:rFonts w:ascii="Times New Roman" w:eastAsia="Times New Roman" w:hAnsi="Times New Roman" w:cs="Times New Roman"/>
          <w:sz w:val="24"/>
          <w:szCs w:val="24"/>
          <w:lang w:eastAsia="en-GB"/>
        </w:rPr>
        <w:t>maintaining profitability.</w:t>
      </w:r>
    </w:p>
    <w:p w14:paraId="26A7E929" w14:textId="77777777" w:rsidR="00FC255C" w:rsidRPr="0045369D" w:rsidRDefault="00A2351A" w:rsidP="00434D2A">
      <w:pPr>
        <w:rPr>
          <w:rFonts w:ascii="Times New Roman" w:hAnsi="Times New Roman" w:cs="Times New Roman"/>
          <w:b/>
          <w:sz w:val="24"/>
          <w:szCs w:val="24"/>
        </w:rPr>
      </w:pPr>
      <w:r w:rsidRPr="0045369D">
        <w:rPr>
          <w:rFonts w:ascii="Times New Roman" w:hAnsi="Times New Roman" w:cs="Times New Roman"/>
          <w:b/>
          <w:sz w:val="24"/>
          <w:szCs w:val="24"/>
        </w:rPr>
        <w:t>Additional Items</w:t>
      </w:r>
    </w:p>
    <w:p w14:paraId="12A89520" w14:textId="56C67F5E" w:rsidR="00FC255C" w:rsidRPr="0045369D" w:rsidRDefault="0045369D" w:rsidP="00434D2A">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sidRPr="0045369D">
        <w:rPr>
          <w:rFonts w:ascii="Times New Roman" w:hAnsi="Times New Roman" w:cs="Times New Roman"/>
          <w:sz w:val="24"/>
          <w:szCs w:val="24"/>
        </w:rPr>
        <w:object w:dxaOrig="6330" w:dyaOrig="12735" w14:anchorId="3C99BDBA">
          <v:shape id="_x0000_i1035" type="#_x0000_t75" style="width:477pt;height:217.5pt" o:ole="">
            <v:imagedata r:id="rId27" o:title=""/>
          </v:shape>
          <o:OLEObject Type="Embed" ProgID="EViews.Workfile.2" ShapeID="_x0000_i1035" DrawAspect="Content" ObjectID="_1787828371" r:id="rId28"/>
        </w:object>
      </w:r>
    </w:p>
    <w:p w14:paraId="686DAE2F" w14:textId="77777777" w:rsidR="00FC255C" w:rsidRPr="0045369D" w:rsidRDefault="00FC255C" w:rsidP="00434D2A">
      <w:pPr>
        <w:jc w:val="both"/>
        <w:rPr>
          <w:rFonts w:ascii="Times New Roman" w:eastAsia="Times New Roman" w:hAnsi="Times New Roman" w:cs="Times New Roman"/>
          <w:bCs/>
          <w:sz w:val="24"/>
          <w:szCs w:val="24"/>
          <w:lang w:eastAsia="en-GB"/>
        </w:rPr>
      </w:pPr>
      <w:r w:rsidRPr="0045369D">
        <w:rPr>
          <w:rFonts w:ascii="Times New Roman" w:eastAsia="Times New Roman" w:hAnsi="Times New Roman" w:cs="Times New Roman"/>
          <w:bCs/>
          <w:sz w:val="24"/>
          <w:szCs w:val="24"/>
          <w:lang w:eastAsia="en-GB"/>
        </w:rPr>
        <w:t>Figure 9</w:t>
      </w:r>
    </w:p>
    <w:p w14:paraId="52C03ECE" w14:textId="4EAA87AA" w:rsidR="00BE0E34" w:rsidRPr="0045369D" w:rsidRDefault="002C26EC" w:rsidP="00434D2A">
      <w:pPr>
        <w:jc w:val="both"/>
        <w:rPr>
          <w:rFonts w:ascii="Times New Roman" w:hAnsi="Times New Roman" w:cs="Times New Roman"/>
          <w:b/>
          <w:sz w:val="24"/>
          <w:szCs w:val="24"/>
        </w:rPr>
      </w:pPr>
      <w:r w:rsidRPr="0045369D">
        <w:rPr>
          <w:rFonts w:ascii="Times New Roman" w:eastAsia="Times New Roman" w:hAnsi="Times New Roman" w:cs="Times New Roman"/>
          <w:bCs/>
          <w:sz w:val="24"/>
          <w:szCs w:val="24"/>
          <w:lang w:eastAsia="en-GB"/>
        </w:rPr>
        <w:t xml:space="preserve">Three additional items which </w:t>
      </w:r>
      <w:r w:rsidR="00F25888" w:rsidRPr="0045369D">
        <w:rPr>
          <w:rFonts w:ascii="Times New Roman" w:eastAsia="Times New Roman" w:hAnsi="Times New Roman" w:cs="Times New Roman"/>
          <w:bCs/>
          <w:sz w:val="24"/>
          <w:szCs w:val="24"/>
          <w:lang w:eastAsia="en-GB"/>
        </w:rPr>
        <w:t>include</w:t>
      </w:r>
      <w:r w:rsidRPr="0045369D">
        <w:rPr>
          <w:rFonts w:ascii="Times New Roman" w:eastAsia="Times New Roman" w:hAnsi="Times New Roman" w:cs="Times New Roman"/>
          <w:bCs/>
          <w:sz w:val="24"/>
          <w:szCs w:val="24"/>
          <w:lang w:eastAsia="en-GB"/>
        </w:rPr>
        <w:t xml:space="preserve"> income tax rate, capex as a percentage of sales, and capex as a percentage of fixed assets for the years 2020 to 2022 were analyzed using </w:t>
      </w:r>
      <w:r w:rsidR="00F25888" w:rsidRPr="0045369D">
        <w:rPr>
          <w:rFonts w:ascii="Times New Roman" w:eastAsia="Times New Roman" w:hAnsi="Times New Roman" w:cs="Times New Roman"/>
          <w:bCs/>
          <w:sz w:val="24"/>
          <w:szCs w:val="24"/>
          <w:lang w:eastAsia="en-GB"/>
        </w:rPr>
        <w:t xml:space="preserve">a </w:t>
      </w:r>
      <w:r w:rsidRPr="0045369D">
        <w:rPr>
          <w:rFonts w:ascii="Times New Roman" w:eastAsia="Times New Roman" w:hAnsi="Times New Roman" w:cs="Times New Roman"/>
          <w:bCs/>
          <w:sz w:val="24"/>
          <w:szCs w:val="24"/>
          <w:lang w:eastAsia="en-GB"/>
        </w:rPr>
        <w:t xml:space="preserve">line graph presented </w:t>
      </w:r>
      <w:r w:rsidRPr="0045369D">
        <w:rPr>
          <w:rFonts w:ascii="Times New Roman" w:eastAsia="Times New Roman" w:hAnsi="Times New Roman" w:cs="Times New Roman"/>
          <w:bCs/>
          <w:sz w:val="24"/>
          <w:szCs w:val="24"/>
          <w:lang w:eastAsia="en-GB"/>
        </w:rPr>
        <w:lastRenderedPageBreak/>
        <w:t xml:space="preserve">in </w:t>
      </w:r>
      <w:r w:rsidR="00F25888" w:rsidRPr="0045369D">
        <w:rPr>
          <w:rFonts w:ascii="Times New Roman" w:eastAsia="Times New Roman" w:hAnsi="Times New Roman" w:cs="Times New Roman"/>
          <w:bCs/>
          <w:sz w:val="24"/>
          <w:szCs w:val="24"/>
          <w:lang w:eastAsia="en-GB"/>
        </w:rPr>
        <w:t>Figure</w:t>
      </w:r>
      <w:r w:rsidRPr="0045369D">
        <w:rPr>
          <w:rFonts w:ascii="Times New Roman" w:eastAsia="Times New Roman" w:hAnsi="Times New Roman" w:cs="Times New Roman"/>
          <w:bCs/>
          <w:sz w:val="24"/>
          <w:szCs w:val="24"/>
          <w:lang w:eastAsia="en-GB"/>
        </w:rPr>
        <w:t xml:space="preserve"> 9 above. </w:t>
      </w:r>
      <w:r w:rsidR="00FD35E6" w:rsidRPr="0045369D">
        <w:rPr>
          <w:rFonts w:ascii="Times New Roman" w:eastAsia="Times New Roman" w:hAnsi="Times New Roman" w:cs="Times New Roman"/>
          <w:bCs/>
          <w:sz w:val="24"/>
          <w:szCs w:val="24"/>
          <w:lang w:eastAsia="en-GB"/>
        </w:rPr>
        <w:t xml:space="preserve">These ratios further give more insights into the capital expenditure and taxation of the company. </w:t>
      </w:r>
      <w:r w:rsidR="00105011" w:rsidRPr="0045369D">
        <w:rPr>
          <w:rFonts w:ascii="Times New Roman" w:eastAsia="Times New Roman" w:hAnsi="Times New Roman" w:cs="Times New Roman"/>
          <w:sz w:val="24"/>
          <w:szCs w:val="24"/>
          <w:lang w:eastAsia="en-GB"/>
        </w:rPr>
        <w:t xml:space="preserve">The </w:t>
      </w:r>
      <w:r w:rsidR="00FD35E6" w:rsidRPr="0045369D">
        <w:rPr>
          <w:rFonts w:ascii="Times New Roman" w:eastAsia="Times New Roman" w:hAnsi="Times New Roman" w:cs="Times New Roman"/>
          <w:bCs/>
          <w:sz w:val="24"/>
          <w:szCs w:val="24"/>
          <w:lang w:eastAsia="en-GB"/>
        </w:rPr>
        <w:t>income tax rate</w:t>
      </w:r>
      <w:r w:rsidR="00FD35E6" w:rsidRPr="0045369D">
        <w:rPr>
          <w:rFonts w:ascii="Times New Roman" w:eastAsia="Times New Roman" w:hAnsi="Times New Roman" w:cs="Times New Roman"/>
          <w:sz w:val="24"/>
          <w:szCs w:val="24"/>
          <w:lang w:eastAsia="en-GB"/>
        </w:rPr>
        <w:t xml:space="preserve"> </w:t>
      </w:r>
      <w:r w:rsidR="007F2572" w:rsidRPr="0045369D">
        <w:rPr>
          <w:rFonts w:ascii="Times New Roman" w:eastAsia="Times New Roman" w:hAnsi="Times New Roman" w:cs="Times New Roman"/>
          <w:sz w:val="24"/>
          <w:szCs w:val="24"/>
          <w:lang w:eastAsia="en-GB"/>
        </w:rPr>
        <w:t xml:space="preserve">from 14.16 in 2020 increased to 23.24 in 2021, </w:t>
      </w:r>
      <w:r w:rsidR="00ED1322" w:rsidRPr="0045369D">
        <w:rPr>
          <w:rFonts w:ascii="Times New Roman" w:eastAsia="Times New Roman" w:hAnsi="Times New Roman" w:cs="Times New Roman"/>
          <w:sz w:val="24"/>
          <w:szCs w:val="24"/>
          <w:lang w:eastAsia="en-GB"/>
        </w:rPr>
        <w:t xml:space="preserve">this sharp increase might be due to changes in tax regulations, and higher taxable income or the company no longer enjoyed certain tax incentives. However, this value </w:t>
      </w:r>
      <w:r w:rsidR="00F25888" w:rsidRPr="0045369D">
        <w:rPr>
          <w:rFonts w:ascii="Times New Roman" w:eastAsia="Times New Roman" w:hAnsi="Times New Roman" w:cs="Times New Roman"/>
          <w:sz w:val="24"/>
          <w:szCs w:val="24"/>
          <w:lang w:eastAsia="en-GB"/>
        </w:rPr>
        <w:t>decreases</w:t>
      </w:r>
      <w:r w:rsidR="00ED1322" w:rsidRPr="0045369D">
        <w:rPr>
          <w:rFonts w:ascii="Times New Roman" w:eastAsia="Times New Roman" w:hAnsi="Times New Roman" w:cs="Times New Roman"/>
          <w:sz w:val="24"/>
          <w:szCs w:val="24"/>
          <w:lang w:eastAsia="en-GB"/>
        </w:rPr>
        <w:t xml:space="preserve"> in 2022 to </w:t>
      </w:r>
      <w:r w:rsidR="00B20E0E" w:rsidRPr="0045369D">
        <w:rPr>
          <w:rFonts w:ascii="Times New Roman" w:eastAsia="Times New Roman" w:hAnsi="Times New Roman" w:cs="Times New Roman"/>
          <w:sz w:val="24"/>
          <w:szCs w:val="24"/>
          <w:lang w:eastAsia="en-GB"/>
        </w:rPr>
        <w:t>16.43</w:t>
      </w:r>
      <w:proofErr w:type="gramStart"/>
      <w:r w:rsidR="00B20E0E" w:rsidRPr="0045369D">
        <w:rPr>
          <w:rFonts w:ascii="Times New Roman" w:eastAsia="Times New Roman" w:hAnsi="Times New Roman" w:cs="Times New Roman"/>
          <w:sz w:val="24"/>
          <w:szCs w:val="24"/>
          <w:lang w:eastAsia="en-GB"/>
        </w:rPr>
        <w:t xml:space="preserve"> this</w:t>
      </w:r>
      <w:proofErr w:type="gramEnd"/>
      <w:r w:rsidR="00ED1322" w:rsidRPr="0045369D">
        <w:rPr>
          <w:rFonts w:ascii="Times New Roman" w:eastAsia="Times New Roman" w:hAnsi="Times New Roman" w:cs="Times New Roman"/>
          <w:sz w:val="24"/>
          <w:szCs w:val="24"/>
          <w:lang w:eastAsia="en-GB"/>
        </w:rPr>
        <w:t xml:space="preserve"> may be </w:t>
      </w:r>
      <w:r w:rsidR="00D22BC0" w:rsidRPr="0045369D">
        <w:rPr>
          <w:rFonts w:ascii="Times New Roman" w:eastAsia="Times New Roman" w:hAnsi="Times New Roman" w:cs="Times New Roman"/>
          <w:sz w:val="24"/>
          <w:szCs w:val="24"/>
          <w:lang w:eastAsia="en-GB"/>
        </w:rPr>
        <w:t>a result of an improvement in the</w:t>
      </w:r>
      <w:r w:rsidR="00ED1322" w:rsidRPr="0045369D">
        <w:rPr>
          <w:rFonts w:ascii="Times New Roman" w:eastAsia="Times New Roman" w:hAnsi="Times New Roman" w:cs="Times New Roman"/>
          <w:sz w:val="24"/>
          <w:szCs w:val="24"/>
          <w:lang w:eastAsia="en-GB"/>
        </w:rPr>
        <w:t xml:space="preserve"> tax planning strategies put in place that year</w:t>
      </w:r>
      <w:r w:rsidR="00B20E0E" w:rsidRPr="0045369D">
        <w:rPr>
          <w:rFonts w:ascii="Times New Roman" w:eastAsia="Times New Roman" w:hAnsi="Times New Roman" w:cs="Times New Roman"/>
          <w:sz w:val="24"/>
          <w:szCs w:val="24"/>
          <w:lang w:eastAsia="en-GB"/>
        </w:rPr>
        <w:t xml:space="preserve"> by the company</w:t>
      </w:r>
      <w:r w:rsidR="00ED1322" w:rsidRPr="0045369D">
        <w:rPr>
          <w:rFonts w:ascii="Times New Roman" w:eastAsia="Times New Roman" w:hAnsi="Times New Roman" w:cs="Times New Roman"/>
          <w:sz w:val="24"/>
          <w:szCs w:val="24"/>
          <w:lang w:eastAsia="en-GB"/>
        </w:rPr>
        <w:t xml:space="preserve">. </w:t>
      </w:r>
      <w:r w:rsidR="00B20E0E" w:rsidRPr="0045369D">
        <w:rPr>
          <w:rFonts w:ascii="Times New Roman" w:eastAsia="Times New Roman" w:hAnsi="Times New Roman" w:cs="Times New Roman"/>
          <w:bCs/>
          <w:sz w:val="24"/>
          <w:szCs w:val="24"/>
          <w:lang w:eastAsia="en-GB"/>
        </w:rPr>
        <w:t>Capital e</w:t>
      </w:r>
      <w:r w:rsidR="00105011" w:rsidRPr="0045369D">
        <w:rPr>
          <w:rFonts w:ascii="Times New Roman" w:eastAsia="Times New Roman" w:hAnsi="Times New Roman" w:cs="Times New Roman"/>
          <w:bCs/>
          <w:sz w:val="24"/>
          <w:szCs w:val="24"/>
          <w:lang w:eastAsia="en-GB"/>
        </w:rPr>
        <w:t xml:space="preserve">xpenditure (Capex) as a </w:t>
      </w:r>
      <w:r w:rsidR="00D22BC0" w:rsidRPr="0045369D">
        <w:rPr>
          <w:rFonts w:ascii="Times New Roman" w:eastAsia="Times New Roman" w:hAnsi="Times New Roman" w:cs="Times New Roman"/>
          <w:bCs/>
          <w:sz w:val="24"/>
          <w:szCs w:val="24"/>
          <w:lang w:eastAsia="en-GB"/>
        </w:rPr>
        <w:t>percentage of sales</w:t>
      </w:r>
      <w:r w:rsidR="00D22BC0" w:rsidRPr="0045369D">
        <w:rPr>
          <w:rFonts w:ascii="Times New Roman" w:eastAsia="Times New Roman" w:hAnsi="Times New Roman" w:cs="Times New Roman"/>
          <w:sz w:val="24"/>
          <w:szCs w:val="24"/>
          <w:lang w:eastAsia="en-GB"/>
        </w:rPr>
        <w:t xml:space="preserve"> </w:t>
      </w:r>
      <w:r w:rsidR="00F25888" w:rsidRPr="0045369D">
        <w:rPr>
          <w:rFonts w:ascii="Times New Roman" w:eastAsia="Times New Roman" w:hAnsi="Times New Roman" w:cs="Times New Roman"/>
          <w:sz w:val="24"/>
          <w:szCs w:val="24"/>
          <w:lang w:eastAsia="en-GB"/>
        </w:rPr>
        <w:t>increased</w:t>
      </w:r>
      <w:r w:rsidR="00EB66DC" w:rsidRPr="0045369D">
        <w:rPr>
          <w:rFonts w:ascii="Times New Roman" w:eastAsia="Times New Roman" w:hAnsi="Times New Roman" w:cs="Times New Roman"/>
          <w:sz w:val="24"/>
          <w:szCs w:val="24"/>
          <w:lang w:eastAsia="en-GB"/>
        </w:rPr>
        <w:t xml:space="preserve"> from 2.66 in 2020 to 3.03 in 2021. The increase possibly may be due to </w:t>
      </w:r>
      <w:r w:rsidR="00F25888" w:rsidRPr="0045369D">
        <w:rPr>
          <w:rFonts w:ascii="Times New Roman" w:eastAsia="Times New Roman" w:hAnsi="Times New Roman" w:cs="Times New Roman"/>
          <w:sz w:val="24"/>
          <w:szCs w:val="24"/>
          <w:lang w:eastAsia="en-GB"/>
        </w:rPr>
        <w:t xml:space="preserve">an </w:t>
      </w:r>
      <w:r w:rsidR="00EB66DC" w:rsidRPr="0045369D">
        <w:rPr>
          <w:rFonts w:ascii="Times New Roman" w:eastAsia="Times New Roman" w:hAnsi="Times New Roman" w:cs="Times New Roman"/>
          <w:sz w:val="24"/>
          <w:szCs w:val="24"/>
          <w:lang w:eastAsia="en-GB"/>
        </w:rPr>
        <w:t xml:space="preserve">increase in operations, improving its technological infrastructure or upgrading its facilities. Nevertheless, the slight reduction in </w:t>
      </w:r>
      <w:r w:rsidR="00EB66DC" w:rsidRPr="0045369D">
        <w:rPr>
          <w:rFonts w:ascii="Times New Roman" w:eastAsia="Times New Roman" w:hAnsi="Times New Roman" w:cs="Times New Roman"/>
          <w:bCs/>
          <w:sz w:val="24"/>
          <w:szCs w:val="24"/>
          <w:lang w:eastAsia="en-GB"/>
        </w:rPr>
        <w:t>Capex may be caused by several factors such as responding to market conditions instead of expansion and focusing on optimizing existing resources.</w:t>
      </w:r>
      <w:r w:rsidR="00EB66DC" w:rsidRPr="0045369D">
        <w:rPr>
          <w:rFonts w:ascii="Times New Roman" w:eastAsia="Times New Roman" w:hAnsi="Times New Roman" w:cs="Times New Roman"/>
          <w:sz w:val="24"/>
          <w:szCs w:val="24"/>
          <w:lang w:eastAsia="en-GB"/>
        </w:rPr>
        <w:t xml:space="preserve"> </w:t>
      </w:r>
      <w:r w:rsidR="00105011" w:rsidRPr="0045369D">
        <w:rPr>
          <w:rFonts w:ascii="Times New Roman" w:eastAsia="Times New Roman" w:hAnsi="Times New Roman" w:cs="Times New Roman"/>
          <w:bCs/>
          <w:sz w:val="24"/>
          <w:szCs w:val="24"/>
          <w:lang w:eastAsia="en-GB"/>
        </w:rPr>
        <w:t>Capex</w:t>
      </w:r>
      <w:r w:rsidR="00105011" w:rsidRPr="0045369D">
        <w:rPr>
          <w:rFonts w:ascii="Times New Roman" w:eastAsia="Times New Roman" w:hAnsi="Times New Roman" w:cs="Times New Roman"/>
          <w:b/>
          <w:bCs/>
          <w:sz w:val="24"/>
          <w:szCs w:val="24"/>
          <w:lang w:eastAsia="en-GB"/>
        </w:rPr>
        <w:t xml:space="preserve"> </w:t>
      </w:r>
      <w:r w:rsidR="00105011" w:rsidRPr="0045369D">
        <w:rPr>
          <w:rFonts w:ascii="Times New Roman" w:eastAsia="Times New Roman" w:hAnsi="Times New Roman" w:cs="Times New Roman"/>
          <w:bCs/>
          <w:sz w:val="24"/>
          <w:szCs w:val="24"/>
          <w:lang w:eastAsia="en-GB"/>
        </w:rPr>
        <w:t xml:space="preserve">as a </w:t>
      </w:r>
      <w:r w:rsidR="00EB66DC" w:rsidRPr="0045369D">
        <w:rPr>
          <w:rFonts w:ascii="Times New Roman" w:eastAsia="Times New Roman" w:hAnsi="Times New Roman" w:cs="Times New Roman"/>
          <w:bCs/>
          <w:sz w:val="24"/>
          <w:szCs w:val="24"/>
          <w:lang w:eastAsia="en-GB"/>
        </w:rPr>
        <w:t>percentage of fixed assets</w:t>
      </w:r>
      <w:r w:rsidR="00EB66DC" w:rsidRPr="0045369D">
        <w:rPr>
          <w:rFonts w:ascii="Times New Roman" w:eastAsia="Times New Roman" w:hAnsi="Times New Roman" w:cs="Times New Roman"/>
          <w:sz w:val="24"/>
          <w:szCs w:val="24"/>
          <w:lang w:eastAsia="en-GB"/>
        </w:rPr>
        <w:t xml:space="preserve"> </w:t>
      </w:r>
      <w:r w:rsidR="00F25888" w:rsidRPr="0045369D">
        <w:rPr>
          <w:rFonts w:ascii="Times New Roman" w:eastAsia="Times New Roman" w:hAnsi="Times New Roman" w:cs="Times New Roman"/>
          <w:sz w:val="24"/>
          <w:szCs w:val="24"/>
          <w:lang w:eastAsia="en-GB"/>
        </w:rPr>
        <w:t>rose</w:t>
      </w:r>
      <w:r w:rsidR="00EB66DC" w:rsidRPr="0045369D">
        <w:rPr>
          <w:rFonts w:ascii="Times New Roman" w:eastAsia="Times New Roman" w:hAnsi="Times New Roman" w:cs="Times New Roman"/>
          <w:sz w:val="24"/>
          <w:szCs w:val="24"/>
          <w:lang w:eastAsia="en-GB"/>
        </w:rPr>
        <w:t xml:space="preserve"> from </w:t>
      </w:r>
      <w:r w:rsidR="008F61D6" w:rsidRPr="0045369D">
        <w:rPr>
          <w:rFonts w:ascii="Times New Roman" w:eastAsia="Times New Roman" w:hAnsi="Times New Roman" w:cs="Times New Roman"/>
          <w:sz w:val="24"/>
          <w:szCs w:val="24"/>
          <w:lang w:eastAsia="en-GB"/>
        </w:rPr>
        <w:t xml:space="preserve">19.88 in 2020 to 25.42 in 2022. This rise is a sign that the company carried out </w:t>
      </w:r>
      <w:r w:rsidR="0083620F" w:rsidRPr="0045369D">
        <w:rPr>
          <w:rFonts w:ascii="Times New Roman" w:eastAsia="Times New Roman" w:hAnsi="Times New Roman" w:cs="Times New Roman"/>
          <w:sz w:val="24"/>
          <w:szCs w:val="24"/>
          <w:lang w:eastAsia="en-GB"/>
        </w:rPr>
        <w:t xml:space="preserve">significant </w:t>
      </w:r>
      <w:r w:rsidR="00F25888" w:rsidRPr="0045369D">
        <w:rPr>
          <w:rFonts w:ascii="Times New Roman" w:eastAsia="Times New Roman" w:hAnsi="Times New Roman" w:cs="Times New Roman"/>
          <w:sz w:val="24"/>
          <w:szCs w:val="24"/>
          <w:lang w:eastAsia="en-GB"/>
        </w:rPr>
        <w:t>investments</w:t>
      </w:r>
      <w:r w:rsidR="0083620F" w:rsidRPr="0045369D">
        <w:rPr>
          <w:rFonts w:ascii="Times New Roman" w:eastAsia="Times New Roman" w:hAnsi="Times New Roman" w:cs="Times New Roman"/>
          <w:sz w:val="24"/>
          <w:szCs w:val="24"/>
          <w:lang w:eastAsia="en-GB"/>
        </w:rPr>
        <w:t xml:space="preserve"> in fixed assets </w:t>
      </w:r>
      <w:r w:rsidR="00F25888" w:rsidRPr="0045369D">
        <w:rPr>
          <w:rFonts w:ascii="Times New Roman" w:eastAsia="Times New Roman" w:hAnsi="Times New Roman" w:cs="Times New Roman"/>
          <w:sz w:val="24"/>
          <w:szCs w:val="24"/>
          <w:lang w:eastAsia="en-GB"/>
        </w:rPr>
        <w:t>to</w:t>
      </w:r>
      <w:r w:rsidR="0083620F" w:rsidRPr="0045369D">
        <w:rPr>
          <w:rFonts w:ascii="Times New Roman" w:eastAsia="Times New Roman" w:hAnsi="Times New Roman" w:cs="Times New Roman"/>
          <w:sz w:val="24"/>
          <w:szCs w:val="24"/>
          <w:lang w:eastAsia="en-GB"/>
        </w:rPr>
        <w:t xml:space="preserve"> boost the firm’s long-term operational strength. In 2022 </w:t>
      </w:r>
      <w:r w:rsidR="0083620F" w:rsidRPr="0045369D">
        <w:rPr>
          <w:rFonts w:ascii="Times New Roman" w:eastAsia="Times New Roman" w:hAnsi="Times New Roman" w:cs="Times New Roman"/>
          <w:bCs/>
          <w:sz w:val="24"/>
          <w:szCs w:val="24"/>
          <w:lang w:eastAsia="en-GB"/>
        </w:rPr>
        <w:t xml:space="preserve">capex as a percentage of fixed assets decreases to 25.42 from 28.11 in 2021. This shift may be that the </w:t>
      </w:r>
      <w:r w:rsidR="00442207" w:rsidRPr="0045369D">
        <w:rPr>
          <w:rFonts w:ascii="Times New Roman" w:eastAsia="Times New Roman" w:hAnsi="Times New Roman" w:cs="Times New Roman"/>
          <w:bCs/>
          <w:sz w:val="24"/>
          <w:szCs w:val="24"/>
          <w:lang w:eastAsia="en-GB"/>
        </w:rPr>
        <w:t>company,</w:t>
      </w:r>
      <w:r w:rsidR="0083620F" w:rsidRPr="0045369D">
        <w:rPr>
          <w:rFonts w:ascii="Times New Roman" w:eastAsia="Times New Roman" w:hAnsi="Times New Roman" w:cs="Times New Roman"/>
          <w:bCs/>
          <w:sz w:val="24"/>
          <w:szCs w:val="24"/>
          <w:lang w:eastAsia="en-GB"/>
        </w:rPr>
        <w:t xml:space="preserve"> after achieving significant expansion in its </w:t>
      </w:r>
      <w:proofErr w:type="gramStart"/>
      <w:r w:rsidR="0083620F" w:rsidRPr="0045369D">
        <w:rPr>
          <w:rFonts w:ascii="Times New Roman" w:eastAsia="Times New Roman" w:hAnsi="Times New Roman" w:cs="Times New Roman"/>
          <w:bCs/>
          <w:sz w:val="24"/>
          <w:szCs w:val="24"/>
          <w:lang w:eastAsia="en-GB"/>
        </w:rPr>
        <w:t>investment</w:t>
      </w:r>
      <w:proofErr w:type="gramEnd"/>
      <w:r w:rsidR="0083620F" w:rsidRPr="0045369D">
        <w:rPr>
          <w:rFonts w:ascii="Times New Roman" w:eastAsia="Times New Roman" w:hAnsi="Times New Roman" w:cs="Times New Roman"/>
          <w:bCs/>
          <w:sz w:val="24"/>
          <w:szCs w:val="24"/>
          <w:lang w:eastAsia="en-GB"/>
        </w:rPr>
        <w:t xml:space="preserve"> now </w:t>
      </w:r>
      <w:r w:rsidR="00AC4E66" w:rsidRPr="0045369D">
        <w:rPr>
          <w:rFonts w:ascii="Times New Roman" w:eastAsia="Times New Roman" w:hAnsi="Times New Roman" w:cs="Times New Roman"/>
          <w:bCs/>
          <w:sz w:val="24"/>
          <w:szCs w:val="24"/>
          <w:lang w:eastAsia="en-GB"/>
        </w:rPr>
        <w:t xml:space="preserve">focuses on maintaining its assets, allocating its resources to other aspects like research and development, marketing and debt reduction among other things. Lastly, the overall metric reveals that Apple is a dynamic company that </w:t>
      </w:r>
      <w:r w:rsidR="00F25888" w:rsidRPr="0045369D">
        <w:rPr>
          <w:rFonts w:ascii="Times New Roman" w:eastAsia="Times New Roman" w:hAnsi="Times New Roman" w:cs="Times New Roman"/>
          <w:bCs/>
          <w:sz w:val="24"/>
          <w:szCs w:val="24"/>
          <w:lang w:eastAsia="en-GB"/>
        </w:rPr>
        <w:t>adapts</w:t>
      </w:r>
      <w:r w:rsidR="00AC4E66" w:rsidRPr="0045369D">
        <w:rPr>
          <w:rFonts w:ascii="Times New Roman" w:eastAsia="Times New Roman" w:hAnsi="Times New Roman" w:cs="Times New Roman"/>
          <w:bCs/>
          <w:sz w:val="24"/>
          <w:szCs w:val="24"/>
          <w:lang w:eastAsia="en-GB"/>
        </w:rPr>
        <w:t xml:space="preserve"> different strategies to achieve its </w:t>
      </w:r>
      <w:r w:rsidR="00F25888" w:rsidRPr="0045369D">
        <w:rPr>
          <w:rFonts w:ascii="Times New Roman" w:eastAsia="Times New Roman" w:hAnsi="Times New Roman" w:cs="Times New Roman"/>
          <w:bCs/>
          <w:sz w:val="24"/>
          <w:szCs w:val="24"/>
          <w:lang w:eastAsia="en-GB"/>
        </w:rPr>
        <w:t>objectives</w:t>
      </w:r>
      <w:r w:rsidR="00AC4E66" w:rsidRPr="0045369D">
        <w:rPr>
          <w:rFonts w:ascii="Times New Roman" w:eastAsia="Times New Roman" w:hAnsi="Times New Roman" w:cs="Times New Roman"/>
          <w:bCs/>
          <w:sz w:val="24"/>
          <w:szCs w:val="24"/>
          <w:lang w:eastAsia="en-GB"/>
        </w:rPr>
        <w:t xml:space="preserve"> and </w:t>
      </w:r>
      <w:r w:rsidR="00F25888" w:rsidRPr="0045369D">
        <w:rPr>
          <w:rFonts w:ascii="Times New Roman" w:eastAsia="Times New Roman" w:hAnsi="Times New Roman" w:cs="Times New Roman"/>
          <w:bCs/>
          <w:sz w:val="24"/>
          <w:szCs w:val="24"/>
          <w:lang w:eastAsia="en-GB"/>
        </w:rPr>
        <w:t>aligns</w:t>
      </w:r>
      <w:r w:rsidR="00AC4E66" w:rsidRPr="0045369D">
        <w:rPr>
          <w:rFonts w:ascii="Times New Roman" w:eastAsia="Times New Roman" w:hAnsi="Times New Roman" w:cs="Times New Roman"/>
          <w:bCs/>
          <w:sz w:val="24"/>
          <w:szCs w:val="24"/>
          <w:lang w:eastAsia="en-GB"/>
        </w:rPr>
        <w:t xml:space="preserve"> </w:t>
      </w:r>
      <w:r w:rsidR="00F25888" w:rsidRPr="0045369D">
        <w:rPr>
          <w:rFonts w:ascii="Times New Roman" w:eastAsia="Times New Roman" w:hAnsi="Times New Roman" w:cs="Times New Roman"/>
          <w:bCs/>
          <w:sz w:val="24"/>
          <w:szCs w:val="24"/>
          <w:lang w:eastAsia="en-GB"/>
        </w:rPr>
        <w:t>with</w:t>
      </w:r>
      <w:r w:rsidR="00AC4E66" w:rsidRPr="0045369D">
        <w:rPr>
          <w:rFonts w:ascii="Times New Roman" w:eastAsia="Times New Roman" w:hAnsi="Times New Roman" w:cs="Times New Roman"/>
          <w:bCs/>
          <w:sz w:val="24"/>
          <w:szCs w:val="24"/>
          <w:lang w:eastAsia="en-GB"/>
        </w:rPr>
        <w:t xml:space="preserve"> its internal goals and external economic factors.</w:t>
      </w:r>
      <w:r w:rsidR="00AC4E66" w:rsidRPr="0045369D">
        <w:rPr>
          <w:rFonts w:ascii="Times New Roman" w:eastAsia="Times New Roman" w:hAnsi="Times New Roman" w:cs="Times New Roman"/>
          <w:b/>
          <w:bCs/>
          <w:sz w:val="24"/>
          <w:szCs w:val="24"/>
          <w:lang w:eastAsia="en-GB"/>
        </w:rPr>
        <w:t xml:space="preserve"> </w:t>
      </w:r>
    </w:p>
    <w:p w14:paraId="343636BC" w14:textId="77777777" w:rsidR="00BE0E34" w:rsidRPr="0045369D" w:rsidRDefault="00BE0E34" w:rsidP="00434D2A">
      <w:pPr>
        <w:jc w:val="both"/>
        <w:rPr>
          <w:rFonts w:ascii="Times New Roman" w:hAnsi="Times New Roman" w:cs="Times New Roman"/>
          <w:b/>
          <w:sz w:val="24"/>
          <w:szCs w:val="24"/>
        </w:rPr>
      </w:pPr>
      <w:r w:rsidRPr="0045369D">
        <w:rPr>
          <w:rFonts w:ascii="Times New Roman" w:eastAsia="Times New Roman" w:hAnsi="Times New Roman" w:cs="Times New Roman"/>
          <w:b/>
          <w:bCs/>
          <w:sz w:val="24"/>
          <w:szCs w:val="24"/>
          <w:lang w:eastAsia="en-GB"/>
        </w:rPr>
        <w:t>Conclusion</w:t>
      </w:r>
    </w:p>
    <w:p w14:paraId="1EDE923B" w14:textId="06F4AAB2" w:rsidR="00105011" w:rsidRPr="0045369D" w:rsidRDefault="00BE0E34" w:rsidP="00434D2A">
      <w:pPr>
        <w:jc w:val="both"/>
        <w:rPr>
          <w:rFonts w:ascii="Times New Roman" w:hAnsi="Times New Roman" w:cs="Times New Roman"/>
          <w:sz w:val="24"/>
          <w:szCs w:val="24"/>
        </w:rPr>
      </w:pPr>
      <w:r w:rsidRPr="0045369D">
        <w:rPr>
          <w:rFonts w:ascii="Times New Roman" w:eastAsia="Times New Roman" w:hAnsi="Times New Roman" w:cs="Times New Roman"/>
          <w:sz w:val="24"/>
          <w:szCs w:val="24"/>
          <w:lang w:eastAsia="en-GB"/>
        </w:rPr>
        <w:t xml:space="preserve">The analysis of the financial ratio of Apple reveals several important trends </w:t>
      </w:r>
      <w:r w:rsidR="00F25888" w:rsidRPr="0045369D">
        <w:rPr>
          <w:rFonts w:ascii="Times New Roman" w:eastAsia="Times New Roman" w:hAnsi="Times New Roman" w:cs="Times New Roman"/>
          <w:sz w:val="24"/>
          <w:szCs w:val="24"/>
          <w:lang w:eastAsia="en-GB"/>
        </w:rPr>
        <w:t>in</w:t>
      </w:r>
      <w:r w:rsidRPr="0045369D">
        <w:rPr>
          <w:rFonts w:ascii="Times New Roman" w:eastAsia="Times New Roman" w:hAnsi="Times New Roman" w:cs="Times New Roman"/>
          <w:sz w:val="24"/>
          <w:szCs w:val="24"/>
          <w:lang w:eastAsia="en-GB"/>
        </w:rPr>
        <w:t xml:space="preserve"> the company’s financial health and stability. While there </w:t>
      </w:r>
      <w:r w:rsidR="00F25888" w:rsidRPr="0045369D">
        <w:rPr>
          <w:rFonts w:ascii="Times New Roman" w:eastAsia="Times New Roman" w:hAnsi="Times New Roman" w:cs="Times New Roman"/>
          <w:sz w:val="24"/>
          <w:szCs w:val="24"/>
          <w:lang w:eastAsia="en-GB"/>
        </w:rPr>
        <w:t>is</w:t>
      </w:r>
      <w:r w:rsidRPr="0045369D">
        <w:rPr>
          <w:rFonts w:ascii="Times New Roman" w:eastAsia="Times New Roman" w:hAnsi="Times New Roman" w:cs="Times New Roman"/>
          <w:sz w:val="24"/>
          <w:szCs w:val="24"/>
          <w:lang w:eastAsia="en-GB"/>
        </w:rPr>
        <w:t xml:space="preserve"> positive and significant growth </w:t>
      </w:r>
      <w:r w:rsidR="0046544E" w:rsidRPr="0045369D">
        <w:rPr>
          <w:rFonts w:ascii="Times New Roman" w:eastAsia="Times New Roman" w:hAnsi="Times New Roman" w:cs="Times New Roman"/>
          <w:sz w:val="24"/>
          <w:szCs w:val="24"/>
          <w:lang w:eastAsia="en-GB"/>
        </w:rPr>
        <w:t>in some of the metrics analyzed in this report. There are still some areas the firm needs to focus more attention on like the increase in total current liabilities and decrease in total shareholders’ equity.</w:t>
      </w:r>
      <w:r w:rsidR="008653DE" w:rsidRPr="0045369D">
        <w:rPr>
          <w:rFonts w:ascii="Times New Roman" w:eastAsia="Times New Roman" w:hAnsi="Times New Roman" w:cs="Times New Roman"/>
          <w:sz w:val="24"/>
          <w:szCs w:val="24"/>
          <w:lang w:eastAsia="en-GB"/>
        </w:rPr>
        <w:t xml:space="preserve"> Also, the company should reconsider its investing and financing strategies </w:t>
      </w:r>
      <w:r w:rsidR="00F25888" w:rsidRPr="0045369D">
        <w:rPr>
          <w:rFonts w:ascii="Times New Roman" w:eastAsia="Times New Roman" w:hAnsi="Times New Roman" w:cs="Times New Roman"/>
          <w:sz w:val="24"/>
          <w:szCs w:val="24"/>
          <w:lang w:eastAsia="en-GB"/>
        </w:rPr>
        <w:t>to</w:t>
      </w:r>
      <w:r w:rsidR="008653DE" w:rsidRPr="0045369D">
        <w:rPr>
          <w:rFonts w:ascii="Times New Roman" w:eastAsia="Times New Roman" w:hAnsi="Times New Roman" w:cs="Times New Roman"/>
          <w:sz w:val="24"/>
          <w:szCs w:val="24"/>
          <w:lang w:eastAsia="en-GB"/>
        </w:rPr>
        <w:t xml:space="preserve"> improve its asset growth</w:t>
      </w:r>
      <w:r w:rsidR="00F25888" w:rsidRPr="0045369D">
        <w:rPr>
          <w:rFonts w:ascii="Times New Roman" w:eastAsia="Times New Roman" w:hAnsi="Times New Roman" w:cs="Times New Roman"/>
          <w:sz w:val="24"/>
          <w:szCs w:val="24"/>
          <w:lang w:eastAsia="en-GB"/>
        </w:rPr>
        <w:t>,</w:t>
      </w:r>
      <w:r w:rsidR="008653DE" w:rsidRPr="0045369D">
        <w:rPr>
          <w:rFonts w:ascii="Times New Roman" w:eastAsia="Times New Roman" w:hAnsi="Times New Roman" w:cs="Times New Roman"/>
          <w:sz w:val="24"/>
          <w:szCs w:val="24"/>
          <w:lang w:eastAsia="en-GB"/>
        </w:rPr>
        <w:t xml:space="preserve"> maintain a positive equity position</w:t>
      </w:r>
      <w:r w:rsidR="00F25888" w:rsidRPr="0045369D">
        <w:rPr>
          <w:rFonts w:ascii="Times New Roman" w:eastAsia="Times New Roman" w:hAnsi="Times New Roman" w:cs="Times New Roman"/>
          <w:sz w:val="24"/>
          <w:szCs w:val="24"/>
          <w:lang w:eastAsia="en-GB"/>
        </w:rPr>
        <w:t>,</w:t>
      </w:r>
      <w:r w:rsidR="008653DE" w:rsidRPr="0045369D">
        <w:rPr>
          <w:rFonts w:ascii="Times New Roman" w:eastAsia="Times New Roman" w:hAnsi="Times New Roman" w:cs="Times New Roman"/>
          <w:sz w:val="24"/>
          <w:szCs w:val="24"/>
          <w:lang w:eastAsia="en-GB"/>
        </w:rPr>
        <w:t xml:space="preserve"> and </w:t>
      </w:r>
      <w:r w:rsidR="00F25888" w:rsidRPr="0045369D">
        <w:rPr>
          <w:rFonts w:ascii="Times New Roman" w:eastAsia="Times New Roman" w:hAnsi="Times New Roman" w:cs="Times New Roman"/>
          <w:sz w:val="24"/>
          <w:szCs w:val="24"/>
          <w:lang w:eastAsia="en-GB"/>
        </w:rPr>
        <w:t>ensure</w:t>
      </w:r>
      <w:r w:rsidR="008653DE" w:rsidRPr="0045369D">
        <w:rPr>
          <w:rFonts w:ascii="Times New Roman" w:eastAsia="Times New Roman" w:hAnsi="Times New Roman" w:cs="Times New Roman"/>
          <w:sz w:val="24"/>
          <w:szCs w:val="24"/>
          <w:lang w:eastAsia="en-GB"/>
        </w:rPr>
        <w:t xml:space="preserve"> </w:t>
      </w:r>
      <w:r w:rsidRPr="0045369D">
        <w:rPr>
          <w:rFonts w:ascii="Times New Roman" w:eastAsia="Times New Roman" w:hAnsi="Times New Roman" w:cs="Times New Roman"/>
          <w:sz w:val="24"/>
          <w:szCs w:val="24"/>
          <w:lang w:eastAsia="en-GB"/>
        </w:rPr>
        <w:t xml:space="preserve">a healthier </w:t>
      </w:r>
      <w:r w:rsidR="008653DE" w:rsidRPr="0045369D">
        <w:rPr>
          <w:rFonts w:ascii="Times New Roman" w:eastAsia="Times New Roman" w:hAnsi="Times New Roman" w:cs="Times New Roman"/>
          <w:sz w:val="24"/>
          <w:szCs w:val="24"/>
          <w:lang w:eastAsia="en-GB"/>
        </w:rPr>
        <w:t>financial position</w:t>
      </w:r>
      <w:r w:rsidRPr="0045369D">
        <w:rPr>
          <w:rFonts w:ascii="Times New Roman" w:eastAsia="Times New Roman" w:hAnsi="Times New Roman" w:cs="Times New Roman"/>
          <w:sz w:val="24"/>
          <w:szCs w:val="24"/>
          <w:lang w:eastAsia="en-GB"/>
        </w:rPr>
        <w:t xml:space="preserve"> in the future.</w:t>
      </w:r>
    </w:p>
    <w:p w14:paraId="5B9CA34B" w14:textId="77777777" w:rsidR="0088214A" w:rsidRPr="0045369D" w:rsidRDefault="0088214A" w:rsidP="00434D2A">
      <w:pPr>
        <w:rPr>
          <w:rFonts w:ascii="Times New Roman" w:hAnsi="Times New Roman" w:cs="Times New Roman"/>
          <w:sz w:val="24"/>
          <w:szCs w:val="24"/>
        </w:rPr>
      </w:pPr>
    </w:p>
    <w:p w14:paraId="2331677D" w14:textId="77777777" w:rsidR="00FD0743" w:rsidRPr="0045369D" w:rsidRDefault="00FD0743" w:rsidP="00434D2A">
      <w:pPr>
        <w:rPr>
          <w:rFonts w:ascii="Times New Roman" w:hAnsi="Times New Roman" w:cs="Times New Roman"/>
          <w:sz w:val="24"/>
          <w:szCs w:val="24"/>
        </w:rPr>
      </w:pPr>
    </w:p>
    <w:sectPr w:rsidR="00FD0743" w:rsidRPr="0045369D">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E08B9" w14:textId="77777777" w:rsidR="009A4DF9" w:rsidRDefault="009A4DF9">
      <w:pPr>
        <w:spacing w:after="0" w:line="240" w:lineRule="auto"/>
      </w:pPr>
      <w:r>
        <w:separator/>
      </w:r>
    </w:p>
  </w:endnote>
  <w:endnote w:type="continuationSeparator" w:id="0">
    <w:p w14:paraId="2020CB5E" w14:textId="77777777" w:rsidR="009A4DF9" w:rsidRDefault="009A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146818"/>
      <w:docPartObj>
        <w:docPartGallery w:val="Page Numbers (Bottom of Page)"/>
        <w:docPartUnique/>
      </w:docPartObj>
    </w:sdtPr>
    <w:sdtEndPr>
      <w:rPr>
        <w:noProof/>
      </w:rPr>
    </w:sdtEndPr>
    <w:sdtContent>
      <w:p w14:paraId="5AA46D4D" w14:textId="77777777" w:rsidR="00434D2A" w:rsidRDefault="00434D2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021456" w14:textId="77777777" w:rsidR="00434D2A" w:rsidRDefault="00434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392E5" w14:textId="77777777" w:rsidR="009A4DF9" w:rsidRDefault="009A4DF9">
      <w:pPr>
        <w:spacing w:after="0" w:line="240" w:lineRule="auto"/>
      </w:pPr>
      <w:r>
        <w:separator/>
      </w:r>
    </w:p>
  </w:footnote>
  <w:footnote w:type="continuationSeparator" w:id="0">
    <w:p w14:paraId="3ED45613" w14:textId="77777777" w:rsidR="009A4DF9" w:rsidRDefault="009A4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83B2D"/>
    <w:multiLevelType w:val="hybridMultilevel"/>
    <w:tmpl w:val="A544C568"/>
    <w:lvl w:ilvl="0" w:tplc="6ED2E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45259"/>
    <w:multiLevelType w:val="multilevel"/>
    <w:tmpl w:val="EC1E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4469471">
    <w:abstractNumId w:val="1"/>
  </w:num>
  <w:num w:numId="2" w16cid:durableId="161030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14A"/>
    <w:rsid w:val="00000FCD"/>
    <w:rsid w:val="0000731A"/>
    <w:rsid w:val="0001185F"/>
    <w:rsid w:val="00026801"/>
    <w:rsid w:val="000411AB"/>
    <w:rsid w:val="00042170"/>
    <w:rsid w:val="0008735C"/>
    <w:rsid w:val="00090DB6"/>
    <w:rsid w:val="000D761A"/>
    <w:rsid w:val="000E0788"/>
    <w:rsid w:val="00104CA7"/>
    <w:rsid w:val="00105011"/>
    <w:rsid w:val="00115275"/>
    <w:rsid w:val="00120597"/>
    <w:rsid w:val="0013547D"/>
    <w:rsid w:val="00156671"/>
    <w:rsid w:val="001618C4"/>
    <w:rsid w:val="00175F5A"/>
    <w:rsid w:val="00176F32"/>
    <w:rsid w:val="001A0E49"/>
    <w:rsid w:val="001F4940"/>
    <w:rsid w:val="00211BA3"/>
    <w:rsid w:val="00231B8B"/>
    <w:rsid w:val="0026652B"/>
    <w:rsid w:val="002A234C"/>
    <w:rsid w:val="002C26EC"/>
    <w:rsid w:val="002C3D8B"/>
    <w:rsid w:val="002D3EB1"/>
    <w:rsid w:val="002E1BDD"/>
    <w:rsid w:val="002E1C84"/>
    <w:rsid w:val="00330E80"/>
    <w:rsid w:val="0033750B"/>
    <w:rsid w:val="003A020C"/>
    <w:rsid w:val="003B37C1"/>
    <w:rsid w:val="003B4FBF"/>
    <w:rsid w:val="003B532E"/>
    <w:rsid w:val="003E760F"/>
    <w:rsid w:val="004145B0"/>
    <w:rsid w:val="0041702E"/>
    <w:rsid w:val="00434D2A"/>
    <w:rsid w:val="00442207"/>
    <w:rsid w:val="0045369D"/>
    <w:rsid w:val="0046544E"/>
    <w:rsid w:val="00472DC1"/>
    <w:rsid w:val="004B4ED2"/>
    <w:rsid w:val="004D5168"/>
    <w:rsid w:val="00543BC6"/>
    <w:rsid w:val="0057179F"/>
    <w:rsid w:val="005B6992"/>
    <w:rsid w:val="005C20C5"/>
    <w:rsid w:val="00600B23"/>
    <w:rsid w:val="00604180"/>
    <w:rsid w:val="006046CB"/>
    <w:rsid w:val="00613B9B"/>
    <w:rsid w:val="006258D2"/>
    <w:rsid w:val="006618E8"/>
    <w:rsid w:val="006D7B8E"/>
    <w:rsid w:val="006F002D"/>
    <w:rsid w:val="00711D3B"/>
    <w:rsid w:val="007817E5"/>
    <w:rsid w:val="007A456C"/>
    <w:rsid w:val="007B40B7"/>
    <w:rsid w:val="007C08F9"/>
    <w:rsid w:val="007F2572"/>
    <w:rsid w:val="0083620F"/>
    <w:rsid w:val="0085101D"/>
    <w:rsid w:val="008653DE"/>
    <w:rsid w:val="0088214A"/>
    <w:rsid w:val="00890B5E"/>
    <w:rsid w:val="008B0A8B"/>
    <w:rsid w:val="008E0011"/>
    <w:rsid w:val="008E178F"/>
    <w:rsid w:val="008F61D6"/>
    <w:rsid w:val="009432B9"/>
    <w:rsid w:val="00950FB7"/>
    <w:rsid w:val="009967F0"/>
    <w:rsid w:val="00997797"/>
    <w:rsid w:val="009A4DF9"/>
    <w:rsid w:val="009B2AD3"/>
    <w:rsid w:val="009C4401"/>
    <w:rsid w:val="009E3669"/>
    <w:rsid w:val="00A2351A"/>
    <w:rsid w:val="00A2641B"/>
    <w:rsid w:val="00A351AA"/>
    <w:rsid w:val="00A43D0B"/>
    <w:rsid w:val="00A46BB6"/>
    <w:rsid w:val="00A4719C"/>
    <w:rsid w:val="00A54E62"/>
    <w:rsid w:val="00AC4E66"/>
    <w:rsid w:val="00B20E0E"/>
    <w:rsid w:val="00B41695"/>
    <w:rsid w:val="00B51959"/>
    <w:rsid w:val="00B54847"/>
    <w:rsid w:val="00B6687C"/>
    <w:rsid w:val="00B817B2"/>
    <w:rsid w:val="00BA6F37"/>
    <w:rsid w:val="00BD4DA1"/>
    <w:rsid w:val="00BE0E34"/>
    <w:rsid w:val="00C63EE0"/>
    <w:rsid w:val="00C845BA"/>
    <w:rsid w:val="00C96714"/>
    <w:rsid w:val="00CB33C2"/>
    <w:rsid w:val="00CD529A"/>
    <w:rsid w:val="00CD73FA"/>
    <w:rsid w:val="00CE380F"/>
    <w:rsid w:val="00CE435F"/>
    <w:rsid w:val="00CE7C57"/>
    <w:rsid w:val="00D02908"/>
    <w:rsid w:val="00D22BC0"/>
    <w:rsid w:val="00D4347F"/>
    <w:rsid w:val="00D56341"/>
    <w:rsid w:val="00D7712D"/>
    <w:rsid w:val="00D84014"/>
    <w:rsid w:val="00D91AFD"/>
    <w:rsid w:val="00D943B3"/>
    <w:rsid w:val="00DC2BBC"/>
    <w:rsid w:val="00DD7546"/>
    <w:rsid w:val="00DE14E0"/>
    <w:rsid w:val="00DF199E"/>
    <w:rsid w:val="00DF5A75"/>
    <w:rsid w:val="00E25627"/>
    <w:rsid w:val="00E26FDE"/>
    <w:rsid w:val="00E27590"/>
    <w:rsid w:val="00E40A65"/>
    <w:rsid w:val="00E75439"/>
    <w:rsid w:val="00E95928"/>
    <w:rsid w:val="00EB0B7B"/>
    <w:rsid w:val="00EB66DC"/>
    <w:rsid w:val="00ED1322"/>
    <w:rsid w:val="00F25888"/>
    <w:rsid w:val="00F36F10"/>
    <w:rsid w:val="00F42C55"/>
    <w:rsid w:val="00F54E6F"/>
    <w:rsid w:val="00F61ABC"/>
    <w:rsid w:val="00FA3553"/>
    <w:rsid w:val="00FA6644"/>
    <w:rsid w:val="00FB0E62"/>
    <w:rsid w:val="00FB3309"/>
    <w:rsid w:val="00FC255C"/>
    <w:rsid w:val="00FD0743"/>
    <w:rsid w:val="00FD0D3B"/>
    <w:rsid w:val="00FD35E6"/>
    <w:rsid w:val="00FF27DC"/>
    <w:rsid w:val="00FF3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66E52"/>
  <w15:chartTrackingRefBased/>
  <w15:docId w15:val="{91E7F8B1-16D4-4831-A537-09D8E2E8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1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1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14A"/>
    <w:rPr>
      <w:lang w:val="en-US"/>
    </w:rPr>
  </w:style>
  <w:style w:type="table" w:styleId="TableGrid">
    <w:name w:val="Table Grid"/>
    <w:basedOn w:val="TableNormal"/>
    <w:uiPriority w:val="39"/>
    <w:rsid w:val="0088214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18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604180"/>
    <w:rPr>
      <w:b/>
      <w:bCs/>
    </w:rPr>
  </w:style>
  <w:style w:type="paragraph" w:styleId="Footer">
    <w:name w:val="footer"/>
    <w:basedOn w:val="Normal"/>
    <w:link w:val="FooterChar"/>
    <w:uiPriority w:val="99"/>
    <w:unhideWhenUsed/>
    <w:rsid w:val="00434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D2A"/>
    <w:rPr>
      <w:lang w:val="en-US"/>
    </w:rPr>
  </w:style>
  <w:style w:type="paragraph" w:styleId="ListParagraph">
    <w:name w:val="List Paragraph"/>
    <w:basedOn w:val="Normal"/>
    <w:uiPriority w:val="34"/>
    <w:qFormat/>
    <w:rsid w:val="001F4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036271">
      <w:bodyDiv w:val="1"/>
      <w:marLeft w:val="0"/>
      <w:marRight w:val="0"/>
      <w:marTop w:val="0"/>
      <w:marBottom w:val="0"/>
      <w:divBdr>
        <w:top w:val="none" w:sz="0" w:space="0" w:color="auto"/>
        <w:left w:val="none" w:sz="0" w:space="0" w:color="auto"/>
        <w:bottom w:val="none" w:sz="0" w:space="0" w:color="auto"/>
        <w:right w:val="none" w:sz="0" w:space="0" w:color="auto"/>
      </w:divBdr>
    </w:div>
    <w:div w:id="325212977">
      <w:bodyDiv w:val="1"/>
      <w:marLeft w:val="0"/>
      <w:marRight w:val="0"/>
      <w:marTop w:val="0"/>
      <w:marBottom w:val="0"/>
      <w:divBdr>
        <w:top w:val="none" w:sz="0" w:space="0" w:color="auto"/>
        <w:left w:val="none" w:sz="0" w:space="0" w:color="auto"/>
        <w:bottom w:val="none" w:sz="0" w:space="0" w:color="auto"/>
        <w:right w:val="none" w:sz="0" w:space="0" w:color="auto"/>
      </w:divBdr>
    </w:div>
    <w:div w:id="775103373">
      <w:bodyDiv w:val="1"/>
      <w:marLeft w:val="0"/>
      <w:marRight w:val="0"/>
      <w:marTop w:val="0"/>
      <w:marBottom w:val="0"/>
      <w:divBdr>
        <w:top w:val="none" w:sz="0" w:space="0" w:color="auto"/>
        <w:left w:val="none" w:sz="0" w:space="0" w:color="auto"/>
        <w:bottom w:val="none" w:sz="0" w:space="0" w:color="auto"/>
        <w:right w:val="none" w:sz="0" w:space="0" w:color="auto"/>
      </w:divBdr>
    </w:div>
    <w:div w:id="851997256">
      <w:bodyDiv w:val="1"/>
      <w:marLeft w:val="0"/>
      <w:marRight w:val="0"/>
      <w:marTop w:val="0"/>
      <w:marBottom w:val="0"/>
      <w:divBdr>
        <w:top w:val="none" w:sz="0" w:space="0" w:color="auto"/>
        <w:left w:val="none" w:sz="0" w:space="0" w:color="auto"/>
        <w:bottom w:val="none" w:sz="0" w:space="0" w:color="auto"/>
        <w:right w:val="none" w:sz="0" w:space="0" w:color="auto"/>
      </w:divBdr>
    </w:div>
    <w:div w:id="893615359">
      <w:bodyDiv w:val="1"/>
      <w:marLeft w:val="0"/>
      <w:marRight w:val="0"/>
      <w:marTop w:val="0"/>
      <w:marBottom w:val="0"/>
      <w:divBdr>
        <w:top w:val="none" w:sz="0" w:space="0" w:color="auto"/>
        <w:left w:val="none" w:sz="0" w:space="0" w:color="auto"/>
        <w:bottom w:val="none" w:sz="0" w:space="0" w:color="auto"/>
        <w:right w:val="none" w:sz="0" w:space="0" w:color="auto"/>
      </w:divBdr>
    </w:div>
    <w:div w:id="1042367554">
      <w:bodyDiv w:val="1"/>
      <w:marLeft w:val="0"/>
      <w:marRight w:val="0"/>
      <w:marTop w:val="0"/>
      <w:marBottom w:val="0"/>
      <w:divBdr>
        <w:top w:val="none" w:sz="0" w:space="0" w:color="auto"/>
        <w:left w:val="none" w:sz="0" w:space="0" w:color="auto"/>
        <w:bottom w:val="none" w:sz="0" w:space="0" w:color="auto"/>
        <w:right w:val="none" w:sz="0" w:space="0" w:color="auto"/>
      </w:divBdr>
    </w:div>
    <w:div w:id="1262224173">
      <w:bodyDiv w:val="1"/>
      <w:marLeft w:val="0"/>
      <w:marRight w:val="0"/>
      <w:marTop w:val="0"/>
      <w:marBottom w:val="0"/>
      <w:divBdr>
        <w:top w:val="none" w:sz="0" w:space="0" w:color="auto"/>
        <w:left w:val="none" w:sz="0" w:space="0" w:color="auto"/>
        <w:bottom w:val="none" w:sz="0" w:space="0" w:color="auto"/>
        <w:right w:val="none" w:sz="0" w:space="0" w:color="auto"/>
      </w:divBdr>
    </w:div>
    <w:div w:id="1372263184">
      <w:bodyDiv w:val="1"/>
      <w:marLeft w:val="0"/>
      <w:marRight w:val="0"/>
      <w:marTop w:val="0"/>
      <w:marBottom w:val="0"/>
      <w:divBdr>
        <w:top w:val="none" w:sz="0" w:space="0" w:color="auto"/>
        <w:left w:val="none" w:sz="0" w:space="0" w:color="auto"/>
        <w:bottom w:val="none" w:sz="0" w:space="0" w:color="auto"/>
        <w:right w:val="none" w:sz="0" w:space="0" w:color="auto"/>
      </w:divBdr>
    </w:div>
    <w:div w:id="1464347432">
      <w:bodyDiv w:val="1"/>
      <w:marLeft w:val="0"/>
      <w:marRight w:val="0"/>
      <w:marTop w:val="0"/>
      <w:marBottom w:val="0"/>
      <w:divBdr>
        <w:top w:val="none" w:sz="0" w:space="0" w:color="auto"/>
        <w:left w:val="none" w:sz="0" w:space="0" w:color="auto"/>
        <w:bottom w:val="none" w:sz="0" w:space="0" w:color="auto"/>
        <w:right w:val="none" w:sz="0" w:space="0" w:color="auto"/>
      </w:divBdr>
    </w:div>
    <w:div w:id="1624652491">
      <w:bodyDiv w:val="1"/>
      <w:marLeft w:val="0"/>
      <w:marRight w:val="0"/>
      <w:marTop w:val="0"/>
      <w:marBottom w:val="0"/>
      <w:divBdr>
        <w:top w:val="none" w:sz="0" w:space="0" w:color="auto"/>
        <w:left w:val="none" w:sz="0" w:space="0" w:color="auto"/>
        <w:bottom w:val="none" w:sz="0" w:space="0" w:color="auto"/>
        <w:right w:val="none" w:sz="0" w:space="0" w:color="auto"/>
      </w:divBdr>
    </w:div>
    <w:div w:id="1771853162">
      <w:bodyDiv w:val="1"/>
      <w:marLeft w:val="0"/>
      <w:marRight w:val="0"/>
      <w:marTop w:val="0"/>
      <w:marBottom w:val="0"/>
      <w:divBdr>
        <w:top w:val="none" w:sz="0" w:space="0" w:color="auto"/>
        <w:left w:val="none" w:sz="0" w:space="0" w:color="auto"/>
        <w:bottom w:val="none" w:sz="0" w:space="0" w:color="auto"/>
        <w:right w:val="none" w:sz="0" w:space="0" w:color="auto"/>
      </w:divBdr>
    </w:div>
    <w:div w:id="1828981659">
      <w:bodyDiv w:val="1"/>
      <w:marLeft w:val="0"/>
      <w:marRight w:val="0"/>
      <w:marTop w:val="0"/>
      <w:marBottom w:val="0"/>
      <w:divBdr>
        <w:top w:val="none" w:sz="0" w:space="0" w:color="auto"/>
        <w:left w:val="none" w:sz="0" w:space="0" w:color="auto"/>
        <w:bottom w:val="none" w:sz="0" w:space="0" w:color="auto"/>
        <w:right w:val="none" w:sz="0" w:space="0" w:color="auto"/>
      </w:divBdr>
    </w:div>
    <w:div w:id="1953976247">
      <w:bodyDiv w:val="1"/>
      <w:marLeft w:val="0"/>
      <w:marRight w:val="0"/>
      <w:marTop w:val="0"/>
      <w:marBottom w:val="0"/>
      <w:divBdr>
        <w:top w:val="none" w:sz="0" w:space="0" w:color="auto"/>
        <w:left w:val="none" w:sz="0" w:space="0" w:color="auto"/>
        <w:bottom w:val="none" w:sz="0" w:space="0" w:color="auto"/>
        <w:right w:val="none" w:sz="0" w:space="0" w:color="auto"/>
      </w:divBdr>
    </w:div>
    <w:div w:id="2032221679">
      <w:bodyDiv w:val="1"/>
      <w:marLeft w:val="0"/>
      <w:marRight w:val="0"/>
      <w:marTop w:val="0"/>
      <w:marBottom w:val="0"/>
      <w:divBdr>
        <w:top w:val="none" w:sz="0" w:space="0" w:color="auto"/>
        <w:left w:val="none" w:sz="0" w:space="0" w:color="auto"/>
        <w:bottom w:val="none" w:sz="0" w:space="0" w:color="auto"/>
        <w:right w:val="none" w:sz="0" w:space="0" w:color="auto"/>
      </w:divBdr>
    </w:div>
    <w:div w:id="2053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Adedayo Ajibare</cp:lastModifiedBy>
  <cp:revision>7</cp:revision>
  <dcterms:created xsi:type="dcterms:W3CDTF">2024-09-11T10:56:00Z</dcterms:created>
  <dcterms:modified xsi:type="dcterms:W3CDTF">2024-09-14T13:13:00Z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fdcb5550-37ef-41c7-95f3-466160ece70c</vt:lpwstr>
  </property>
</Properties>
</file>