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78B23" w14:textId="77777777" w:rsidR="0035671A" w:rsidRPr="00831578" w:rsidRDefault="0035671A" w:rsidP="006D1DB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</w:pPr>
      <w:r w:rsidRPr="00831578">
        <w:rPr>
          <w:rFonts w:ascii="Times New Roman" w:eastAsia="Times New Roman" w:hAnsi="Times New Roman" w:cs="Times New Roman"/>
          <w:b/>
          <w:sz w:val="27"/>
          <w:szCs w:val="27"/>
          <w:lang w:eastAsia="en-GB"/>
        </w:rPr>
        <w:t>Introduction</w:t>
      </w:r>
    </w:p>
    <w:p w14:paraId="336CF52E" w14:textId="01B1B294" w:rsidR="00A23D65" w:rsidRPr="00A23D65" w:rsidRDefault="00831578" w:rsidP="006D1DB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This report comprehensive</w:t>
      </w:r>
      <w:r w:rsidR="00A440DE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ly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</w:t>
      </w:r>
      <w:r w:rsidR="00111D7F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analyses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Amazon Inc.'s financial health across various key metrics. These metrics include </w:t>
      </w:r>
      <w:r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liquidity, profitability, solvency/debt management, asset utilization, and investor/market ratios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.</w:t>
      </w:r>
    </w:p>
    <w:p w14:paraId="7606BC40" w14:textId="77777777" w:rsidR="00A23D65" w:rsidRPr="00A23D65" w:rsidRDefault="00A23D65" w:rsidP="006D1DB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23D6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1. Liquidity Analysis</w:t>
      </w:r>
    </w:p>
    <w:p w14:paraId="33A4D88B" w14:textId="60E294D4" w:rsidR="00A23D65" w:rsidRPr="00A23D65" w:rsidRDefault="00CC13AF" w:rsidP="006D1DB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It is observed that 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Amazon's liquidity position shows a weakening trend from 2021 to 2022.</w:t>
      </w:r>
      <w:r w:rsidR="00BA2CFF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The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</w:t>
      </w:r>
      <w:r w:rsidR="00A23D65" w:rsidRPr="00CC13AF">
        <w:rPr>
          <w:rFonts w:ascii="Times New Roman" w:eastAsia="Times New Roman" w:hAnsi="Times New Roman" w:cs="Times New Roman"/>
          <w:sz w:val="27"/>
          <w:szCs w:val="27"/>
          <w:lang w:eastAsia="en-GB"/>
        </w:rPr>
        <w:t>current ratio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decreased from 1.14 in 2021 to 0.94 in 2022, </w:t>
      </w:r>
      <w:r w:rsidR="00BA2CFF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this 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i</w:t>
      </w:r>
      <w:r w:rsidR="00BA2CFF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mplies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that </w:t>
      </w:r>
      <w:r w:rsidR="00BA2CFF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the firm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has fewer current assets available to cover its current liabilities. </w:t>
      </w:r>
      <w:r w:rsidR="00BA2CFF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In the same way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, the </w:t>
      </w:r>
      <w:r w:rsidR="00A23D65" w:rsidRPr="00BA2CFF">
        <w:rPr>
          <w:rFonts w:ascii="Times New Roman" w:eastAsia="Times New Roman" w:hAnsi="Times New Roman" w:cs="Times New Roman"/>
          <w:sz w:val="27"/>
          <w:szCs w:val="27"/>
          <w:lang w:eastAsia="en-GB"/>
        </w:rPr>
        <w:t>quick ratio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(which excludes inventory) and the </w:t>
      </w:r>
      <w:r w:rsidR="00A23D65" w:rsidRPr="00BA2CFF">
        <w:rPr>
          <w:rFonts w:ascii="Times New Roman" w:eastAsia="Times New Roman" w:hAnsi="Times New Roman" w:cs="Times New Roman"/>
          <w:sz w:val="27"/>
          <w:szCs w:val="27"/>
          <w:lang w:eastAsia="en-GB"/>
        </w:rPr>
        <w:t>cash ratio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(which considers only cash and cash equivalents) also de</w:t>
      </w:r>
      <w:r w:rsidR="00BA2CFF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creased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.</w:t>
      </w:r>
      <w:r w:rsidR="00BA2CFF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These ratios in 2021 were higher compared to 2022.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This </w:t>
      </w:r>
      <w:r w:rsidR="00BA2CFF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is a sign of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a lower short-term financial strength, which could impact </w:t>
      </w:r>
      <w:r w:rsidR="00BA2CFF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Amazon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’s ability to meet its obligations if th</w:t>
      </w:r>
      <w:r w:rsidR="00BA2CFF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is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trend continues.</w:t>
      </w:r>
      <w:r w:rsidR="00F62B3F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The </w:t>
      </w:r>
      <w:r w:rsidR="00A23D65" w:rsidRPr="00F62B3F">
        <w:rPr>
          <w:rFonts w:ascii="Times New Roman" w:eastAsia="Times New Roman" w:hAnsi="Times New Roman" w:cs="Times New Roman"/>
          <w:sz w:val="27"/>
          <w:szCs w:val="27"/>
          <w:lang w:eastAsia="en-GB"/>
        </w:rPr>
        <w:t>defensive interval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decreased significantly from 3.90 in 2021 to 2.65 in 2022, </w:t>
      </w:r>
      <w:r w:rsidR="00F62B3F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this suggests that the firm 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now has fewer days of operational expenses covered by its liquid assets. Inventory days and payable days remained relatively stable</w:t>
      </w:r>
      <w:r w:rsidR="0055517D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for the two years.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</w:t>
      </w:r>
      <w:r w:rsidR="0055517D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However,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the </w:t>
      </w:r>
      <w:r w:rsidR="00A23D65" w:rsidRPr="0055517D">
        <w:rPr>
          <w:rFonts w:ascii="Times New Roman" w:eastAsia="Times New Roman" w:hAnsi="Times New Roman" w:cs="Times New Roman"/>
          <w:sz w:val="27"/>
          <w:szCs w:val="27"/>
          <w:lang w:eastAsia="en-GB"/>
        </w:rPr>
        <w:t>net</w:t>
      </w:r>
      <w:r w:rsidR="00A23D65" w:rsidRPr="00A23D6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A23D65" w:rsidRPr="0055517D">
        <w:rPr>
          <w:rFonts w:ascii="Times New Roman" w:eastAsia="Times New Roman" w:hAnsi="Times New Roman" w:cs="Times New Roman"/>
          <w:sz w:val="27"/>
          <w:szCs w:val="27"/>
          <w:lang w:eastAsia="en-GB"/>
        </w:rPr>
        <w:t>trading</w:t>
      </w:r>
      <w:r w:rsidR="00A23D65" w:rsidRPr="00A23D6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A23D65" w:rsidRPr="0055517D">
        <w:rPr>
          <w:rFonts w:ascii="Times New Roman" w:eastAsia="Times New Roman" w:hAnsi="Times New Roman" w:cs="Times New Roman"/>
          <w:sz w:val="27"/>
          <w:szCs w:val="27"/>
          <w:lang w:eastAsia="en-GB"/>
        </w:rPr>
        <w:t>cycle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improved, indicating a faster cash conversion process in 2022 t</w:t>
      </w:r>
      <w:r w:rsidR="0055517D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ha</w:t>
      </w:r>
      <w:r w:rsidR="00A440DE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n</w:t>
      </w:r>
      <w:r w:rsidR="0055517D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the company ha</w:t>
      </w:r>
      <w:r w:rsidR="00A440DE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d</w:t>
      </w:r>
      <w:r w:rsidR="0055517D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in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2021.</w:t>
      </w:r>
    </w:p>
    <w:p w14:paraId="5614183F" w14:textId="77777777" w:rsidR="00A23D65" w:rsidRPr="00A23D65" w:rsidRDefault="00A23D65" w:rsidP="006D1DB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23D6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2. Profitability Analysis</w:t>
      </w:r>
    </w:p>
    <w:p w14:paraId="186860F5" w14:textId="42C57713" w:rsidR="00A23D65" w:rsidRPr="00A23D65" w:rsidRDefault="003208A8" w:rsidP="006D1DB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A </w:t>
      </w:r>
      <w:r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notable decline in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the</w:t>
      </w:r>
      <w:r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firm's </w:t>
      </w:r>
      <w:r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profitability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ratio is noticed. The gross </w:t>
      </w:r>
      <w:r w:rsidR="00C82410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margin increased slightly from </w:t>
      </w:r>
      <w:r w:rsidR="00C82410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42.03 to 43.81</w:t>
      </w:r>
      <w:r w:rsidR="00C82410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.</w:t>
      </w:r>
      <w:r w:rsidR="00C82410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</w:t>
      </w:r>
      <w:r w:rsidR="00C82410" w:rsidRPr="00C82410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EBITDA margin </w:t>
      </w:r>
      <w:r w:rsidR="00C82410">
        <w:rPr>
          <w:rFonts w:ascii="Times New Roman" w:eastAsia="Times New Roman" w:hAnsi="Times New Roman" w:cs="Times New Roman"/>
          <w:sz w:val="27"/>
          <w:szCs w:val="27"/>
          <w:lang w:eastAsia="en-GB"/>
        </w:rPr>
        <w:t>(</w:t>
      </w:r>
      <w:r w:rsidR="00C82410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26.65 to 16.20</w:t>
      </w:r>
      <w:r w:rsidR="00C82410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) </w:t>
      </w:r>
      <w:r w:rsidR="00C82410" w:rsidRPr="00C82410">
        <w:rPr>
          <w:rFonts w:ascii="Times New Roman" w:eastAsia="Times New Roman" w:hAnsi="Times New Roman" w:cs="Times New Roman"/>
          <w:sz w:val="27"/>
          <w:szCs w:val="27"/>
          <w:lang w:eastAsia="en-GB"/>
        </w:rPr>
        <w:t>and EBIT margin</w:t>
      </w:r>
      <w:r w:rsidR="00C82410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(</w:t>
      </w:r>
      <w:r w:rsidR="00C82410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8.12 to 0.95</w:t>
      </w:r>
      <w:r w:rsidR="00C82410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) declined significantly indicating a reduction in operational efficiency or increased operating expenses. </w:t>
      </w:r>
      <w:r w:rsidR="00C82410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In addition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, the </w:t>
      </w:r>
      <w:r w:rsidR="00A23D65" w:rsidRPr="00C82410">
        <w:rPr>
          <w:rFonts w:ascii="Times New Roman" w:eastAsia="Times New Roman" w:hAnsi="Times New Roman" w:cs="Times New Roman"/>
          <w:sz w:val="27"/>
          <w:szCs w:val="27"/>
          <w:lang w:eastAsia="en-GB"/>
        </w:rPr>
        <w:t>net</w:t>
      </w:r>
      <w:r w:rsidR="00A23D65" w:rsidRPr="00A23D6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A23D65" w:rsidRPr="00C82410">
        <w:rPr>
          <w:rFonts w:ascii="Times New Roman" w:eastAsia="Times New Roman" w:hAnsi="Times New Roman" w:cs="Times New Roman"/>
          <w:sz w:val="27"/>
          <w:szCs w:val="27"/>
          <w:lang w:eastAsia="en-GB"/>
        </w:rPr>
        <w:t>margin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</w:t>
      </w:r>
      <w:r w:rsidR="00C82410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declined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from 7.10</w:t>
      </w:r>
      <w:r w:rsidR="00C82410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in 2021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to -0.53</w:t>
      </w:r>
      <w:r w:rsidR="00C82410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in 2022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,</w:t>
      </w:r>
      <w:r w:rsidR="00C82410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it </w:t>
      </w:r>
      <w:r w:rsidR="00C82410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turned negative in 2022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which indicates that </w:t>
      </w:r>
      <w:r w:rsidR="00EA6E16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the </w:t>
      </w:r>
      <w:r w:rsidR="00C82410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company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reported a net loss in 2022. This </w:t>
      </w:r>
      <w:r w:rsidR="00EA6E16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may be due to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higher costs, lower revenues, or other financial distress</w:t>
      </w:r>
      <w:r w:rsidR="00EA6E16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experienced by the firm in that year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.</w:t>
      </w:r>
    </w:p>
    <w:p w14:paraId="775C4528" w14:textId="77777777" w:rsidR="00A23D65" w:rsidRPr="00A23D65" w:rsidRDefault="00A23D65" w:rsidP="006D1DB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23D6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3. Solvency/Debt Management Analysis</w:t>
      </w:r>
    </w:p>
    <w:p w14:paraId="1385784A" w14:textId="1CFFA240" w:rsidR="00A23D65" w:rsidRPr="00A23D65" w:rsidRDefault="00730A8C" w:rsidP="006D1DB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The </w:t>
      </w:r>
      <w:r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solvency ratios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indicate an increase in the financial leverage of the firm, as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</w:t>
      </w:r>
      <w:r w:rsidRPr="00730A8C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t</w:t>
      </w:r>
      <w:r w:rsidR="00A23D65" w:rsidRPr="00730A8C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he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</w:t>
      </w:r>
      <w:r w:rsidRPr="00730A8C">
        <w:rPr>
          <w:rFonts w:ascii="Times New Roman" w:eastAsia="Times New Roman" w:hAnsi="Times New Roman" w:cs="Times New Roman"/>
          <w:sz w:val="27"/>
          <w:szCs w:val="27"/>
          <w:lang w:eastAsia="en-GB"/>
        </w:rPr>
        <w:t>debt-to-equity</w:t>
      </w:r>
      <w:r w:rsidR="00A23D65" w:rsidRPr="00730A8C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ratio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goes up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from 2.04 in 2021 to 2.17 in 2022, indicating that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the firm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has taken on more debt relative to its equity. The </w:t>
      </w:r>
      <w:r w:rsidR="00A23D65" w:rsidRPr="00946BA6">
        <w:rPr>
          <w:rFonts w:ascii="Times New Roman" w:eastAsia="Times New Roman" w:hAnsi="Times New Roman" w:cs="Times New Roman"/>
          <w:sz w:val="27"/>
          <w:szCs w:val="27"/>
          <w:lang w:eastAsia="en-GB"/>
        </w:rPr>
        <w:t>debt to total assets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ratio remained stable, </w:t>
      </w:r>
      <w:r w:rsidR="00946BA6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nonetheless</w:t>
      </w:r>
      <w:r w:rsidR="00946BA6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,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the </w:t>
      </w:r>
      <w:r w:rsidR="00A23D65" w:rsidRPr="00946BA6">
        <w:rPr>
          <w:rFonts w:ascii="Times New Roman" w:eastAsia="Times New Roman" w:hAnsi="Times New Roman" w:cs="Times New Roman"/>
          <w:sz w:val="27"/>
          <w:szCs w:val="27"/>
          <w:lang w:eastAsia="en-GB"/>
        </w:rPr>
        <w:t>long-term debt to capital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ratio </w:t>
      </w:r>
      <w:r w:rsidR="00946BA6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rose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slightly, </w:t>
      </w:r>
      <w:r w:rsidR="00946BA6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signifying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better management of long-term debt obligations.</w:t>
      </w:r>
      <w:r w:rsidR="00946BA6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The </w:t>
      </w:r>
      <w:r w:rsidR="00A23D65" w:rsidRPr="00946BA6">
        <w:rPr>
          <w:rFonts w:ascii="Times New Roman" w:eastAsia="Times New Roman" w:hAnsi="Times New Roman" w:cs="Times New Roman"/>
          <w:sz w:val="27"/>
          <w:szCs w:val="27"/>
          <w:lang w:eastAsia="en-GB"/>
        </w:rPr>
        <w:t>times interest earned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ratio </w:t>
      </w:r>
      <w:r w:rsidR="00946BA6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fell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sharply from 34.74 in 2021 to 3.12 in 2022, </w:t>
      </w:r>
      <w:r w:rsidR="00946BA6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suggesting</w:t>
      </w:r>
      <w:r w:rsidR="00946BA6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</w:t>
      </w:r>
      <w:r w:rsidR="00946BA6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a 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reduc</w:t>
      </w:r>
      <w:r w:rsidR="00946BA6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tion in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earnings relative to interest expenses. This </w:t>
      </w:r>
      <w:r w:rsidR="00A337D8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may perhaps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raise concerns about the company's ability to cover its interest payments with operating income</w:t>
      </w:r>
      <w:r w:rsidR="00A337D8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when it is due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.</w:t>
      </w:r>
    </w:p>
    <w:p w14:paraId="0264697B" w14:textId="77777777" w:rsidR="00A23D65" w:rsidRPr="00A23D65" w:rsidRDefault="00A23D65" w:rsidP="006D1DB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23D6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4. Asset Utilization Analysis</w:t>
      </w:r>
    </w:p>
    <w:p w14:paraId="612F48CE" w14:textId="0AE64665" w:rsidR="00A23D65" w:rsidRPr="00A23D65" w:rsidRDefault="00F82B1D" w:rsidP="006D1DB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lastRenderedPageBreak/>
        <w:t>The company’s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</w:t>
      </w:r>
      <w:r w:rsidR="00A23D65" w:rsidRPr="00F82B1D">
        <w:rPr>
          <w:rFonts w:ascii="Times New Roman" w:eastAsia="Times New Roman" w:hAnsi="Times New Roman" w:cs="Times New Roman"/>
          <w:sz w:val="27"/>
          <w:szCs w:val="27"/>
          <w:lang w:eastAsia="en-GB"/>
        </w:rPr>
        <w:t>total asset turnover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remained stable, indicating that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Amazon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maintained its efficiency in using its assets to generate revenue. </w:t>
      </w:r>
      <w:r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Nevertheless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, the </w:t>
      </w:r>
      <w:r w:rsidR="00A23D65" w:rsidRPr="00F82B1D">
        <w:rPr>
          <w:rFonts w:ascii="Times New Roman" w:eastAsia="Times New Roman" w:hAnsi="Times New Roman" w:cs="Times New Roman"/>
          <w:sz w:val="27"/>
          <w:szCs w:val="27"/>
          <w:lang w:eastAsia="en-GB"/>
        </w:rPr>
        <w:t>fixed asset turnover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ratio dec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lin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ed from 2.93 in 2021 to 2.75 in 2022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.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</w:t>
      </w:r>
      <w:r w:rsidRPr="00F82B1D">
        <w:rPr>
          <w:rFonts w:ascii="Times New Roman" w:eastAsia="Times New Roman" w:hAnsi="Times New Roman" w:cs="Times New Roman"/>
          <w:sz w:val="27"/>
          <w:szCs w:val="27"/>
          <w:lang w:eastAsia="en-GB"/>
        </w:rPr>
        <w:t>I</w:t>
      </w:r>
      <w:r w:rsidR="00A23D65" w:rsidRPr="00F82B1D">
        <w:rPr>
          <w:rFonts w:ascii="Times New Roman" w:eastAsia="Times New Roman" w:hAnsi="Times New Roman" w:cs="Times New Roman"/>
          <w:sz w:val="27"/>
          <w:szCs w:val="27"/>
          <w:lang w:eastAsia="en-GB"/>
        </w:rPr>
        <w:t>nventory</w:t>
      </w:r>
      <w:r w:rsidR="00A23D65" w:rsidRPr="00A23D6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="00A23D65" w:rsidRPr="00F82B1D">
        <w:rPr>
          <w:rFonts w:ascii="Times New Roman" w:eastAsia="Times New Roman" w:hAnsi="Times New Roman" w:cs="Times New Roman"/>
          <w:sz w:val="27"/>
          <w:szCs w:val="27"/>
          <w:lang w:eastAsia="en-GB"/>
        </w:rPr>
        <w:t>turnover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only increase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d slightly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. These ratios suggest </w:t>
      </w:r>
      <w:r w:rsidR="0086757A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that there is 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a slight reduction in </w:t>
      </w:r>
      <w:r w:rsidR="0086757A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the </w:t>
      </w:r>
      <w:r w:rsidR="00A440DE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firm's 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asset utilization efficiency</w:t>
      </w:r>
      <w:r w:rsidR="0086757A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. This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could be due to capital investments </w:t>
      </w:r>
      <w:r w:rsidR="0086757A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that have not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</w:t>
      </w:r>
      <w:r w:rsidR="0086757A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yet translated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into revenue.</w:t>
      </w:r>
    </w:p>
    <w:p w14:paraId="6E08FEB9" w14:textId="77777777" w:rsidR="00A23D65" w:rsidRPr="00A23D65" w:rsidRDefault="00A23D65" w:rsidP="006D1DB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23D6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5. Investor/Market Ratios Analysis</w:t>
      </w:r>
    </w:p>
    <w:p w14:paraId="0A7E0450" w14:textId="162B16A0" w:rsidR="00A23D65" w:rsidRPr="00A23D65" w:rsidRDefault="00037F35" w:rsidP="006D1DB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The company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’s </w:t>
      </w:r>
      <w:r w:rsidR="00A23D65" w:rsidRPr="00037F35">
        <w:rPr>
          <w:rFonts w:ascii="Times New Roman" w:eastAsia="Times New Roman" w:hAnsi="Times New Roman" w:cs="Times New Roman"/>
          <w:sz w:val="27"/>
          <w:szCs w:val="27"/>
          <w:lang w:eastAsia="en-GB"/>
        </w:rPr>
        <w:t>price-to-equity (P/E) ratio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turned negative in 2022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.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This reflects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investor concerns and the company’s net loss during the period. </w:t>
      </w:r>
      <w:r w:rsidR="00A23D65" w:rsidRPr="00037F35">
        <w:rPr>
          <w:rFonts w:ascii="Times New Roman" w:eastAsia="Times New Roman" w:hAnsi="Times New Roman" w:cs="Times New Roman"/>
          <w:sz w:val="27"/>
          <w:szCs w:val="27"/>
          <w:lang w:eastAsia="en-GB"/>
        </w:rPr>
        <w:t>Earnings per share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also became negative,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implying</w:t>
      </w:r>
      <w:r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a loss to shareholders. The </w:t>
      </w:r>
      <w:r w:rsidR="00A23D65" w:rsidRPr="00037F35">
        <w:rPr>
          <w:rFonts w:ascii="Times New Roman" w:eastAsia="Times New Roman" w:hAnsi="Times New Roman" w:cs="Times New Roman"/>
          <w:sz w:val="27"/>
          <w:szCs w:val="27"/>
          <w:lang w:eastAsia="en-GB"/>
        </w:rPr>
        <w:t>price-to-book value (PBV)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ratio decreased significantly, which suggest</w:t>
      </w:r>
      <w:r w:rsidR="00A440DE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s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that the market is undervaluing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the company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relative to its book value.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</w:t>
      </w:r>
      <w:r w:rsidR="00A23D65" w:rsidRPr="00037F35">
        <w:rPr>
          <w:rFonts w:ascii="Times New Roman" w:eastAsia="Times New Roman" w:hAnsi="Times New Roman" w:cs="Times New Roman"/>
          <w:sz w:val="27"/>
          <w:szCs w:val="27"/>
          <w:lang w:eastAsia="en-GB"/>
        </w:rPr>
        <w:t>Return on equity (ROE) and return on assets (ROA)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both turned negative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in 2022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, indicating that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the company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did not generate a positive return on its equity and assets. This could reduce investor confidence and affect stock performance in the </w:t>
      </w:r>
      <w:r w:rsidR="000A2204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long run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.</w:t>
      </w:r>
    </w:p>
    <w:p w14:paraId="1F782477" w14:textId="77777777" w:rsidR="00A23D65" w:rsidRPr="00A23D65" w:rsidRDefault="00A23D65" w:rsidP="006D1DB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23D65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Conclusion</w:t>
      </w:r>
    </w:p>
    <w:p w14:paraId="5F1BB3EF" w14:textId="191C7990" w:rsidR="00A23D65" w:rsidRPr="00A23D65" w:rsidRDefault="000A2204" w:rsidP="006D1DB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Generally speaking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, Amazon’s financial health weakened in 2022 compared to 2021.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Although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liquidity and asset utilization remained relatively stable, profitability and solvency metrics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decreased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significantly. The </w:t>
      </w:r>
      <w:r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reduced interest coverage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and 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negative net margin raise concerns about the company's ability to generate sustainable profits and service its debt.</w:t>
      </w:r>
      <w:r w:rsidR="0060733A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Also, the company did not pay any </w:t>
      </w:r>
      <w:r w:rsidR="005454CA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dividends</w:t>
      </w:r>
      <w:r w:rsidR="0060733A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in 2021 and 2022.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Thus, t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his analysis suggests that Amazon need</w:t>
      </w:r>
      <w:r w:rsidR="00111D7F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s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to focus on improving its profitability and reducing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its 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debt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to</w:t>
      </w:r>
      <w:r w:rsidR="00A23D65" w:rsidRPr="00A23D65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ensure long-term financial stability and regain investor confidence.</w:t>
      </w:r>
    </w:p>
    <w:p w14:paraId="54DBF991" w14:textId="77777777" w:rsidR="00867C16" w:rsidRPr="0035671A" w:rsidRDefault="00000000" w:rsidP="006D1DB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</w:pPr>
      <w:hyperlink r:id="rId5" w:history="1">
        <w:r w:rsidR="00867C16" w:rsidRPr="0035671A">
          <w:rPr>
            <w:rStyle w:val="Hyperlink"/>
            <w:rFonts w:ascii="Times New Roman" w:eastAsia="Times New Roman" w:hAnsi="Times New Roman" w:cs="Times New Roman"/>
            <w:bCs/>
            <w:sz w:val="27"/>
            <w:szCs w:val="27"/>
            <w:lang w:eastAsia="en-GB"/>
          </w:rPr>
          <w:t>https://www.</w:t>
        </w:r>
        <w:r w:rsidR="00867C16" w:rsidRPr="0035671A">
          <w:rPr>
            <w:rStyle w:val="Hyperlink"/>
            <w:rFonts w:ascii="Times New Roman" w:eastAsia="Times New Roman" w:hAnsi="Times New Roman" w:cs="Times New Roman"/>
            <w:bCs/>
            <w:sz w:val="27"/>
            <w:szCs w:val="27"/>
            <w:lang w:eastAsia="en-GB"/>
          </w:rPr>
          <w:t>m</w:t>
        </w:r>
        <w:r w:rsidR="00867C16" w:rsidRPr="0035671A">
          <w:rPr>
            <w:rStyle w:val="Hyperlink"/>
            <w:rFonts w:ascii="Times New Roman" w:eastAsia="Times New Roman" w:hAnsi="Times New Roman" w:cs="Times New Roman"/>
            <w:bCs/>
            <w:sz w:val="27"/>
            <w:szCs w:val="27"/>
            <w:lang w:eastAsia="en-GB"/>
          </w:rPr>
          <w:t>acrotrends.net/stocks/charts/AMZN/amazon/common-stock-dividends-paid</w:t>
        </w:r>
      </w:hyperlink>
    </w:p>
    <w:p w14:paraId="160215CE" w14:textId="77777777" w:rsidR="00867C16" w:rsidRPr="00867C16" w:rsidRDefault="0035671A" w:rsidP="006D1DB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Amazon's</w:t>
      </w:r>
      <w:r w:rsidR="00867C16" w:rsidRPr="00867C16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annual common stock dividends paid for 2022 were $0B, a NAN% decline from 2021.</w:t>
      </w:r>
    </w:p>
    <w:p w14:paraId="690B496A" w14:textId="77777777" w:rsidR="00867C16" w:rsidRPr="00867C16" w:rsidRDefault="00867C16" w:rsidP="006D1DB9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>Amazon's annual common stock dividends</w:t>
      </w:r>
      <w:r w:rsidRPr="00867C16">
        <w:rPr>
          <w:rFonts w:ascii="Times New Roman" w:eastAsia="Times New Roman" w:hAnsi="Times New Roman" w:cs="Times New Roman"/>
          <w:bCs/>
          <w:sz w:val="27"/>
          <w:szCs w:val="27"/>
          <w:lang w:eastAsia="en-GB"/>
        </w:rPr>
        <w:t xml:space="preserve"> for 2021 were $0B, a NAN% decline from 2020.</w:t>
      </w:r>
    </w:p>
    <w:sectPr w:rsidR="00867C16" w:rsidRPr="00867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4A51"/>
    <w:multiLevelType w:val="multilevel"/>
    <w:tmpl w:val="B5BA3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F0C3C"/>
    <w:multiLevelType w:val="multilevel"/>
    <w:tmpl w:val="043841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54340"/>
    <w:multiLevelType w:val="multilevel"/>
    <w:tmpl w:val="6CAC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C4C7D"/>
    <w:multiLevelType w:val="multilevel"/>
    <w:tmpl w:val="4DDA3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937E0"/>
    <w:multiLevelType w:val="multilevel"/>
    <w:tmpl w:val="7EE8E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A0169B"/>
    <w:multiLevelType w:val="multilevel"/>
    <w:tmpl w:val="EA36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253195">
    <w:abstractNumId w:val="0"/>
  </w:num>
  <w:num w:numId="2" w16cid:durableId="95952233">
    <w:abstractNumId w:val="2"/>
  </w:num>
  <w:num w:numId="3" w16cid:durableId="348988446">
    <w:abstractNumId w:val="5"/>
  </w:num>
  <w:num w:numId="4" w16cid:durableId="1337658940">
    <w:abstractNumId w:val="3"/>
  </w:num>
  <w:num w:numId="5" w16cid:durableId="1843079098">
    <w:abstractNumId w:val="4"/>
  </w:num>
  <w:num w:numId="6" w16cid:durableId="10920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67"/>
    <w:rsid w:val="000334FE"/>
    <w:rsid w:val="00037F35"/>
    <w:rsid w:val="00061911"/>
    <w:rsid w:val="00066440"/>
    <w:rsid w:val="00097553"/>
    <w:rsid w:val="000A2204"/>
    <w:rsid w:val="00111D7F"/>
    <w:rsid w:val="001C4ACC"/>
    <w:rsid w:val="002E1FDA"/>
    <w:rsid w:val="003208A8"/>
    <w:rsid w:val="0035671A"/>
    <w:rsid w:val="00533127"/>
    <w:rsid w:val="005454CA"/>
    <w:rsid w:val="0055517D"/>
    <w:rsid w:val="0060733A"/>
    <w:rsid w:val="006D1DB9"/>
    <w:rsid w:val="00730A8C"/>
    <w:rsid w:val="00831578"/>
    <w:rsid w:val="0086757A"/>
    <w:rsid w:val="00867C16"/>
    <w:rsid w:val="00875DD5"/>
    <w:rsid w:val="008D040C"/>
    <w:rsid w:val="00946BA6"/>
    <w:rsid w:val="00A23D65"/>
    <w:rsid w:val="00A337D8"/>
    <w:rsid w:val="00A440DE"/>
    <w:rsid w:val="00A54167"/>
    <w:rsid w:val="00B303A3"/>
    <w:rsid w:val="00BA2CFF"/>
    <w:rsid w:val="00BE69AA"/>
    <w:rsid w:val="00C82410"/>
    <w:rsid w:val="00CC13AF"/>
    <w:rsid w:val="00D51FBD"/>
    <w:rsid w:val="00EA6E16"/>
    <w:rsid w:val="00F62B3F"/>
    <w:rsid w:val="00F8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C27FA"/>
  <w15:chartTrackingRefBased/>
  <w15:docId w15:val="{CCB62261-904C-4880-B856-871E2CFC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664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D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6644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0664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katex-mathml">
    <w:name w:val="katex-mathml"/>
    <w:basedOn w:val="DefaultParagraphFont"/>
    <w:rsid w:val="00066440"/>
  </w:style>
  <w:style w:type="character" w:customStyle="1" w:styleId="mord">
    <w:name w:val="mord"/>
    <w:basedOn w:val="DefaultParagraphFont"/>
    <w:rsid w:val="00066440"/>
  </w:style>
  <w:style w:type="character" w:customStyle="1" w:styleId="mrel">
    <w:name w:val="mrel"/>
    <w:basedOn w:val="DefaultParagraphFont"/>
    <w:rsid w:val="00066440"/>
  </w:style>
  <w:style w:type="character" w:customStyle="1" w:styleId="vlist-s">
    <w:name w:val="vlist-s"/>
    <w:basedOn w:val="DefaultParagraphFont"/>
    <w:rsid w:val="00066440"/>
  </w:style>
  <w:style w:type="character" w:customStyle="1" w:styleId="mbin">
    <w:name w:val="mbin"/>
    <w:basedOn w:val="DefaultParagraphFont"/>
    <w:rsid w:val="00066440"/>
  </w:style>
  <w:style w:type="character" w:customStyle="1" w:styleId="katex-error">
    <w:name w:val="katex-error"/>
    <w:basedOn w:val="DefaultParagraphFont"/>
    <w:rsid w:val="00066440"/>
  </w:style>
  <w:style w:type="character" w:styleId="Hyperlink">
    <w:name w:val="Hyperlink"/>
    <w:basedOn w:val="DefaultParagraphFont"/>
    <w:uiPriority w:val="99"/>
    <w:unhideWhenUsed/>
    <w:rsid w:val="00867C16"/>
    <w:rPr>
      <w:color w:val="0563C1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D65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111D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9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97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6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2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3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52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7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crotrends.net/stocks/charts/AMZN/amazon/common-stock-dividends-pa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683</Words>
  <Characters>3851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Adedayo Ajibare</cp:lastModifiedBy>
  <cp:revision>27</cp:revision>
  <dcterms:created xsi:type="dcterms:W3CDTF">2024-09-27T15:28:00Z</dcterms:created>
  <dcterms:modified xsi:type="dcterms:W3CDTF">2024-10-01T06:02:00Z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ca6b67de-5bb9-4d68-94a7-1a28c54eaf1f</vt:lpwstr>
  </property>
</Properties>
</file>