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14F" w14:textId="77777777" w:rsidR="00517375" w:rsidRPr="00C53846" w:rsidRDefault="00517375" w:rsidP="00517375">
      <w:pPr>
        <w:jc w:val="center"/>
        <w:rPr>
          <w:rFonts w:ascii="Times New Roman" w:hAnsi="Times New Roman" w:cs="Times New Roman"/>
          <w:b/>
          <w:sz w:val="24"/>
          <w:szCs w:val="24"/>
        </w:rPr>
      </w:pPr>
      <w:r w:rsidRPr="00C53846">
        <w:rPr>
          <w:rFonts w:ascii="Times New Roman" w:hAnsi="Times New Roman" w:cs="Times New Roman"/>
          <w:b/>
          <w:sz w:val="24"/>
          <w:szCs w:val="24"/>
        </w:rPr>
        <w:t>Revenue and Cost Drivers’ Analysis</w:t>
      </w:r>
    </w:p>
    <w:p w14:paraId="07F1E8A0" w14:textId="77777777" w:rsidR="00517375" w:rsidRPr="00C53846" w:rsidRDefault="00517375" w:rsidP="00517375">
      <w:pPr>
        <w:rPr>
          <w:rFonts w:ascii="Times New Roman" w:hAnsi="Times New Roman" w:cs="Times New Roman"/>
          <w:b/>
          <w:sz w:val="24"/>
          <w:szCs w:val="24"/>
        </w:rPr>
      </w:pPr>
      <w:r w:rsidRPr="00C53846">
        <w:rPr>
          <w:rFonts w:ascii="Times New Roman" w:hAnsi="Times New Roman" w:cs="Times New Roman"/>
          <w:b/>
          <w:sz w:val="24"/>
          <w:szCs w:val="24"/>
        </w:rPr>
        <w:t xml:space="preserve">Marriott Inc. for </w:t>
      </w:r>
      <w:r w:rsidR="004142C2" w:rsidRPr="00C53846">
        <w:rPr>
          <w:rFonts w:ascii="Times New Roman" w:hAnsi="Times New Roman" w:cs="Times New Roman"/>
          <w:b/>
          <w:sz w:val="24"/>
          <w:szCs w:val="24"/>
        </w:rPr>
        <w:t xml:space="preserve">FY2022 and </w:t>
      </w:r>
      <w:r w:rsidRPr="00C53846">
        <w:rPr>
          <w:rFonts w:ascii="Times New Roman" w:hAnsi="Times New Roman" w:cs="Times New Roman"/>
          <w:b/>
          <w:sz w:val="24"/>
          <w:szCs w:val="24"/>
        </w:rPr>
        <w:t>FY2023</w:t>
      </w:r>
    </w:p>
    <w:p w14:paraId="6675FE97" w14:textId="77777777" w:rsidR="00667383" w:rsidRPr="00C53846" w:rsidRDefault="00517375" w:rsidP="00517375">
      <w:pPr>
        <w:rPr>
          <w:rFonts w:ascii="Times New Roman" w:hAnsi="Times New Roman" w:cs="Times New Roman"/>
          <w:b/>
          <w:sz w:val="24"/>
          <w:szCs w:val="24"/>
        </w:rPr>
      </w:pPr>
      <w:r w:rsidRPr="00C53846">
        <w:rPr>
          <w:rFonts w:ascii="Times New Roman" w:hAnsi="Times New Roman" w:cs="Times New Roman"/>
          <w:b/>
          <w:sz w:val="24"/>
          <w:szCs w:val="24"/>
        </w:rPr>
        <w:t>Revenue Drivers</w:t>
      </w:r>
    </w:p>
    <w:p w14:paraId="57B4D719" w14:textId="77777777" w:rsidR="007657BC" w:rsidRPr="00C53846" w:rsidRDefault="007657BC" w:rsidP="007657BC">
      <w:pPr>
        <w:rPr>
          <w:rFonts w:ascii="Times New Roman" w:hAnsi="Times New Roman" w:cs="Times New Roman"/>
          <w:sz w:val="24"/>
          <w:szCs w:val="24"/>
        </w:rPr>
      </w:pPr>
      <w:r w:rsidRPr="00C53846">
        <w:rPr>
          <w:rFonts w:ascii="Times New Roman" w:hAnsi="Times New Roman" w:cs="Times New Roman"/>
          <w:sz w:val="24"/>
          <w:szCs w:val="24"/>
        </w:rPr>
        <w:t xml:space="preserve">Marriott Inc. is a global player in the hospitality sector. It has different lines of business where it </w:t>
      </w:r>
      <w:r w:rsidR="007F30D9">
        <w:rPr>
          <w:rFonts w:ascii="Times New Roman" w:hAnsi="Times New Roman" w:cs="Times New Roman"/>
          <w:sz w:val="24"/>
          <w:szCs w:val="24"/>
        </w:rPr>
        <w:t>generates</w:t>
      </w:r>
      <w:r w:rsidR="00ED42BB">
        <w:rPr>
          <w:rFonts w:ascii="Times New Roman" w:hAnsi="Times New Roman" w:cs="Times New Roman"/>
          <w:sz w:val="24"/>
          <w:szCs w:val="24"/>
        </w:rPr>
        <w:t xml:space="preserve"> its revenue, these are: </w:t>
      </w:r>
    </w:p>
    <w:p w14:paraId="4FACB7AB" w14:textId="77777777" w:rsidR="007657BC" w:rsidRPr="00C53846" w:rsidRDefault="007657BC" w:rsidP="00910C31">
      <w:pPr>
        <w:pStyle w:val="ListParagraph"/>
        <w:numPr>
          <w:ilvl w:val="0"/>
          <w:numId w:val="1"/>
        </w:numPr>
        <w:rPr>
          <w:rFonts w:ascii="Times New Roman" w:hAnsi="Times New Roman" w:cs="Times New Roman"/>
          <w:sz w:val="24"/>
          <w:szCs w:val="24"/>
        </w:rPr>
      </w:pPr>
      <w:r w:rsidRPr="00C53846">
        <w:rPr>
          <w:rFonts w:ascii="Times New Roman" w:hAnsi="Times New Roman" w:cs="Times New Roman"/>
          <w:sz w:val="24"/>
          <w:szCs w:val="24"/>
        </w:rPr>
        <w:t xml:space="preserve">Base Management </w:t>
      </w:r>
      <w:r w:rsidR="00910C31" w:rsidRPr="00C53846">
        <w:rPr>
          <w:rFonts w:ascii="Times New Roman" w:hAnsi="Times New Roman" w:cs="Times New Roman"/>
          <w:sz w:val="24"/>
          <w:szCs w:val="24"/>
        </w:rPr>
        <w:t>and Incentive Management Fees</w:t>
      </w:r>
      <w:r w:rsidRPr="00C53846">
        <w:rPr>
          <w:rFonts w:ascii="Times New Roman" w:hAnsi="Times New Roman" w:cs="Times New Roman"/>
          <w:sz w:val="24"/>
          <w:szCs w:val="24"/>
        </w:rPr>
        <w:t xml:space="preserve">, </w:t>
      </w:r>
    </w:p>
    <w:p w14:paraId="300EEFF1" w14:textId="77777777" w:rsidR="007657BC" w:rsidRPr="00C53846" w:rsidRDefault="007657BC" w:rsidP="007657BC">
      <w:pPr>
        <w:pStyle w:val="ListParagraph"/>
        <w:numPr>
          <w:ilvl w:val="0"/>
          <w:numId w:val="1"/>
        </w:numPr>
        <w:rPr>
          <w:rFonts w:ascii="Times New Roman" w:hAnsi="Times New Roman" w:cs="Times New Roman"/>
          <w:sz w:val="24"/>
          <w:szCs w:val="24"/>
        </w:rPr>
      </w:pPr>
      <w:r w:rsidRPr="00C53846">
        <w:rPr>
          <w:rFonts w:ascii="Times New Roman" w:hAnsi="Times New Roman" w:cs="Times New Roman"/>
          <w:sz w:val="24"/>
          <w:szCs w:val="24"/>
        </w:rPr>
        <w:t xml:space="preserve">Royalty and Franchise Fees, </w:t>
      </w:r>
    </w:p>
    <w:p w14:paraId="4817BBB4" w14:textId="77777777" w:rsidR="007657BC" w:rsidRPr="00C53846" w:rsidRDefault="007657BC" w:rsidP="007657BC">
      <w:pPr>
        <w:pStyle w:val="ListParagraph"/>
        <w:numPr>
          <w:ilvl w:val="0"/>
          <w:numId w:val="1"/>
        </w:numPr>
        <w:rPr>
          <w:rFonts w:ascii="Times New Roman" w:hAnsi="Times New Roman" w:cs="Times New Roman"/>
          <w:sz w:val="24"/>
          <w:szCs w:val="24"/>
        </w:rPr>
      </w:pPr>
      <w:r w:rsidRPr="00C53846">
        <w:rPr>
          <w:rFonts w:ascii="Times New Roman" w:hAnsi="Times New Roman" w:cs="Times New Roman"/>
          <w:sz w:val="24"/>
          <w:szCs w:val="24"/>
        </w:rPr>
        <w:t>Owned</w:t>
      </w:r>
      <w:r w:rsidR="00EB042C" w:rsidRPr="00C53846">
        <w:rPr>
          <w:rFonts w:ascii="Times New Roman" w:hAnsi="Times New Roman" w:cs="Times New Roman"/>
          <w:sz w:val="24"/>
          <w:szCs w:val="24"/>
        </w:rPr>
        <w:t>,</w:t>
      </w:r>
      <w:r w:rsidRPr="00C53846">
        <w:rPr>
          <w:rFonts w:ascii="Times New Roman" w:hAnsi="Times New Roman" w:cs="Times New Roman"/>
          <w:sz w:val="24"/>
          <w:szCs w:val="24"/>
        </w:rPr>
        <w:t xml:space="preserve"> Leased</w:t>
      </w:r>
      <w:r w:rsidR="007F30D9">
        <w:rPr>
          <w:rFonts w:ascii="Times New Roman" w:hAnsi="Times New Roman" w:cs="Times New Roman"/>
          <w:sz w:val="24"/>
          <w:szCs w:val="24"/>
        </w:rPr>
        <w:t>,</w:t>
      </w:r>
      <w:r w:rsidRPr="00C53846">
        <w:rPr>
          <w:rFonts w:ascii="Times New Roman" w:hAnsi="Times New Roman" w:cs="Times New Roman"/>
          <w:sz w:val="24"/>
          <w:szCs w:val="24"/>
        </w:rPr>
        <w:t xml:space="preserve"> </w:t>
      </w:r>
      <w:r w:rsidR="00EB042C" w:rsidRPr="00C53846">
        <w:rPr>
          <w:rFonts w:ascii="Times New Roman" w:hAnsi="Times New Roman" w:cs="Times New Roman"/>
          <w:sz w:val="24"/>
          <w:szCs w:val="24"/>
        </w:rPr>
        <w:t xml:space="preserve">and </w:t>
      </w:r>
      <w:r w:rsidR="00EB042C" w:rsidRPr="00C53846">
        <w:rPr>
          <w:rFonts w:ascii="Times New Roman" w:hAnsi="Times New Roman" w:cs="Times New Roman"/>
          <w:color w:val="000000"/>
          <w:sz w:val="24"/>
          <w:szCs w:val="24"/>
          <w:shd w:val="clear" w:color="auto" w:fill="FFFFFF"/>
        </w:rPr>
        <w:t xml:space="preserve">other </w:t>
      </w:r>
      <w:r w:rsidRPr="00C53846">
        <w:rPr>
          <w:rFonts w:ascii="Times New Roman" w:hAnsi="Times New Roman" w:cs="Times New Roman"/>
          <w:sz w:val="24"/>
          <w:szCs w:val="24"/>
        </w:rPr>
        <w:t xml:space="preserve">Revenue, </w:t>
      </w:r>
    </w:p>
    <w:p w14:paraId="5188C959" w14:textId="77777777" w:rsidR="007657BC" w:rsidRPr="00C53846" w:rsidRDefault="007657BC" w:rsidP="007657BC">
      <w:pPr>
        <w:pStyle w:val="ListParagraph"/>
        <w:numPr>
          <w:ilvl w:val="0"/>
          <w:numId w:val="1"/>
        </w:numPr>
        <w:rPr>
          <w:rFonts w:ascii="Times New Roman" w:hAnsi="Times New Roman" w:cs="Times New Roman"/>
          <w:sz w:val="24"/>
          <w:szCs w:val="24"/>
        </w:rPr>
      </w:pPr>
      <w:r w:rsidRPr="00C53846">
        <w:rPr>
          <w:rFonts w:ascii="Times New Roman" w:hAnsi="Times New Roman" w:cs="Times New Roman"/>
          <w:sz w:val="24"/>
          <w:szCs w:val="24"/>
        </w:rPr>
        <w:t xml:space="preserve">And Cost Reimbursement Revenue. </w:t>
      </w:r>
    </w:p>
    <w:p w14:paraId="07A136D3" w14:textId="0E864B73" w:rsidR="00F846A0" w:rsidRPr="00C53846" w:rsidRDefault="00DD3883" w:rsidP="00F846A0">
      <w:pPr>
        <w:jc w:val="both"/>
        <w:rPr>
          <w:rFonts w:ascii="Times New Roman" w:eastAsia="Times New Roman" w:hAnsi="Times New Roman" w:cs="Times New Roman"/>
          <w:sz w:val="24"/>
          <w:szCs w:val="24"/>
          <w:lang w:eastAsia="en-GB"/>
        </w:rPr>
      </w:pPr>
      <w:r w:rsidRPr="00DD3883">
        <w:rPr>
          <w:rFonts w:ascii="Times New Roman" w:eastAsia="Times New Roman" w:hAnsi="Times New Roman" w:cs="Times New Roman"/>
          <w:sz w:val="24"/>
          <w:szCs w:val="24"/>
          <w:lang w:eastAsia="en-GB"/>
        </w:rPr>
        <w:t>Marriott receives base management fees for granting its hotels a license to use its brand names and for delivering hotel management services</w:t>
      </w:r>
      <w:r w:rsidR="007F30D9">
        <w:rPr>
          <w:rFonts w:ascii="Times New Roman" w:eastAsia="Times New Roman" w:hAnsi="Times New Roman" w:cs="Times New Roman"/>
          <w:sz w:val="24"/>
          <w:szCs w:val="24"/>
          <w:lang w:eastAsia="en-GB"/>
        </w:rPr>
        <w:t>—and</w:t>
      </w:r>
      <w:r w:rsidR="001E7090" w:rsidRPr="00C53846">
        <w:rPr>
          <w:rFonts w:ascii="Times New Roman" w:eastAsia="Times New Roman" w:hAnsi="Times New Roman" w:cs="Times New Roman"/>
          <w:sz w:val="24"/>
          <w:szCs w:val="24"/>
          <w:lang w:eastAsia="en-GB"/>
        </w:rPr>
        <w:t xml:space="preserve"> </w:t>
      </w:r>
      <w:r w:rsidR="001E7090" w:rsidRPr="00133666">
        <w:rPr>
          <w:rFonts w:ascii="Times New Roman" w:eastAsia="Times New Roman" w:hAnsi="Times New Roman" w:cs="Times New Roman"/>
          <w:color w:val="000000"/>
          <w:sz w:val="24"/>
          <w:szCs w:val="24"/>
          <w:lang w:eastAsia="en-GB"/>
        </w:rPr>
        <w:t xml:space="preserve">incentive management fees, </w:t>
      </w:r>
      <w:r w:rsidR="00D425F3" w:rsidRPr="00C53846">
        <w:rPr>
          <w:rFonts w:ascii="Times New Roman" w:hAnsi="Times New Roman" w:cs="Times New Roman"/>
          <w:sz w:val="24"/>
          <w:szCs w:val="24"/>
        </w:rPr>
        <w:t xml:space="preserve">which often depend on a gauge </w:t>
      </w:r>
      <w:r w:rsidR="001E7090" w:rsidRPr="00133666">
        <w:rPr>
          <w:rFonts w:ascii="Times New Roman" w:eastAsia="Times New Roman" w:hAnsi="Times New Roman" w:cs="Times New Roman"/>
          <w:color w:val="000000"/>
          <w:sz w:val="24"/>
          <w:szCs w:val="24"/>
          <w:lang w:eastAsia="en-GB"/>
        </w:rPr>
        <w:t>of hotel profitability</w:t>
      </w:r>
      <w:r w:rsidR="00D425F3" w:rsidRPr="00C53846">
        <w:rPr>
          <w:rFonts w:ascii="Times New Roman" w:eastAsia="Times New Roman" w:hAnsi="Times New Roman" w:cs="Times New Roman"/>
          <w:color w:val="000000"/>
          <w:sz w:val="24"/>
          <w:szCs w:val="24"/>
          <w:lang w:eastAsia="en-GB"/>
        </w:rPr>
        <w:t>.</w:t>
      </w:r>
      <w:r w:rsidR="00AD75D6" w:rsidRPr="00C53846">
        <w:rPr>
          <w:rFonts w:ascii="Times New Roman" w:eastAsia="Times New Roman" w:hAnsi="Times New Roman" w:cs="Times New Roman"/>
          <w:color w:val="000000"/>
          <w:sz w:val="24"/>
          <w:szCs w:val="24"/>
          <w:lang w:eastAsia="en-GB"/>
        </w:rPr>
        <w:t xml:space="preserve"> The </w:t>
      </w:r>
      <w:r w:rsidR="00AD75D6" w:rsidRPr="00C53846">
        <w:rPr>
          <w:rFonts w:ascii="Times New Roman" w:hAnsi="Times New Roman" w:cs="Times New Roman"/>
          <w:sz w:val="24"/>
          <w:szCs w:val="24"/>
        </w:rPr>
        <w:t xml:space="preserve">base management and incentive management fees generated for FY22 and FY23 </w:t>
      </w:r>
      <w:r w:rsidR="007F30D9">
        <w:rPr>
          <w:rFonts w:ascii="Times New Roman" w:hAnsi="Times New Roman" w:cs="Times New Roman"/>
          <w:sz w:val="24"/>
          <w:szCs w:val="24"/>
        </w:rPr>
        <w:t>are</w:t>
      </w:r>
      <w:r w:rsidR="00AD75D6" w:rsidRPr="00C53846">
        <w:rPr>
          <w:rFonts w:ascii="Times New Roman" w:hAnsi="Times New Roman" w:cs="Times New Roman"/>
          <w:sz w:val="24"/>
          <w:szCs w:val="24"/>
        </w:rPr>
        <w:t xml:space="preserve"> approximately 5 percent of total revenue.</w:t>
      </w:r>
      <w:r w:rsidR="00AD75D6" w:rsidRPr="00C53846">
        <w:rPr>
          <w:rFonts w:ascii="Times New Roman" w:eastAsia="Times New Roman" w:hAnsi="Times New Roman" w:cs="Times New Roman"/>
          <w:sz w:val="24"/>
          <w:szCs w:val="24"/>
          <w:lang w:eastAsia="en-GB"/>
        </w:rPr>
        <w:t xml:space="preserve"> </w:t>
      </w:r>
      <w:r w:rsidRPr="00DD3883">
        <w:rPr>
          <w:rFonts w:ascii="Times New Roman" w:eastAsia="Times New Roman" w:hAnsi="Times New Roman" w:cs="Times New Roman"/>
          <w:sz w:val="24"/>
          <w:szCs w:val="24"/>
          <w:lang w:eastAsia="en-GB"/>
        </w:rPr>
        <w:t xml:space="preserve">The first application fees that Marriott receives </w:t>
      </w:r>
      <w:r w:rsidR="007F30D9">
        <w:rPr>
          <w:rFonts w:ascii="Times New Roman" w:eastAsia="Times New Roman" w:hAnsi="Times New Roman" w:cs="Times New Roman"/>
          <w:sz w:val="24"/>
          <w:szCs w:val="24"/>
          <w:lang w:eastAsia="en-GB"/>
        </w:rPr>
        <w:t>to</w:t>
      </w:r>
      <w:r w:rsidRPr="00DD3883">
        <w:rPr>
          <w:rFonts w:ascii="Times New Roman" w:eastAsia="Times New Roman" w:hAnsi="Times New Roman" w:cs="Times New Roman"/>
          <w:sz w:val="24"/>
          <w:szCs w:val="24"/>
          <w:lang w:eastAsia="en-GB"/>
        </w:rPr>
        <w:t xml:space="preserve"> market its brand to prospective hotel operators worldwide are franchise and royalty payments. These operators pay it a</w:t>
      </w:r>
      <w:r w:rsidR="00CB7FA2">
        <w:rPr>
          <w:rFonts w:ascii="Times New Roman" w:eastAsia="Times New Roman" w:hAnsi="Times New Roman" w:cs="Times New Roman"/>
          <w:sz w:val="24"/>
          <w:szCs w:val="24"/>
          <w:lang w:eastAsia="en-GB"/>
        </w:rPr>
        <w:t>s</w:t>
      </w:r>
      <w:r w:rsidRPr="00DD3883">
        <w:rPr>
          <w:rFonts w:ascii="Times New Roman" w:eastAsia="Times New Roman" w:hAnsi="Times New Roman" w:cs="Times New Roman"/>
          <w:sz w:val="24"/>
          <w:szCs w:val="24"/>
          <w:lang w:eastAsia="en-GB"/>
        </w:rPr>
        <w:t xml:space="preserve"> </w:t>
      </w:r>
      <w:r w:rsidR="00CB7FA2">
        <w:rPr>
          <w:rFonts w:ascii="Times New Roman" w:eastAsia="Times New Roman" w:hAnsi="Times New Roman" w:cs="Times New Roman"/>
          <w:sz w:val="24"/>
          <w:szCs w:val="24"/>
          <w:lang w:eastAsia="en-GB"/>
        </w:rPr>
        <w:t>a </w:t>
      </w:r>
      <w:r w:rsidRPr="00DD3883">
        <w:rPr>
          <w:rFonts w:ascii="Times New Roman" w:eastAsia="Times New Roman" w:hAnsi="Times New Roman" w:cs="Times New Roman"/>
          <w:sz w:val="24"/>
          <w:szCs w:val="24"/>
          <w:lang w:eastAsia="en-GB"/>
        </w:rPr>
        <w:t>royalty each year for using its name. The provision of lodging and other services to guests generates revenue for both owned and leased hotels.</w:t>
      </w:r>
      <w:r w:rsidR="00EB042C" w:rsidRPr="00C53846">
        <w:rPr>
          <w:rFonts w:ascii="Times New Roman" w:eastAsia="Times New Roman" w:hAnsi="Times New Roman" w:cs="Times New Roman"/>
          <w:sz w:val="24"/>
          <w:szCs w:val="24"/>
          <w:lang w:eastAsia="en-GB"/>
        </w:rPr>
        <w:t xml:space="preserve"> Other revenue consists of termination fees, other property and brand earnings, and global design fees. </w:t>
      </w:r>
      <w:r w:rsidR="00D425F3" w:rsidRPr="00C53846">
        <w:rPr>
          <w:rFonts w:ascii="Times New Roman" w:hAnsi="Times New Roman" w:cs="Times New Roman"/>
          <w:sz w:val="24"/>
          <w:szCs w:val="24"/>
        </w:rPr>
        <w:t xml:space="preserve"> </w:t>
      </w:r>
      <w:r w:rsidR="00C90BC6" w:rsidRPr="00C53846">
        <w:rPr>
          <w:rFonts w:ascii="Times New Roman" w:hAnsi="Times New Roman" w:cs="Times New Roman"/>
          <w:sz w:val="24"/>
          <w:szCs w:val="24"/>
        </w:rPr>
        <w:t xml:space="preserve">Revenue generated from cost reimbursement is 74% and 73% respectively for FY22 and FY23. </w:t>
      </w:r>
      <w:r w:rsidR="00C90BC6" w:rsidRPr="00C53846">
        <w:rPr>
          <w:rFonts w:ascii="Times New Roman" w:eastAsia="Times New Roman" w:hAnsi="Times New Roman" w:cs="Times New Roman"/>
          <w:sz w:val="24"/>
          <w:szCs w:val="24"/>
          <w:lang w:eastAsia="en-GB"/>
        </w:rPr>
        <w:t xml:space="preserve">The </w:t>
      </w:r>
      <w:r w:rsidR="00D425F3" w:rsidRPr="00C53846">
        <w:rPr>
          <w:rFonts w:ascii="Times New Roman" w:eastAsia="Times New Roman" w:hAnsi="Times New Roman" w:cs="Times New Roman"/>
          <w:sz w:val="24"/>
          <w:szCs w:val="24"/>
          <w:lang w:eastAsia="en-GB"/>
        </w:rPr>
        <w:t xml:space="preserve">cost reimbursement accounts for the majority of revenue. It is the reimbursement of expenses that Marriott's hotel management incurs and receives from the operator of that particular hotel, without any additional </w:t>
      </w:r>
      <w:r w:rsidR="007F30D9">
        <w:rPr>
          <w:rFonts w:ascii="Times New Roman" w:eastAsia="Times New Roman" w:hAnsi="Times New Roman" w:cs="Times New Roman"/>
          <w:sz w:val="24"/>
          <w:szCs w:val="24"/>
          <w:lang w:eastAsia="en-GB"/>
        </w:rPr>
        <w:t>markup</w:t>
      </w:r>
      <w:r w:rsidR="00D425F3" w:rsidRPr="00C53846">
        <w:rPr>
          <w:rFonts w:ascii="Times New Roman" w:eastAsia="Times New Roman" w:hAnsi="Times New Roman" w:cs="Times New Roman"/>
          <w:sz w:val="24"/>
          <w:szCs w:val="24"/>
          <w:lang w:eastAsia="en-GB"/>
        </w:rPr>
        <w:t xml:space="preserve">. Payroll and other operating costs at managed properties make up the majority of it. </w:t>
      </w:r>
      <w:r w:rsidR="003A3CC6" w:rsidRPr="00C53846">
        <w:rPr>
          <w:rFonts w:ascii="Times New Roman" w:eastAsia="Times New Roman" w:hAnsi="Times New Roman" w:cs="Times New Roman"/>
          <w:sz w:val="24"/>
          <w:szCs w:val="24"/>
          <w:lang w:eastAsia="en-GB"/>
        </w:rPr>
        <w:t>There is growth in revenue as total revenue is $20.773 billion in 2022 and $23.713 billion in 2023. However, w</w:t>
      </w:r>
      <w:r w:rsidR="00D425F3" w:rsidRPr="00C53846">
        <w:rPr>
          <w:rFonts w:ascii="Times New Roman" w:eastAsia="Times New Roman" w:hAnsi="Times New Roman" w:cs="Times New Roman"/>
          <w:sz w:val="24"/>
          <w:szCs w:val="24"/>
          <w:lang w:eastAsia="en-GB"/>
        </w:rPr>
        <w:t xml:space="preserve">ith the cost reimbursement component removed, Marriott Inc.'s operational revenue comes to a total of </w:t>
      </w:r>
      <w:r w:rsidR="00C90BC6" w:rsidRPr="00C53846">
        <w:rPr>
          <w:rFonts w:ascii="Times New Roman" w:eastAsia="Times New Roman" w:hAnsi="Times New Roman" w:cs="Times New Roman"/>
          <w:sz w:val="24"/>
          <w:szCs w:val="24"/>
          <w:lang w:eastAsia="en-GB"/>
        </w:rPr>
        <w:t xml:space="preserve">$5.445 billion in 2022 and </w:t>
      </w:r>
      <w:r w:rsidR="00D425F3" w:rsidRPr="00C53846">
        <w:rPr>
          <w:rFonts w:ascii="Times New Roman" w:eastAsia="Times New Roman" w:hAnsi="Times New Roman" w:cs="Times New Roman"/>
          <w:sz w:val="24"/>
          <w:szCs w:val="24"/>
          <w:lang w:eastAsia="en-GB"/>
        </w:rPr>
        <w:t>$</w:t>
      </w:r>
      <w:r w:rsidR="00C90BC6" w:rsidRPr="00C53846">
        <w:rPr>
          <w:rFonts w:ascii="Times New Roman" w:eastAsia="Times New Roman" w:hAnsi="Times New Roman" w:cs="Times New Roman"/>
          <w:sz w:val="24"/>
          <w:szCs w:val="24"/>
          <w:lang w:eastAsia="en-GB"/>
        </w:rPr>
        <w:t xml:space="preserve">6.388 </w:t>
      </w:r>
      <w:r w:rsidR="00D425F3" w:rsidRPr="00C53846">
        <w:rPr>
          <w:rFonts w:ascii="Times New Roman" w:eastAsia="Times New Roman" w:hAnsi="Times New Roman" w:cs="Times New Roman"/>
          <w:sz w:val="24"/>
          <w:szCs w:val="24"/>
          <w:lang w:eastAsia="en-GB"/>
        </w:rPr>
        <w:t>billion</w:t>
      </w:r>
      <w:r w:rsidR="00C90BC6" w:rsidRPr="00C53846">
        <w:rPr>
          <w:rFonts w:ascii="Times New Roman" w:eastAsia="Times New Roman" w:hAnsi="Times New Roman" w:cs="Times New Roman"/>
          <w:sz w:val="24"/>
          <w:szCs w:val="24"/>
          <w:lang w:eastAsia="en-GB"/>
        </w:rPr>
        <w:t xml:space="preserve"> in 2023</w:t>
      </w:r>
      <w:r w:rsidR="00D425F3" w:rsidRPr="00C53846">
        <w:rPr>
          <w:rFonts w:ascii="Times New Roman" w:eastAsia="Times New Roman" w:hAnsi="Times New Roman" w:cs="Times New Roman"/>
          <w:sz w:val="24"/>
          <w:szCs w:val="24"/>
          <w:lang w:eastAsia="en-GB"/>
        </w:rPr>
        <w:t xml:space="preserve">, </w:t>
      </w:r>
      <w:r w:rsidR="003A3CC6" w:rsidRPr="00C53846">
        <w:rPr>
          <w:rFonts w:ascii="Times New Roman" w:eastAsia="Times New Roman" w:hAnsi="Times New Roman" w:cs="Times New Roman"/>
          <w:sz w:val="24"/>
          <w:szCs w:val="24"/>
          <w:lang w:eastAsia="en-GB"/>
        </w:rPr>
        <w:t>it increased by $0.943 billion</w:t>
      </w:r>
      <w:r w:rsidR="00D425F3" w:rsidRPr="00C53846">
        <w:rPr>
          <w:rFonts w:ascii="Times New Roman" w:eastAsia="Times New Roman" w:hAnsi="Times New Roman" w:cs="Times New Roman"/>
          <w:sz w:val="24"/>
          <w:szCs w:val="24"/>
          <w:lang w:eastAsia="en-GB"/>
        </w:rPr>
        <w:t xml:space="preserve"> </w:t>
      </w:r>
      <w:r w:rsidR="003A3CC6" w:rsidRPr="00C53846">
        <w:rPr>
          <w:rFonts w:ascii="Times New Roman" w:eastAsia="Times New Roman" w:hAnsi="Times New Roman" w:cs="Times New Roman"/>
          <w:sz w:val="24"/>
          <w:szCs w:val="24"/>
          <w:lang w:eastAsia="en-GB"/>
        </w:rPr>
        <w:t>in 2023</w:t>
      </w:r>
      <w:r w:rsidR="00D425F3" w:rsidRPr="00C53846">
        <w:rPr>
          <w:rFonts w:ascii="Times New Roman" w:eastAsia="Times New Roman" w:hAnsi="Times New Roman" w:cs="Times New Roman"/>
          <w:sz w:val="24"/>
          <w:szCs w:val="24"/>
          <w:lang w:eastAsia="en-GB"/>
        </w:rPr>
        <w:t xml:space="preserve">. Even while the annual revenue </w:t>
      </w:r>
      <w:r w:rsidR="003A3CC6" w:rsidRPr="00C53846">
        <w:rPr>
          <w:rFonts w:ascii="Times New Roman" w:eastAsia="Times New Roman" w:hAnsi="Times New Roman" w:cs="Times New Roman"/>
          <w:sz w:val="24"/>
          <w:szCs w:val="24"/>
          <w:lang w:eastAsia="en-GB"/>
        </w:rPr>
        <w:t>increased</w:t>
      </w:r>
      <w:r w:rsidR="00D425F3" w:rsidRPr="00C53846">
        <w:rPr>
          <w:rFonts w:ascii="Times New Roman" w:eastAsia="Times New Roman" w:hAnsi="Times New Roman" w:cs="Times New Roman"/>
          <w:sz w:val="24"/>
          <w:szCs w:val="24"/>
          <w:lang w:eastAsia="en-GB"/>
        </w:rPr>
        <w:t>, excludin</w:t>
      </w:r>
      <w:r w:rsidR="003A3CC6" w:rsidRPr="00C53846">
        <w:rPr>
          <w:rFonts w:ascii="Times New Roman" w:eastAsia="Times New Roman" w:hAnsi="Times New Roman" w:cs="Times New Roman"/>
          <w:sz w:val="24"/>
          <w:szCs w:val="24"/>
          <w:lang w:eastAsia="en-GB"/>
        </w:rPr>
        <w:t>g reimbursements, is remarkable.</w:t>
      </w:r>
      <w:r w:rsidR="00D425F3" w:rsidRPr="00C53846">
        <w:rPr>
          <w:rFonts w:ascii="Times New Roman" w:eastAsia="Times New Roman" w:hAnsi="Times New Roman" w:cs="Times New Roman"/>
          <w:sz w:val="24"/>
          <w:szCs w:val="24"/>
          <w:lang w:eastAsia="en-GB"/>
        </w:rPr>
        <w:t xml:space="preserve"> </w:t>
      </w:r>
      <w:r w:rsidR="00A52A98" w:rsidRPr="00C53846">
        <w:rPr>
          <w:rFonts w:ascii="Times New Roman" w:eastAsia="Times New Roman" w:hAnsi="Times New Roman" w:cs="Times New Roman"/>
          <w:sz w:val="24"/>
          <w:szCs w:val="24"/>
          <w:lang w:eastAsia="en-GB"/>
        </w:rPr>
        <w:t>This shows</w:t>
      </w:r>
      <w:r w:rsidR="00D425F3" w:rsidRPr="00C53846">
        <w:rPr>
          <w:rFonts w:ascii="Times New Roman" w:eastAsia="Times New Roman" w:hAnsi="Times New Roman" w:cs="Times New Roman"/>
          <w:sz w:val="24"/>
          <w:szCs w:val="24"/>
          <w:lang w:eastAsia="en-GB"/>
        </w:rPr>
        <w:t xml:space="preserve"> how competitive the global hotel sector i</w:t>
      </w:r>
      <w:r w:rsidR="00A52A98" w:rsidRPr="00C53846">
        <w:rPr>
          <w:rFonts w:ascii="Times New Roman" w:eastAsia="Times New Roman" w:hAnsi="Times New Roman" w:cs="Times New Roman"/>
          <w:sz w:val="24"/>
          <w:szCs w:val="24"/>
          <w:lang w:eastAsia="en-GB"/>
        </w:rPr>
        <w:t xml:space="preserve">s and how </w:t>
      </w:r>
      <w:r w:rsidR="007F30D9">
        <w:rPr>
          <w:rFonts w:ascii="Times New Roman" w:eastAsia="Times New Roman" w:hAnsi="Times New Roman" w:cs="Times New Roman"/>
          <w:sz w:val="24"/>
          <w:szCs w:val="24"/>
          <w:lang w:eastAsia="en-GB"/>
        </w:rPr>
        <w:t>hard</w:t>
      </w:r>
      <w:r w:rsidR="00A52A98" w:rsidRPr="00C53846">
        <w:rPr>
          <w:rFonts w:ascii="Times New Roman" w:eastAsia="Times New Roman" w:hAnsi="Times New Roman" w:cs="Times New Roman"/>
          <w:sz w:val="24"/>
          <w:szCs w:val="24"/>
          <w:lang w:eastAsia="en-GB"/>
        </w:rPr>
        <w:t xml:space="preserve"> it is to generate</w:t>
      </w:r>
      <w:r w:rsidR="00D425F3" w:rsidRPr="00C53846">
        <w:rPr>
          <w:rFonts w:ascii="Times New Roman" w:eastAsia="Times New Roman" w:hAnsi="Times New Roman" w:cs="Times New Roman"/>
          <w:sz w:val="24"/>
          <w:szCs w:val="24"/>
          <w:lang w:eastAsia="en-GB"/>
        </w:rPr>
        <w:t xml:space="preserve"> lar</w:t>
      </w:r>
      <w:r w:rsidR="00A52A98" w:rsidRPr="00C53846">
        <w:rPr>
          <w:rFonts w:ascii="Times New Roman" w:eastAsia="Times New Roman" w:hAnsi="Times New Roman" w:cs="Times New Roman"/>
          <w:sz w:val="24"/>
          <w:szCs w:val="24"/>
          <w:lang w:eastAsia="en-GB"/>
        </w:rPr>
        <w:t>ger revenue from its operations</w:t>
      </w:r>
      <w:r w:rsidR="00D425F3" w:rsidRPr="00C53846">
        <w:rPr>
          <w:rFonts w:ascii="Times New Roman" w:eastAsia="Times New Roman" w:hAnsi="Times New Roman" w:cs="Times New Roman"/>
          <w:sz w:val="24"/>
          <w:szCs w:val="24"/>
          <w:lang w:eastAsia="en-GB"/>
        </w:rPr>
        <w:t>.</w:t>
      </w:r>
      <w:r w:rsidR="00F846A0" w:rsidRPr="00C53846">
        <w:rPr>
          <w:rFonts w:ascii="Times New Roman" w:eastAsia="Times New Roman" w:hAnsi="Times New Roman" w:cs="Times New Roman"/>
          <w:sz w:val="24"/>
          <w:szCs w:val="24"/>
          <w:lang w:eastAsia="en-GB"/>
        </w:rPr>
        <w:t xml:space="preserve"> </w:t>
      </w:r>
    </w:p>
    <w:p w14:paraId="4EC0E7CF" w14:textId="77777777" w:rsidR="00E669A5" w:rsidRPr="00C53846" w:rsidRDefault="00E669A5" w:rsidP="00E669A5">
      <w:pPr>
        <w:jc w:val="both"/>
        <w:rPr>
          <w:rFonts w:ascii="Times New Roman" w:hAnsi="Times New Roman" w:cs="Times New Roman"/>
          <w:b/>
          <w:sz w:val="24"/>
          <w:szCs w:val="24"/>
        </w:rPr>
      </w:pPr>
      <w:r w:rsidRPr="00C53846">
        <w:rPr>
          <w:rFonts w:ascii="Times New Roman" w:hAnsi="Times New Roman" w:cs="Times New Roman"/>
          <w:b/>
          <w:sz w:val="24"/>
          <w:szCs w:val="24"/>
        </w:rPr>
        <w:t>Operating Cost Drivers</w:t>
      </w:r>
    </w:p>
    <w:p w14:paraId="5989E204" w14:textId="77777777" w:rsidR="00E669A5" w:rsidRPr="00C53846" w:rsidRDefault="00E669A5" w:rsidP="00E669A5">
      <w:pPr>
        <w:jc w:val="both"/>
        <w:rPr>
          <w:rFonts w:ascii="Times New Roman" w:hAnsi="Times New Roman" w:cs="Times New Roman"/>
          <w:sz w:val="24"/>
          <w:szCs w:val="24"/>
        </w:rPr>
      </w:pPr>
      <w:r w:rsidRPr="00C53846">
        <w:rPr>
          <w:rFonts w:ascii="Times New Roman" w:hAnsi="Times New Roman" w:cs="Times New Roman"/>
          <w:sz w:val="24"/>
          <w:szCs w:val="24"/>
        </w:rPr>
        <w:t>Marriott Inc. has four significant cost and expenditure drivers;</w:t>
      </w:r>
    </w:p>
    <w:p w14:paraId="19B089EC" w14:textId="5AB9A7B6" w:rsidR="00E669A5" w:rsidRPr="00C53846" w:rsidRDefault="00E669A5" w:rsidP="00E669A5">
      <w:pPr>
        <w:pStyle w:val="ListParagraph"/>
        <w:numPr>
          <w:ilvl w:val="0"/>
          <w:numId w:val="2"/>
        </w:numPr>
        <w:jc w:val="both"/>
        <w:rPr>
          <w:rFonts w:ascii="Times New Roman" w:hAnsi="Times New Roman" w:cs="Times New Roman"/>
          <w:sz w:val="24"/>
          <w:szCs w:val="24"/>
        </w:rPr>
      </w:pPr>
      <w:r w:rsidRPr="00C53846">
        <w:rPr>
          <w:rFonts w:ascii="Times New Roman" w:hAnsi="Times New Roman" w:cs="Times New Roman"/>
          <w:sz w:val="24"/>
          <w:szCs w:val="24"/>
        </w:rPr>
        <w:t>Owned, leased, other hotel expense</w:t>
      </w:r>
      <w:r w:rsidR="00686C67">
        <w:rPr>
          <w:rFonts w:ascii="Times New Roman" w:hAnsi="Times New Roman" w:cs="Times New Roman"/>
          <w:sz w:val="24"/>
          <w:szCs w:val="24"/>
        </w:rPr>
        <w:t>s</w:t>
      </w:r>
      <w:r w:rsidRPr="00C53846">
        <w:rPr>
          <w:rFonts w:ascii="Times New Roman" w:hAnsi="Times New Roman" w:cs="Times New Roman"/>
          <w:sz w:val="24"/>
          <w:szCs w:val="24"/>
        </w:rPr>
        <w:t>,</w:t>
      </w:r>
    </w:p>
    <w:p w14:paraId="24A7EDBD" w14:textId="77777777" w:rsidR="00E669A5" w:rsidRPr="00C53846" w:rsidRDefault="00E669A5" w:rsidP="00E669A5">
      <w:pPr>
        <w:pStyle w:val="ListParagraph"/>
        <w:numPr>
          <w:ilvl w:val="0"/>
          <w:numId w:val="2"/>
        </w:numPr>
        <w:jc w:val="both"/>
        <w:rPr>
          <w:rFonts w:ascii="Times New Roman" w:hAnsi="Times New Roman" w:cs="Times New Roman"/>
          <w:sz w:val="24"/>
          <w:szCs w:val="24"/>
        </w:rPr>
      </w:pPr>
      <w:r w:rsidRPr="00C53846">
        <w:rPr>
          <w:rFonts w:ascii="Times New Roman" w:hAnsi="Times New Roman" w:cs="Times New Roman"/>
          <w:sz w:val="24"/>
          <w:szCs w:val="24"/>
        </w:rPr>
        <w:t xml:space="preserve">Depreciation and </w:t>
      </w:r>
      <w:r w:rsidR="00B56158" w:rsidRPr="00C53846">
        <w:rPr>
          <w:rFonts w:ascii="Times New Roman" w:hAnsi="Times New Roman" w:cs="Times New Roman"/>
          <w:sz w:val="24"/>
          <w:szCs w:val="24"/>
        </w:rPr>
        <w:t>amortization</w:t>
      </w:r>
      <w:r w:rsidRPr="00C53846">
        <w:rPr>
          <w:rFonts w:ascii="Times New Roman" w:hAnsi="Times New Roman" w:cs="Times New Roman"/>
          <w:sz w:val="24"/>
          <w:szCs w:val="24"/>
        </w:rPr>
        <w:t>,</w:t>
      </w:r>
    </w:p>
    <w:p w14:paraId="59583EAE" w14:textId="77777777" w:rsidR="00E669A5" w:rsidRPr="00C53846" w:rsidRDefault="00E669A5" w:rsidP="00E669A5">
      <w:pPr>
        <w:pStyle w:val="ListParagraph"/>
        <w:numPr>
          <w:ilvl w:val="0"/>
          <w:numId w:val="2"/>
        </w:numPr>
        <w:jc w:val="both"/>
        <w:rPr>
          <w:rFonts w:ascii="Times New Roman" w:hAnsi="Times New Roman" w:cs="Times New Roman"/>
          <w:sz w:val="24"/>
          <w:szCs w:val="24"/>
        </w:rPr>
      </w:pPr>
      <w:r w:rsidRPr="00C53846">
        <w:rPr>
          <w:rFonts w:ascii="Times New Roman" w:hAnsi="Times New Roman" w:cs="Times New Roman"/>
          <w:sz w:val="24"/>
          <w:szCs w:val="24"/>
        </w:rPr>
        <w:t>General administrative,</w:t>
      </w:r>
    </w:p>
    <w:p w14:paraId="29697CF1" w14:textId="77777777" w:rsidR="00DD3883" w:rsidRPr="00C53846" w:rsidRDefault="00E669A5" w:rsidP="00E669A5">
      <w:pPr>
        <w:pStyle w:val="ListParagraph"/>
        <w:numPr>
          <w:ilvl w:val="0"/>
          <w:numId w:val="2"/>
        </w:numPr>
        <w:jc w:val="both"/>
        <w:rPr>
          <w:rFonts w:ascii="Times New Roman" w:hAnsi="Times New Roman" w:cs="Times New Roman"/>
          <w:sz w:val="24"/>
          <w:szCs w:val="24"/>
        </w:rPr>
      </w:pPr>
      <w:r w:rsidRPr="00C53846">
        <w:rPr>
          <w:rFonts w:ascii="Times New Roman" w:hAnsi="Times New Roman" w:cs="Times New Roman"/>
          <w:sz w:val="24"/>
          <w:szCs w:val="24"/>
        </w:rPr>
        <w:t>Reimbursement expenses.</w:t>
      </w:r>
    </w:p>
    <w:p w14:paraId="4EEAFA53" w14:textId="21F396E3" w:rsidR="0025496A" w:rsidRPr="00C53846" w:rsidRDefault="0025496A" w:rsidP="0025496A">
      <w:pPr>
        <w:jc w:val="both"/>
        <w:rPr>
          <w:rFonts w:ascii="Times New Roman" w:hAnsi="Times New Roman" w:cs="Times New Roman"/>
          <w:sz w:val="24"/>
          <w:szCs w:val="24"/>
        </w:rPr>
      </w:pPr>
      <w:r w:rsidRPr="00C53846">
        <w:rPr>
          <w:rFonts w:ascii="Times New Roman" w:hAnsi="Times New Roman" w:cs="Times New Roman"/>
          <w:sz w:val="24"/>
          <w:szCs w:val="24"/>
        </w:rPr>
        <w:t xml:space="preserve">Costs associated with providing services to guests worldwide are the basis of expenditures for both owned and leased hotels. Depreciation represents the non-cash flow accounting charge associated with the deterioration of its non-current assets, whereas general administrative expenses are related to the cost of the higher management that oversees these hotels globally. Payroll costs for employees </w:t>
      </w:r>
      <w:r w:rsidR="007F30D9">
        <w:rPr>
          <w:rFonts w:ascii="Times New Roman" w:hAnsi="Times New Roman" w:cs="Times New Roman"/>
          <w:sz w:val="24"/>
          <w:szCs w:val="24"/>
        </w:rPr>
        <w:t>who</w:t>
      </w:r>
      <w:r w:rsidRPr="00C53846">
        <w:rPr>
          <w:rFonts w:ascii="Times New Roman" w:hAnsi="Times New Roman" w:cs="Times New Roman"/>
          <w:sz w:val="24"/>
          <w:szCs w:val="24"/>
        </w:rPr>
        <w:t xml:space="preserve"> work for each hotel separately and are in charge of ensuring that each hotel runs well make up the majority of reimbursement costs. In franchised hotels, it also includes the cost of providing lodging and other auxiliary services to visitors. Reimbursement </w:t>
      </w:r>
      <w:r w:rsidR="00B56158" w:rsidRPr="00C53846">
        <w:rPr>
          <w:rFonts w:ascii="Times New Roman" w:hAnsi="Times New Roman" w:cs="Times New Roman"/>
          <w:sz w:val="24"/>
          <w:szCs w:val="24"/>
        </w:rPr>
        <w:t>expenses</w:t>
      </w:r>
      <w:r w:rsidRPr="00C53846">
        <w:rPr>
          <w:rFonts w:ascii="Times New Roman" w:hAnsi="Times New Roman" w:cs="Times New Roman"/>
          <w:sz w:val="24"/>
          <w:szCs w:val="24"/>
        </w:rPr>
        <w:t xml:space="preserve"> </w:t>
      </w:r>
      <w:r w:rsidR="00B56158" w:rsidRPr="00C53846">
        <w:rPr>
          <w:rFonts w:ascii="Times New Roman" w:hAnsi="Times New Roman" w:cs="Times New Roman"/>
          <w:sz w:val="24"/>
          <w:szCs w:val="24"/>
        </w:rPr>
        <w:t>w</w:t>
      </w:r>
      <w:r w:rsidR="00686C67">
        <w:rPr>
          <w:rFonts w:ascii="Times New Roman" w:hAnsi="Times New Roman" w:cs="Times New Roman"/>
          <w:sz w:val="24"/>
          <w:szCs w:val="24"/>
        </w:rPr>
        <w:t>ere</w:t>
      </w:r>
      <w:r w:rsidR="00B56158" w:rsidRPr="00C53846">
        <w:rPr>
          <w:rFonts w:ascii="Times New Roman" w:hAnsi="Times New Roman" w:cs="Times New Roman"/>
          <w:sz w:val="24"/>
          <w:szCs w:val="24"/>
        </w:rPr>
        <w:t xml:space="preserve"> $15</w:t>
      </w:r>
      <w:r w:rsidR="00063022" w:rsidRPr="00C53846">
        <w:rPr>
          <w:rFonts w:ascii="Times New Roman" w:hAnsi="Times New Roman" w:cs="Times New Roman"/>
          <w:sz w:val="24"/>
          <w:szCs w:val="24"/>
        </w:rPr>
        <w:t>.</w:t>
      </w:r>
      <w:r w:rsidR="00B56158" w:rsidRPr="00C53846">
        <w:rPr>
          <w:rFonts w:ascii="Times New Roman" w:hAnsi="Times New Roman" w:cs="Times New Roman"/>
          <w:sz w:val="24"/>
          <w:szCs w:val="24"/>
        </w:rPr>
        <w:t xml:space="preserve">141 billion in 2022 and $17.424 billion in 2023. This </w:t>
      </w:r>
      <w:r w:rsidR="007F30D9">
        <w:rPr>
          <w:rFonts w:ascii="Times New Roman" w:hAnsi="Times New Roman" w:cs="Times New Roman"/>
          <w:sz w:val="24"/>
          <w:szCs w:val="24"/>
        </w:rPr>
        <w:lastRenderedPageBreak/>
        <w:t>accounts</w:t>
      </w:r>
      <w:r w:rsidRPr="00C53846">
        <w:rPr>
          <w:rFonts w:ascii="Times New Roman" w:hAnsi="Times New Roman" w:cs="Times New Roman"/>
          <w:sz w:val="24"/>
          <w:szCs w:val="24"/>
        </w:rPr>
        <w:t xml:space="preserve"> for </w:t>
      </w:r>
      <w:r w:rsidR="00B56158" w:rsidRPr="00C53846">
        <w:rPr>
          <w:rFonts w:ascii="Times New Roman" w:hAnsi="Times New Roman" w:cs="Times New Roman"/>
          <w:sz w:val="24"/>
          <w:szCs w:val="24"/>
        </w:rPr>
        <w:t>approximately</w:t>
      </w:r>
      <w:r w:rsidRPr="00C53846">
        <w:rPr>
          <w:rFonts w:ascii="Times New Roman" w:hAnsi="Times New Roman" w:cs="Times New Roman"/>
          <w:sz w:val="24"/>
          <w:szCs w:val="24"/>
        </w:rPr>
        <w:t xml:space="preserve"> 87% of total costs</w:t>
      </w:r>
      <w:r w:rsidR="00B56158" w:rsidRPr="00C53846">
        <w:rPr>
          <w:rFonts w:ascii="Times New Roman" w:hAnsi="Times New Roman" w:cs="Times New Roman"/>
          <w:sz w:val="24"/>
          <w:szCs w:val="24"/>
        </w:rPr>
        <w:t xml:space="preserve"> in 2022 and 2023</w:t>
      </w:r>
      <w:r w:rsidRPr="00C53846">
        <w:rPr>
          <w:rFonts w:ascii="Times New Roman" w:hAnsi="Times New Roman" w:cs="Times New Roman"/>
          <w:sz w:val="24"/>
          <w:szCs w:val="24"/>
        </w:rPr>
        <w:t xml:space="preserve">. </w:t>
      </w:r>
      <w:r w:rsidR="00B56158" w:rsidRPr="00C53846">
        <w:rPr>
          <w:rFonts w:ascii="Times New Roman" w:hAnsi="Times New Roman" w:cs="Times New Roman"/>
          <w:sz w:val="24"/>
          <w:szCs w:val="24"/>
        </w:rPr>
        <w:t xml:space="preserve">The cost reimbursement revenue and reimbursement expenses are </w:t>
      </w:r>
      <w:r w:rsidR="00063022" w:rsidRPr="00C53846">
        <w:rPr>
          <w:rFonts w:ascii="Times New Roman" w:hAnsi="Times New Roman" w:cs="Times New Roman"/>
          <w:sz w:val="24"/>
          <w:szCs w:val="24"/>
        </w:rPr>
        <w:t>approximately or almost</w:t>
      </w:r>
      <w:r w:rsidR="00B56158" w:rsidRPr="00C53846">
        <w:rPr>
          <w:rFonts w:ascii="Times New Roman" w:hAnsi="Times New Roman" w:cs="Times New Roman"/>
          <w:sz w:val="24"/>
          <w:szCs w:val="24"/>
        </w:rPr>
        <w:t xml:space="preserve"> equal. </w:t>
      </w:r>
      <w:r w:rsidR="00063022" w:rsidRPr="00C53846">
        <w:rPr>
          <w:rFonts w:ascii="Times New Roman" w:hAnsi="Times New Roman" w:cs="Times New Roman"/>
          <w:sz w:val="24"/>
          <w:szCs w:val="24"/>
        </w:rPr>
        <w:t xml:space="preserve"> This </w:t>
      </w:r>
      <w:r w:rsidR="007F30D9">
        <w:rPr>
          <w:rFonts w:ascii="Times New Roman" w:hAnsi="Times New Roman" w:cs="Times New Roman"/>
          <w:sz w:val="24"/>
          <w:szCs w:val="24"/>
        </w:rPr>
        <w:t>negates</w:t>
      </w:r>
      <w:r w:rsidR="00063022" w:rsidRPr="00C53846">
        <w:rPr>
          <w:rFonts w:ascii="Times New Roman" w:hAnsi="Times New Roman" w:cs="Times New Roman"/>
          <w:sz w:val="24"/>
          <w:szCs w:val="24"/>
        </w:rPr>
        <w:t xml:space="preserve"> </w:t>
      </w:r>
      <w:r w:rsidR="007F30D9">
        <w:rPr>
          <w:rFonts w:ascii="Times New Roman" w:hAnsi="Times New Roman" w:cs="Times New Roman"/>
          <w:sz w:val="24"/>
          <w:szCs w:val="24"/>
        </w:rPr>
        <w:t>its</w:t>
      </w:r>
      <w:r w:rsidR="00063022" w:rsidRPr="00C53846">
        <w:rPr>
          <w:rFonts w:ascii="Times New Roman" w:hAnsi="Times New Roman" w:cs="Times New Roman"/>
          <w:sz w:val="24"/>
          <w:szCs w:val="24"/>
        </w:rPr>
        <w:t xml:space="preserve"> impact on both</w:t>
      </w:r>
      <w:r w:rsidRPr="00C53846">
        <w:rPr>
          <w:rFonts w:ascii="Times New Roman" w:hAnsi="Times New Roman" w:cs="Times New Roman"/>
          <w:sz w:val="24"/>
          <w:szCs w:val="24"/>
        </w:rPr>
        <w:t xml:space="preserve"> gross </w:t>
      </w:r>
      <w:r w:rsidR="00063022" w:rsidRPr="00C53846">
        <w:rPr>
          <w:rFonts w:ascii="Times New Roman" w:hAnsi="Times New Roman" w:cs="Times New Roman"/>
          <w:sz w:val="24"/>
          <w:szCs w:val="24"/>
        </w:rPr>
        <w:t>and net profit</w:t>
      </w:r>
      <w:r w:rsidR="00261184">
        <w:rPr>
          <w:rFonts w:ascii="Times New Roman" w:hAnsi="Times New Roman" w:cs="Times New Roman"/>
          <w:sz w:val="24"/>
          <w:szCs w:val="24"/>
        </w:rPr>
        <w:t>s</w:t>
      </w:r>
      <w:r w:rsidRPr="00C53846">
        <w:rPr>
          <w:rFonts w:ascii="Times New Roman" w:hAnsi="Times New Roman" w:cs="Times New Roman"/>
          <w:sz w:val="24"/>
          <w:szCs w:val="24"/>
        </w:rPr>
        <w:t xml:space="preserve">. </w:t>
      </w:r>
      <w:r w:rsidR="00063022" w:rsidRPr="00C53846">
        <w:rPr>
          <w:rFonts w:ascii="Times New Roman" w:hAnsi="Times New Roman" w:cs="Times New Roman"/>
          <w:sz w:val="24"/>
          <w:szCs w:val="24"/>
        </w:rPr>
        <w:t xml:space="preserve">Without including this variable (reimbursement expenses) the total cost </w:t>
      </w:r>
      <w:r w:rsidR="007F30D9">
        <w:rPr>
          <w:rFonts w:ascii="Times New Roman" w:hAnsi="Times New Roman" w:cs="Times New Roman"/>
          <w:sz w:val="24"/>
          <w:szCs w:val="24"/>
        </w:rPr>
        <w:t>increased</w:t>
      </w:r>
      <w:r w:rsidR="00063022" w:rsidRPr="00C53846">
        <w:rPr>
          <w:rFonts w:ascii="Times New Roman" w:hAnsi="Times New Roman" w:cs="Times New Roman"/>
          <w:sz w:val="24"/>
          <w:szCs w:val="24"/>
        </w:rPr>
        <w:t xml:space="preserve"> from </w:t>
      </w:r>
      <w:r w:rsidR="00DF676F" w:rsidRPr="00C53846">
        <w:rPr>
          <w:rFonts w:ascii="Times New Roman" w:hAnsi="Times New Roman" w:cs="Times New Roman"/>
          <w:sz w:val="24"/>
          <w:szCs w:val="24"/>
        </w:rPr>
        <w:t xml:space="preserve">$2.17 billion in 2022 to $2.425 billion </w:t>
      </w:r>
      <w:r w:rsidR="007F30D9">
        <w:rPr>
          <w:rFonts w:ascii="Times New Roman" w:hAnsi="Times New Roman" w:cs="Times New Roman"/>
          <w:sz w:val="24"/>
          <w:szCs w:val="24"/>
        </w:rPr>
        <w:t>in 2023</w:t>
      </w:r>
      <w:r w:rsidR="00DF676F" w:rsidRPr="00C53846">
        <w:rPr>
          <w:rFonts w:ascii="Times New Roman" w:hAnsi="Times New Roman" w:cs="Times New Roman"/>
          <w:sz w:val="24"/>
          <w:szCs w:val="24"/>
        </w:rPr>
        <w:t xml:space="preserve">. </w:t>
      </w:r>
      <w:r w:rsidR="004142C2" w:rsidRPr="00C53846">
        <w:rPr>
          <w:rFonts w:ascii="Times New Roman" w:hAnsi="Times New Roman" w:cs="Times New Roman"/>
          <w:sz w:val="24"/>
          <w:szCs w:val="24"/>
        </w:rPr>
        <w:t>Lastly, the firm also incurred Merger</w:t>
      </w:r>
      <w:r w:rsidR="00D7213B" w:rsidRPr="00C53846">
        <w:rPr>
          <w:rFonts w:ascii="Times New Roman" w:hAnsi="Times New Roman" w:cs="Times New Roman"/>
          <w:sz w:val="24"/>
          <w:szCs w:val="24"/>
        </w:rPr>
        <w:t xml:space="preserve">-related charges during </w:t>
      </w:r>
      <w:r w:rsidR="007F30D9">
        <w:rPr>
          <w:rFonts w:ascii="Times New Roman" w:hAnsi="Times New Roman" w:cs="Times New Roman"/>
          <w:sz w:val="24"/>
          <w:szCs w:val="24"/>
        </w:rPr>
        <w:t xml:space="preserve">the </w:t>
      </w:r>
      <w:r w:rsidR="00D7213B" w:rsidRPr="00C53846">
        <w:rPr>
          <w:rFonts w:ascii="Times New Roman" w:hAnsi="Times New Roman" w:cs="Times New Roman"/>
          <w:sz w:val="24"/>
          <w:szCs w:val="24"/>
        </w:rPr>
        <w:t>merger.</w:t>
      </w:r>
    </w:p>
    <w:p w14:paraId="279214A6" w14:textId="77777777" w:rsidR="003134FD" w:rsidRPr="00C53846" w:rsidRDefault="00AF6ED4" w:rsidP="00AF6ED4">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C53846">
        <w:rPr>
          <w:rFonts w:ascii="Times New Roman" w:hAnsi="Times New Roman" w:cs="Times New Roman"/>
          <w:b/>
          <w:noProof/>
          <w:sz w:val="24"/>
          <w:szCs w:val="24"/>
          <w:lang w:eastAsia="en-GB"/>
        </w:rPr>
        <w:drawing>
          <wp:inline distT="0" distB="0" distL="0" distR="0" wp14:anchorId="431D3927" wp14:editId="53265E51">
            <wp:extent cx="5604206" cy="1946275"/>
            <wp:effectExtent l="0" t="0" r="1587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18754D">
        <w:rPr>
          <w:rFonts w:ascii="Times New Roman" w:hAnsi="Times New Roman" w:cs="Times New Roman"/>
          <w:sz w:val="20"/>
          <w:szCs w:val="20"/>
        </w:rPr>
        <w:t>Figure 1: Revenue/cost Drivers of Marriott Inc.</w:t>
      </w:r>
    </w:p>
    <w:p w14:paraId="2A2EFD9F" w14:textId="77777777" w:rsidR="003134FD" w:rsidRPr="00C53846" w:rsidRDefault="003134FD" w:rsidP="003134FD">
      <w:pPr>
        <w:spacing w:after="0"/>
        <w:ind w:left="360"/>
        <w:rPr>
          <w:rFonts w:ascii="Times New Roman" w:hAnsi="Times New Roman" w:cs="Times New Roman"/>
          <w:sz w:val="24"/>
          <w:szCs w:val="24"/>
        </w:rPr>
      </w:pPr>
      <w:r w:rsidRPr="00C53846">
        <w:rPr>
          <w:rFonts w:ascii="Times New Roman" w:hAnsi="Times New Roman" w:cs="Times New Roman"/>
          <w:sz w:val="24"/>
          <w:szCs w:val="24"/>
        </w:rPr>
        <w:t xml:space="preserve">The revenue drivers represented in </w:t>
      </w:r>
      <w:r w:rsidR="007F30D9">
        <w:rPr>
          <w:rFonts w:ascii="Times New Roman" w:hAnsi="Times New Roman" w:cs="Times New Roman"/>
          <w:sz w:val="24"/>
          <w:szCs w:val="24"/>
        </w:rPr>
        <w:t>Figure</w:t>
      </w:r>
      <w:r w:rsidRPr="00C53846">
        <w:rPr>
          <w:rFonts w:ascii="Times New Roman" w:hAnsi="Times New Roman" w:cs="Times New Roman"/>
          <w:sz w:val="24"/>
          <w:szCs w:val="24"/>
        </w:rPr>
        <w:t xml:space="preserve"> 1 are for two years which are   </w:t>
      </w:r>
    </w:p>
    <w:p w14:paraId="67C48404" w14:textId="77777777" w:rsidR="003134FD" w:rsidRPr="00C53846" w:rsidRDefault="003134FD" w:rsidP="003134FD">
      <w:pPr>
        <w:pStyle w:val="ListParagraph"/>
        <w:numPr>
          <w:ilvl w:val="0"/>
          <w:numId w:val="4"/>
        </w:numPr>
        <w:spacing w:after="0"/>
        <w:rPr>
          <w:rFonts w:ascii="Times New Roman" w:hAnsi="Times New Roman" w:cs="Times New Roman"/>
          <w:sz w:val="24"/>
          <w:szCs w:val="24"/>
        </w:rPr>
      </w:pPr>
      <w:r w:rsidRPr="00C53846">
        <w:rPr>
          <w:rFonts w:ascii="Times New Roman" w:hAnsi="Times New Roman" w:cs="Times New Roman"/>
          <w:sz w:val="24"/>
          <w:szCs w:val="24"/>
        </w:rPr>
        <w:t>1- Base management fees</w:t>
      </w:r>
    </w:p>
    <w:p w14:paraId="790983B0" w14:textId="77777777" w:rsidR="004D54D5" w:rsidRPr="00C53846" w:rsidRDefault="003134FD" w:rsidP="003134FD">
      <w:pPr>
        <w:pStyle w:val="ListParagraph"/>
        <w:numPr>
          <w:ilvl w:val="0"/>
          <w:numId w:val="4"/>
        </w:numPr>
        <w:spacing w:after="0"/>
        <w:rPr>
          <w:rFonts w:ascii="Times New Roman" w:hAnsi="Times New Roman" w:cs="Times New Roman"/>
          <w:sz w:val="24"/>
          <w:szCs w:val="24"/>
        </w:rPr>
      </w:pPr>
      <w:r w:rsidRPr="00C53846">
        <w:rPr>
          <w:rFonts w:ascii="Times New Roman" w:hAnsi="Times New Roman" w:cs="Times New Roman"/>
          <w:sz w:val="24"/>
          <w:szCs w:val="24"/>
        </w:rPr>
        <w:t xml:space="preserve">2- </w:t>
      </w:r>
      <w:r w:rsidR="004D54D5" w:rsidRPr="00C53846">
        <w:rPr>
          <w:rFonts w:ascii="Times New Roman" w:hAnsi="Times New Roman" w:cs="Times New Roman"/>
          <w:sz w:val="24"/>
          <w:szCs w:val="24"/>
        </w:rPr>
        <w:t>Franchise fees</w:t>
      </w:r>
    </w:p>
    <w:p w14:paraId="7D0DE8E6" w14:textId="77777777" w:rsidR="004D54D5" w:rsidRPr="00C53846" w:rsidRDefault="003134FD" w:rsidP="003134FD">
      <w:pPr>
        <w:pStyle w:val="ListParagraph"/>
        <w:numPr>
          <w:ilvl w:val="0"/>
          <w:numId w:val="4"/>
        </w:numPr>
        <w:spacing w:after="0"/>
        <w:rPr>
          <w:rFonts w:ascii="Times New Roman" w:hAnsi="Times New Roman" w:cs="Times New Roman"/>
          <w:sz w:val="24"/>
          <w:szCs w:val="24"/>
        </w:rPr>
      </w:pPr>
      <w:r w:rsidRPr="00C53846">
        <w:rPr>
          <w:rFonts w:ascii="Times New Roman" w:hAnsi="Times New Roman" w:cs="Times New Roman"/>
          <w:sz w:val="24"/>
          <w:szCs w:val="24"/>
        </w:rPr>
        <w:t xml:space="preserve">3- </w:t>
      </w:r>
      <w:r w:rsidR="004D54D5" w:rsidRPr="00C53846">
        <w:rPr>
          <w:rFonts w:ascii="Times New Roman" w:hAnsi="Times New Roman" w:cs="Times New Roman"/>
          <w:sz w:val="24"/>
          <w:szCs w:val="24"/>
        </w:rPr>
        <w:t>Incentive management fees</w:t>
      </w:r>
    </w:p>
    <w:p w14:paraId="19ACCA66" w14:textId="77777777" w:rsidR="004D54D5" w:rsidRPr="00C53846" w:rsidRDefault="003134FD" w:rsidP="003134FD">
      <w:pPr>
        <w:pStyle w:val="ListParagraph"/>
        <w:numPr>
          <w:ilvl w:val="0"/>
          <w:numId w:val="4"/>
        </w:numPr>
        <w:spacing w:after="0"/>
        <w:rPr>
          <w:rFonts w:ascii="Times New Roman" w:hAnsi="Times New Roman" w:cs="Times New Roman"/>
          <w:sz w:val="24"/>
          <w:szCs w:val="24"/>
        </w:rPr>
      </w:pPr>
      <w:r w:rsidRPr="00C53846">
        <w:rPr>
          <w:rFonts w:ascii="Times New Roman" w:hAnsi="Times New Roman" w:cs="Times New Roman"/>
          <w:sz w:val="24"/>
          <w:szCs w:val="24"/>
        </w:rPr>
        <w:t xml:space="preserve">4- </w:t>
      </w:r>
      <w:r w:rsidR="004D54D5" w:rsidRPr="00C53846">
        <w:rPr>
          <w:rFonts w:ascii="Times New Roman" w:hAnsi="Times New Roman" w:cs="Times New Roman"/>
          <w:sz w:val="24"/>
          <w:szCs w:val="24"/>
        </w:rPr>
        <w:t>Owned, leased, and other revenue</w:t>
      </w:r>
    </w:p>
    <w:p w14:paraId="14DD74DD" w14:textId="77777777" w:rsidR="00087926" w:rsidRPr="00C53846" w:rsidRDefault="003134FD" w:rsidP="003134FD">
      <w:pPr>
        <w:pStyle w:val="ListParagraph"/>
        <w:numPr>
          <w:ilvl w:val="0"/>
          <w:numId w:val="4"/>
        </w:numPr>
        <w:spacing w:after="0"/>
        <w:rPr>
          <w:rFonts w:ascii="Times New Roman" w:hAnsi="Times New Roman" w:cs="Times New Roman"/>
          <w:sz w:val="24"/>
          <w:szCs w:val="24"/>
        </w:rPr>
      </w:pPr>
      <w:r w:rsidRPr="00C53846">
        <w:rPr>
          <w:rFonts w:ascii="Times New Roman" w:hAnsi="Times New Roman" w:cs="Times New Roman"/>
          <w:sz w:val="24"/>
          <w:szCs w:val="24"/>
        </w:rPr>
        <w:t xml:space="preserve">5- </w:t>
      </w:r>
      <w:r w:rsidR="004D54D5" w:rsidRPr="00C53846">
        <w:rPr>
          <w:rFonts w:ascii="Times New Roman" w:hAnsi="Times New Roman" w:cs="Times New Roman"/>
          <w:sz w:val="24"/>
          <w:szCs w:val="24"/>
        </w:rPr>
        <w:t>Cost reimbursem</w:t>
      </w:r>
      <w:r w:rsidRPr="00C53846">
        <w:rPr>
          <w:rFonts w:ascii="Times New Roman" w:hAnsi="Times New Roman" w:cs="Times New Roman"/>
          <w:sz w:val="24"/>
          <w:szCs w:val="24"/>
        </w:rPr>
        <w:t>ent revenue</w:t>
      </w:r>
    </w:p>
    <w:p w14:paraId="0ED8F28B" w14:textId="77777777" w:rsidR="00FA0523" w:rsidRPr="00C53846" w:rsidRDefault="00FA0523" w:rsidP="00FA0523">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C53846">
        <w:rPr>
          <w:rFonts w:ascii="Times New Roman" w:hAnsi="Times New Roman" w:cs="Times New Roman"/>
          <w:noProof/>
          <w:sz w:val="24"/>
          <w:szCs w:val="24"/>
          <w:lang w:eastAsia="en-GB"/>
        </w:rPr>
        <w:drawing>
          <wp:inline distT="0" distB="0" distL="0" distR="0" wp14:anchorId="01FD1868" wp14:editId="659DEC20">
            <wp:extent cx="5731510" cy="2323841"/>
            <wp:effectExtent l="0" t="0" r="254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DD7113" w14:textId="77777777" w:rsidR="00972664" w:rsidRPr="0018754D" w:rsidRDefault="00FA0523" w:rsidP="008565DC">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18754D">
        <w:rPr>
          <w:rFonts w:ascii="Times New Roman" w:hAnsi="Times New Roman" w:cs="Times New Roman"/>
          <w:sz w:val="20"/>
          <w:szCs w:val="20"/>
        </w:rPr>
        <w:t xml:space="preserve">Figure 2: cost drivers </w:t>
      </w:r>
      <w:r w:rsidR="00911E8C" w:rsidRPr="0018754D">
        <w:rPr>
          <w:rFonts w:ascii="Times New Roman" w:hAnsi="Times New Roman" w:cs="Times New Roman"/>
          <w:sz w:val="20"/>
          <w:szCs w:val="20"/>
        </w:rPr>
        <w:t xml:space="preserve">of Marriott Inc. </w:t>
      </w:r>
      <w:r w:rsidRPr="0018754D">
        <w:rPr>
          <w:rFonts w:ascii="Times New Roman" w:hAnsi="Times New Roman" w:cs="Times New Roman"/>
          <w:sz w:val="20"/>
          <w:szCs w:val="20"/>
        </w:rPr>
        <w:t>in billion dollars</w:t>
      </w:r>
    </w:p>
    <w:p w14:paraId="5147B0AE" w14:textId="77777777" w:rsidR="00E669A5" w:rsidRPr="00C53846" w:rsidRDefault="00E669A5" w:rsidP="00E669A5">
      <w:pPr>
        <w:rPr>
          <w:rFonts w:ascii="Times New Roman" w:hAnsi="Times New Roman" w:cs="Times New Roman"/>
          <w:sz w:val="24"/>
          <w:szCs w:val="24"/>
        </w:rPr>
      </w:pPr>
      <w:r w:rsidRPr="00C53846">
        <w:rPr>
          <w:rFonts w:ascii="Times New Roman" w:hAnsi="Times New Roman" w:cs="Times New Roman"/>
          <w:b/>
          <w:sz w:val="24"/>
          <w:szCs w:val="24"/>
        </w:rPr>
        <w:t>Peers Operational Analysis</w:t>
      </w:r>
    </w:p>
    <w:p w14:paraId="4651E7B1" w14:textId="10372B09" w:rsidR="007657BC" w:rsidRPr="00C53846" w:rsidRDefault="00245546" w:rsidP="00245546">
      <w:pPr>
        <w:jc w:val="both"/>
        <w:rPr>
          <w:rFonts w:ascii="Times New Roman" w:hAnsi="Times New Roman" w:cs="Times New Roman"/>
          <w:sz w:val="24"/>
          <w:szCs w:val="24"/>
        </w:rPr>
      </w:pPr>
      <w:r w:rsidRPr="00C53846">
        <w:rPr>
          <w:rFonts w:ascii="Times New Roman" w:hAnsi="Times New Roman" w:cs="Times New Roman"/>
          <w:sz w:val="24"/>
          <w:szCs w:val="24"/>
        </w:rPr>
        <w:t>Marriott Inc. engages in fierce competition with its rivals in the hotel industry, Hyatt Hotels</w:t>
      </w:r>
      <w:r w:rsidR="007F30D9">
        <w:rPr>
          <w:rFonts w:ascii="Times New Roman" w:hAnsi="Times New Roman" w:cs="Times New Roman"/>
          <w:sz w:val="24"/>
          <w:szCs w:val="24"/>
        </w:rPr>
        <w:t>,</w:t>
      </w:r>
      <w:r w:rsidRPr="00C53846">
        <w:rPr>
          <w:rFonts w:ascii="Times New Roman" w:hAnsi="Times New Roman" w:cs="Times New Roman"/>
          <w:sz w:val="24"/>
          <w:szCs w:val="24"/>
        </w:rPr>
        <w:t xml:space="preserve"> and Hilton Worldwide are its peers. The base management fees of Marriott ($1.238 billion) in 2023 </w:t>
      </w:r>
      <w:r w:rsidR="00261184">
        <w:rPr>
          <w:rFonts w:ascii="Times New Roman" w:hAnsi="Times New Roman" w:cs="Times New Roman"/>
          <w:sz w:val="24"/>
          <w:szCs w:val="24"/>
        </w:rPr>
        <w:t>are</w:t>
      </w:r>
      <w:r w:rsidRPr="00C53846">
        <w:rPr>
          <w:rFonts w:ascii="Times New Roman" w:hAnsi="Times New Roman" w:cs="Times New Roman"/>
          <w:sz w:val="24"/>
          <w:szCs w:val="24"/>
        </w:rPr>
        <w:t xml:space="preserve"> more than th</w:t>
      </w:r>
      <w:r w:rsidR="00261184">
        <w:rPr>
          <w:rFonts w:ascii="Times New Roman" w:hAnsi="Times New Roman" w:cs="Times New Roman"/>
          <w:sz w:val="24"/>
          <w:szCs w:val="24"/>
        </w:rPr>
        <w:t>ose</w:t>
      </w:r>
      <w:r w:rsidRPr="00C53846">
        <w:rPr>
          <w:rFonts w:ascii="Times New Roman" w:hAnsi="Times New Roman" w:cs="Times New Roman"/>
          <w:sz w:val="24"/>
          <w:szCs w:val="24"/>
        </w:rPr>
        <w:t xml:space="preserve"> of Hilton Worldwide ($0.342 billion) and </w:t>
      </w:r>
      <w:r w:rsidR="00577EF4" w:rsidRPr="00C53846">
        <w:rPr>
          <w:rFonts w:ascii="Times New Roman" w:hAnsi="Times New Roman" w:cs="Times New Roman"/>
          <w:sz w:val="24"/>
          <w:szCs w:val="24"/>
        </w:rPr>
        <w:t xml:space="preserve">Hyatt </w:t>
      </w:r>
      <w:r w:rsidR="007F30D9">
        <w:rPr>
          <w:rFonts w:ascii="Times New Roman" w:hAnsi="Times New Roman" w:cs="Times New Roman"/>
          <w:sz w:val="24"/>
          <w:szCs w:val="24"/>
        </w:rPr>
        <w:t>Hotels</w:t>
      </w:r>
      <w:r w:rsidR="00577EF4" w:rsidRPr="00C53846">
        <w:rPr>
          <w:rFonts w:ascii="Times New Roman" w:hAnsi="Times New Roman" w:cs="Times New Roman"/>
          <w:sz w:val="24"/>
          <w:szCs w:val="24"/>
        </w:rPr>
        <w:t xml:space="preserve"> ($</w:t>
      </w:r>
      <w:r w:rsidR="002465DF" w:rsidRPr="00C53846">
        <w:rPr>
          <w:rFonts w:ascii="Times New Roman" w:hAnsi="Times New Roman" w:cs="Times New Roman"/>
          <w:sz w:val="24"/>
          <w:szCs w:val="24"/>
        </w:rPr>
        <w:t>0.985</w:t>
      </w:r>
      <w:r w:rsidR="00577EF4" w:rsidRPr="00C53846">
        <w:rPr>
          <w:rFonts w:ascii="Times New Roman" w:hAnsi="Times New Roman" w:cs="Times New Roman"/>
          <w:sz w:val="24"/>
          <w:szCs w:val="24"/>
        </w:rPr>
        <w:t xml:space="preserve"> billion)</w:t>
      </w:r>
      <w:r w:rsidR="002465DF" w:rsidRPr="00C53846">
        <w:rPr>
          <w:rFonts w:ascii="Times New Roman" w:hAnsi="Times New Roman" w:cs="Times New Roman"/>
          <w:sz w:val="24"/>
          <w:szCs w:val="24"/>
        </w:rPr>
        <w:t>.</w:t>
      </w:r>
      <w:r w:rsidRPr="00C53846">
        <w:rPr>
          <w:rFonts w:ascii="Times New Roman" w:hAnsi="Times New Roman" w:cs="Times New Roman"/>
          <w:sz w:val="24"/>
          <w:szCs w:val="24"/>
        </w:rPr>
        <w:t xml:space="preserve"> </w:t>
      </w:r>
      <w:r w:rsidR="002465DF" w:rsidRPr="00C53846">
        <w:rPr>
          <w:rFonts w:ascii="Times New Roman" w:hAnsi="Times New Roman" w:cs="Times New Roman"/>
          <w:sz w:val="24"/>
          <w:szCs w:val="24"/>
        </w:rPr>
        <w:t>Also, the</w:t>
      </w:r>
      <w:r w:rsidRPr="00C53846">
        <w:rPr>
          <w:rFonts w:ascii="Times New Roman" w:hAnsi="Times New Roman" w:cs="Times New Roman"/>
          <w:sz w:val="24"/>
          <w:szCs w:val="24"/>
        </w:rPr>
        <w:t xml:space="preserve"> cost reimbursements from manage</w:t>
      </w:r>
      <w:r w:rsidR="002465DF" w:rsidRPr="00C53846">
        <w:rPr>
          <w:rFonts w:ascii="Times New Roman" w:hAnsi="Times New Roman" w:cs="Times New Roman"/>
          <w:sz w:val="24"/>
          <w:szCs w:val="24"/>
        </w:rPr>
        <w:t xml:space="preserve">d properties of Hilton Worldwide and Hyatt </w:t>
      </w:r>
      <w:r w:rsidR="007F30D9">
        <w:rPr>
          <w:rFonts w:ascii="Times New Roman" w:hAnsi="Times New Roman" w:cs="Times New Roman"/>
          <w:sz w:val="24"/>
          <w:szCs w:val="24"/>
        </w:rPr>
        <w:t>Hotels</w:t>
      </w:r>
      <w:r w:rsidR="002465DF" w:rsidRPr="00C53846">
        <w:rPr>
          <w:rFonts w:ascii="Times New Roman" w:hAnsi="Times New Roman" w:cs="Times New Roman"/>
          <w:sz w:val="24"/>
          <w:szCs w:val="24"/>
        </w:rPr>
        <w:t>, are approximately 71</w:t>
      </w:r>
      <w:r w:rsidRPr="00C53846">
        <w:rPr>
          <w:rFonts w:ascii="Times New Roman" w:hAnsi="Times New Roman" w:cs="Times New Roman"/>
          <w:sz w:val="24"/>
          <w:szCs w:val="24"/>
        </w:rPr>
        <w:t xml:space="preserve">% </w:t>
      </w:r>
      <w:r w:rsidR="002465DF" w:rsidRPr="00C53846">
        <w:rPr>
          <w:rFonts w:ascii="Times New Roman" w:hAnsi="Times New Roman" w:cs="Times New Roman"/>
          <w:sz w:val="24"/>
          <w:szCs w:val="24"/>
        </w:rPr>
        <w:t xml:space="preserve">and 83% </w:t>
      </w:r>
      <w:r w:rsidR="004A4296" w:rsidRPr="00C53846">
        <w:rPr>
          <w:rFonts w:ascii="Times New Roman" w:hAnsi="Times New Roman" w:cs="Times New Roman"/>
          <w:sz w:val="24"/>
          <w:szCs w:val="24"/>
        </w:rPr>
        <w:t xml:space="preserve">respectively </w:t>
      </w:r>
      <w:r w:rsidRPr="00C53846">
        <w:rPr>
          <w:rFonts w:ascii="Times New Roman" w:hAnsi="Times New Roman" w:cs="Times New Roman"/>
          <w:sz w:val="24"/>
          <w:szCs w:val="24"/>
        </w:rPr>
        <w:t>less than Marriott's, Hilton</w:t>
      </w:r>
      <w:r w:rsidR="002465DF" w:rsidRPr="00C53846">
        <w:rPr>
          <w:rFonts w:ascii="Times New Roman" w:hAnsi="Times New Roman" w:cs="Times New Roman"/>
          <w:sz w:val="24"/>
          <w:szCs w:val="24"/>
        </w:rPr>
        <w:t>.</w:t>
      </w:r>
      <w:r w:rsidRPr="00C53846">
        <w:rPr>
          <w:rFonts w:ascii="Times New Roman" w:hAnsi="Times New Roman" w:cs="Times New Roman"/>
          <w:sz w:val="24"/>
          <w:szCs w:val="24"/>
        </w:rPr>
        <w:t xml:space="preserve"> </w:t>
      </w:r>
      <w:r w:rsidR="004A4296" w:rsidRPr="00C53846">
        <w:rPr>
          <w:rFonts w:ascii="Times New Roman" w:hAnsi="Times New Roman" w:cs="Times New Roman"/>
          <w:sz w:val="24"/>
          <w:szCs w:val="24"/>
        </w:rPr>
        <w:t xml:space="preserve">In 2023 Hyatt </w:t>
      </w:r>
      <w:r w:rsidR="007F30D9">
        <w:rPr>
          <w:rFonts w:ascii="Times New Roman" w:hAnsi="Times New Roman" w:cs="Times New Roman"/>
          <w:sz w:val="24"/>
          <w:szCs w:val="24"/>
        </w:rPr>
        <w:t>Hotels</w:t>
      </w:r>
      <w:r w:rsidR="004A4296" w:rsidRPr="00C53846">
        <w:rPr>
          <w:rFonts w:ascii="Times New Roman" w:hAnsi="Times New Roman" w:cs="Times New Roman"/>
          <w:sz w:val="24"/>
          <w:szCs w:val="24"/>
        </w:rPr>
        <w:t xml:space="preserve"> and Hilton </w:t>
      </w:r>
      <w:r w:rsidR="007F30D9">
        <w:rPr>
          <w:rFonts w:ascii="Times New Roman" w:hAnsi="Times New Roman" w:cs="Times New Roman"/>
          <w:sz w:val="24"/>
          <w:szCs w:val="24"/>
        </w:rPr>
        <w:t>Worldwide's</w:t>
      </w:r>
      <w:r w:rsidR="004A4296" w:rsidRPr="00C53846">
        <w:rPr>
          <w:rFonts w:ascii="Times New Roman" w:hAnsi="Times New Roman" w:cs="Times New Roman"/>
          <w:sz w:val="24"/>
          <w:szCs w:val="24"/>
        </w:rPr>
        <w:t xml:space="preserve"> total </w:t>
      </w:r>
      <w:r w:rsidR="00A51009">
        <w:rPr>
          <w:rFonts w:ascii="Times New Roman" w:hAnsi="Times New Roman" w:cs="Times New Roman"/>
          <w:sz w:val="24"/>
          <w:szCs w:val="24"/>
        </w:rPr>
        <w:t>revenue</w:t>
      </w:r>
      <w:r w:rsidR="004A4296" w:rsidRPr="00C53846">
        <w:rPr>
          <w:rFonts w:ascii="Times New Roman" w:hAnsi="Times New Roman" w:cs="Times New Roman"/>
          <w:sz w:val="24"/>
          <w:szCs w:val="24"/>
        </w:rPr>
        <w:t xml:space="preserve"> are $6.7 billion and $10 billion respectively</w:t>
      </w:r>
      <w:r w:rsidR="002E6DF4" w:rsidRPr="00C53846">
        <w:rPr>
          <w:rFonts w:ascii="Times New Roman" w:hAnsi="Times New Roman" w:cs="Times New Roman"/>
          <w:sz w:val="24"/>
          <w:szCs w:val="24"/>
        </w:rPr>
        <w:t xml:space="preserve"> and the percentage of cost reimbursements from managed properties on total revenue are about </w:t>
      </w:r>
      <w:r w:rsidR="002E6DF4" w:rsidRPr="00C53846">
        <w:rPr>
          <w:rFonts w:ascii="Times New Roman" w:hAnsi="Times New Roman" w:cs="Times New Roman"/>
          <w:sz w:val="24"/>
          <w:szCs w:val="24"/>
        </w:rPr>
        <w:lastRenderedPageBreak/>
        <w:t xml:space="preserve">46% and 57% respectively. Similarly, Marriott Inc. peers (Hilton Worldwide and Hyatt </w:t>
      </w:r>
      <w:r w:rsidR="007F30D9">
        <w:rPr>
          <w:rFonts w:ascii="Times New Roman" w:hAnsi="Times New Roman" w:cs="Times New Roman"/>
          <w:sz w:val="24"/>
          <w:szCs w:val="24"/>
        </w:rPr>
        <w:t>Hotels</w:t>
      </w:r>
      <w:r w:rsidR="002E6DF4" w:rsidRPr="00C53846">
        <w:rPr>
          <w:rFonts w:ascii="Times New Roman" w:hAnsi="Times New Roman" w:cs="Times New Roman"/>
          <w:sz w:val="24"/>
          <w:szCs w:val="24"/>
        </w:rPr>
        <w:t xml:space="preserve">) have lower </w:t>
      </w:r>
      <w:r w:rsidR="007F30D9">
        <w:rPr>
          <w:rFonts w:ascii="Times New Roman" w:hAnsi="Times New Roman" w:cs="Times New Roman"/>
          <w:sz w:val="24"/>
          <w:szCs w:val="24"/>
        </w:rPr>
        <w:t>reimbursement</w:t>
      </w:r>
      <w:r w:rsidR="002E6DF4" w:rsidRPr="00C53846">
        <w:rPr>
          <w:rFonts w:ascii="Times New Roman" w:hAnsi="Times New Roman" w:cs="Times New Roman"/>
          <w:sz w:val="24"/>
          <w:szCs w:val="24"/>
        </w:rPr>
        <w:t xml:space="preserve"> expenses to total cost compared to Marriott Inc. which has 87% </w:t>
      </w:r>
      <w:r w:rsidR="007F30D9">
        <w:rPr>
          <w:rFonts w:ascii="Times New Roman" w:hAnsi="Times New Roman" w:cs="Times New Roman"/>
          <w:sz w:val="24"/>
          <w:szCs w:val="24"/>
        </w:rPr>
        <w:t>reimbursement</w:t>
      </w:r>
      <w:r w:rsidR="002E6DF4" w:rsidRPr="00C53846">
        <w:rPr>
          <w:rFonts w:ascii="Times New Roman" w:hAnsi="Times New Roman" w:cs="Times New Roman"/>
          <w:sz w:val="24"/>
          <w:szCs w:val="24"/>
        </w:rPr>
        <w:t xml:space="preserve"> expenses to total cost. Thus, </w:t>
      </w:r>
      <w:r w:rsidRPr="00C53846">
        <w:rPr>
          <w:rFonts w:ascii="Times New Roman" w:hAnsi="Times New Roman" w:cs="Times New Roman"/>
          <w:sz w:val="24"/>
          <w:szCs w:val="24"/>
        </w:rPr>
        <w:t xml:space="preserve">Marriott ranked first with 73% of cost reimbursements, followed by Hilton with 57% and Hyatt </w:t>
      </w:r>
      <w:r w:rsidR="002E6DF4" w:rsidRPr="00C53846">
        <w:rPr>
          <w:rFonts w:ascii="Times New Roman" w:hAnsi="Times New Roman" w:cs="Times New Roman"/>
          <w:sz w:val="24"/>
          <w:szCs w:val="24"/>
        </w:rPr>
        <w:t>with 46%</w:t>
      </w:r>
      <w:r w:rsidRPr="00C53846">
        <w:rPr>
          <w:rFonts w:ascii="Times New Roman" w:hAnsi="Times New Roman" w:cs="Times New Roman"/>
          <w:sz w:val="24"/>
          <w:szCs w:val="24"/>
        </w:rPr>
        <w:t>.</w:t>
      </w:r>
    </w:p>
    <w:p w14:paraId="4F323B08" w14:textId="77777777" w:rsidR="0018754D" w:rsidRPr="0018754D" w:rsidRDefault="0018754D" w:rsidP="0018754D">
      <w:pPr>
        <w:rPr>
          <w:rFonts w:ascii="Times New Roman" w:hAnsi="Times New Roman" w:cs="Times New Roman"/>
          <w:b/>
          <w:sz w:val="24"/>
          <w:szCs w:val="24"/>
          <w:lang w:val="en-US"/>
        </w:rPr>
      </w:pPr>
      <w:r w:rsidRPr="0018754D">
        <w:rPr>
          <w:rFonts w:ascii="Times New Roman" w:hAnsi="Times New Roman" w:cs="Times New Roman"/>
          <w:b/>
          <w:sz w:val="24"/>
          <w:szCs w:val="24"/>
          <w:lang w:val="en-US"/>
        </w:rPr>
        <w:t>Johnson &amp; Johnson for FY</w:t>
      </w:r>
      <w:r w:rsidR="00ED57FA">
        <w:rPr>
          <w:rFonts w:ascii="Times New Roman" w:hAnsi="Times New Roman" w:cs="Times New Roman"/>
          <w:b/>
          <w:sz w:val="24"/>
          <w:szCs w:val="24"/>
          <w:lang w:val="en-US"/>
        </w:rPr>
        <w:t>20</w:t>
      </w:r>
      <w:r w:rsidRPr="0018754D">
        <w:rPr>
          <w:rFonts w:ascii="Times New Roman" w:hAnsi="Times New Roman" w:cs="Times New Roman"/>
          <w:b/>
          <w:sz w:val="24"/>
          <w:szCs w:val="24"/>
          <w:lang w:val="en-US"/>
        </w:rPr>
        <w:t>22</w:t>
      </w:r>
      <w:r w:rsidR="00ED57FA">
        <w:rPr>
          <w:rFonts w:ascii="Times New Roman" w:hAnsi="Times New Roman" w:cs="Times New Roman"/>
          <w:b/>
          <w:sz w:val="24"/>
          <w:szCs w:val="24"/>
          <w:lang w:val="en-US"/>
        </w:rPr>
        <w:t xml:space="preserve"> and FY2023</w:t>
      </w:r>
    </w:p>
    <w:p w14:paraId="550F718E" w14:textId="77777777" w:rsidR="0018754D" w:rsidRPr="0018754D" w:rsidRDefault="0018754D" w:rsidP="0018754D">
      <w:pPr>
        <w:rPr>
          <w:rFonts w:ascii="Times New Roman" w:hAnsi="Times New Roman" w:cs="Times New Roman"/>
          <w:b/>
          <w:sz w:val="24"/>
          <w:szCs w:val="24"/>
          <w:lang w:val="en-US"/>
        </w:rPr>
      </w:pPr>
      <w:r w:rsidRPr="0018754D">
        <w:rPr>
          <w:rFonts w:ascii="Times New Roman" w:hAnsi="Times New Roman" w:cs="Times New Roman"/>
          <w:b/>
          <w:sz w:val="24"/>
          <w:szCs w:val="24"/>
          <w:lang w:val="en-US"/>
        </w:rPr>
        <w:t>Revenue Drivers</w:t>
      </w:r>
    </w:p>
    <w:p w14:paraId="4C8431A5" w14:textId="77777777" w:rsidR="0018754D" w:rsidRPr="00261184" w:rsidRDefault="0018754D" w:rsidP="0018754D">
      <w:pPr>
        <w:rPr>
          <w:rFonts w:ascii="Times New Roman" w:eastAsia="Times New Roman" w:hAnsi="Times New Roman" w:cs="Times New Roman"/>
          <w:sz w:val="24"/>
          <w:szCs w:val="24"/>
          <w:lang w:eastAsia="en-GB"/>
        </w:rPr>
      </w:pPr>
      <w:r w:rsidRPr="00261184">
        <w:rPr>
          <w:rFonts w:ascii="Times New Roman" w:hAnsi="Times New Roman" w:cs="Times New Roman"/>
          <w:sz w:val="24"/>
          <w:szCs w:val="24"/>
          <w:lang w:val="en-US"/>
        </w:rPr>
        <w:t xml:space="preserve">Johnson &amp; Johnson Inc. </w:t>
      </w:r>
      <w:r w:rsidR="00ED57FA" w:rsidRPr="00261184">
        <w:rPr>
          <w:rFonts w:ascii="Times New Roman" w:hAnsi="Times New Roman" w:cs="Times New Roman"/>
          <w:sz w:val="24"/>
          <w:szCs w:val="24"/>
          <w:lang w:val="en-US"/>
        </w:rPr>
        <w:t xml:space="preserve">is a pharmaceutical company in the healthcare </w:t>
      </w:r>
      <w:r w:rsidR="00D80725" w:rsidRPr="00261184">
        <w:rPr>
          <w:rFonts w:ascii="Times New Roman" w:hAnsi="Times New Roman" w:cs="Times New Roman"/>
          <w:sz w:val="24"/>
          <w:szCs w:val="24"/>
          <w:lang w:val="en-US"/>
        </w:rPr>
        <w:t xml:space="preserve">sector </w:t>
      </w:r>
      <w:r w:rsidR="00D80725" w:rsidRPr="00261184">
        <w:rPr>
          <w:rFonts w:ascii="Times New Roman" w:eastAsia="Times New Roman" w:hAnsi="Times New Roman" w:cs="Times New Roman"/>
          <w:sz w:val="24"/>
          <w:szCs w:val="24"/>
          <w:lang w:eastAsia="en-GB"/>
        </w:rPr>
        <w:t>with sales all across the world. The company</w:t>
      </w:r>
      <w:r w:rsidR="00C530A6" w:rsidRPr="00261184">
        <w:rPr>
          <w:rFonts w:ascii="Times New Roman" w:eastAsia="Times New Roman" w:hAnsi="Times New Roman" w:cs="Times New Roman"/>
          <w:sz w:val="24"/>
          <w:szCs w:val="24"/>
          <w:lang w:eastAsia="en-GB"/>
        </w:rPr>
        <w:t>'s revenue is derived from these</w:t>
      </w:r>
      <w:r w:rsidR="00D80725" w:rsidRPr="00261184">
        <w:rPr>
          <w:rFonts w:ascii="Times New Roman" w:eastAsia="Times New Roman" w:hAnsi="Times New Roman" w:cs="Times New Roman"/>
          <w:sz w:val="24"/>
          <w:szCs w:val="24"/>
          <w:lang w:eastAsia="en-GB"/>
        </w:rPr>
        <w:t xml:space="preserve"> primary segments:</w:t>
      </w:r>
    </w:p>
    <w:p w14:paraId="067177B6" w14:textId="77777777" w:rsidR="00C530A6" w:rsidRPr="00261184" w:rsidRDefault="00C530A6" w:rsidP="00D80725">
      <w:pPr>
        <w:numPr>
          <w:ilvl w:val="0"/>
          <w:numId w:val="8"/>
        </w:numPr>
        <w:spacing w:after="0"/>
        <w:rPr>
          <w:rFonts w:ascii="Times New Roman" w:hAnsi="Times New Roman" w:cs="Times New Roman"/>
          <w:sz w:val="24"/>
          <w:szCs w:val="24"/>
          <w:lang w:val="en-US"/>
        </w:rPr>
      </w:pPr>
      <w:r w:rsidRPr="00261184">
        <w:rPr>
          <w:rFonts w:ascii="Times New Roman" w:hAnsi="Times New Roman" w:cs="Times New Roman"/>
          <w:sz w:val="24"/>
          <w:szCs w:val="24"/>
        </w:rPr>
        <w:t xml:space="preserve">Innovative Medicine segment </w:t>
      </w:r>
    </w:p>
    <w:p w14:paraId="4A0A42C1" w14:textId="77777777" w:rsidR="0018754D" w:rsidRPr="00261184" w:rsidRDefault="0018754D" w:rsidP="00311FCC">
      <w:pPr>
        <w:numPr>
          <w:ilvl w:val="0"/>
          <w:numId w:val="8"/>
        </w:numPr>
        <w:rPr>
          <w:rFonts w:ascii="Times New Roman" w:hAnsi="Times New Roman" w:cs="Times New Roman"/>
          <w:sz w:val="24"/>
          <w:szCs w:val="24"/>
          <w:lang w:val="en-US"/>
        </w:rPr>
      </w:pPr>
      <w:r w:rsidRPr="00261184">
        <w:rPr>
          <w:rFonts w:ascii="Times New Roman" w:hAnsi="Times New Roman" w:cs="Times New Roman"/>
          <w:sz w:val="24"/>
          <w:szCs w:val="24"/>
          <w:lang w:val="en-US"/>
        </w:rPr>
        <w:t>MedTech Segment.</w:t>
      </w:r>
    </w:p>
    <w:p w14:paraId="06AFC474" w14:textId="77777777" w:rsidR="00C530A6" w:rsidRDefault="00C530A6" w:rsidP="00C530A6">
      <w:pPr>
        <w:spacing w:after="240"/>
        <w:jc w:val="both"/>
        <w:rPr>
          <w:rFonts w:ascii="Times New Roman" w:eastAsia="Times New Roman" w:hAnsi="Times New Roman" w:cs="Times New Roman"/>
          <w:sz w:val="24"/>
          <w:szCs w:val="24"/>
          <w:lang w:eastAsia="en-GB"/>
        </w:rPr>
      </w:pPr>
      <w:r w:rsidRPr="00C530A6">
        <w:rPr>
          <w:rFonts w:ascii="Times New Roman" w:eastAsia="Times New Roman" w:hAnsi="Times New Roman" w:cs="Times New Roman"/>
          <w:sz w:val="24"/>
          <w:szCs w:val="24"/>
          <w:lang w:eastAsia="en-GB"/>
        </w:rPr>
        <w:t>With operational growth of 4.8% and a negative currency impact of 0.6%, the Innovative Medicine segment's revenues in 2023 increased by 4.2% to $54.8 billion from 2022. Sales in the United States increased by 9.0% to $31.2 billion. With an operational decline of 0.2% and a negative currency impact of 1.3%, international sales came in at $23.6 billion, a 1.5% decline. Acquisitions and divestitures had a net adverse effect on the operational sales growth of the global Innovative Medi</w:t>
      </w:r>
      <w:r>
        <w:rPr>
          <w:rFonts w:ascii="Times New Roman" w:eastAsia="Times New Roman" w:hAnsi="Times New Roman" w:cs="Times New Roman"/>
          <w:sz w:val="24"/>
          <w:szCs w:val="24"/>
          <w:lang w:eastAsia="en-GB"/>
        </w:rPr>
        <w:t xml:space="preserve">cine segment in 2023 of 0.1%. </w:t>
      </w:r>
      <w:r w:rsidRPr="00C530A6">
        <w:rPr>
          <w:rFonts w:ascii="Times New Roman" w:eastAsia="Times New Roman" w:hAnsi="Times New Roman" w:cs="Times New Roman"/>
          <w:sz w:val="24"/>
          <w:szCs w:val="24"/>
          <w:lang w:eastAsia="en-GB"/>
        </w:rPr>
        <w:t xml:space="preserve">Sales for the MedTech segment reached $30.4 billion in 2023, an increase of 10.8% from 2022. This gain was due to operational expansion of 12.4% and a 1.6% negative currency impact. Sales in the United States reached $15.3 billion, a 14.2% rise over the previous year. With operational growth of 10.6% and a 2.9% negative currency impact, international sales increased to $15.1 billion, a 7.7% increase from the previous year. The acquisition of </w:t>
      </w:r>
      <w:proofErr w:type="spellStart"/>
      <w:r w:rsidRPr="00C530A6">
        <w:rPr>
          <w:rFonts w:ascii="Times New Roman" w:eastAsia="Times New Roman" w:hAnsi="Times New Roman" w:cs="Times New Roman"/>
          <w:sz w:val="24"/>
          <w:szCs w:val="24"/>
          <w:lang w:eastAsia="en-GB"/>
        </w:rPr>
        <w:t>Abiomed</w:t>
      </w:r>
      <w:proofErr w:type="spellEnd"/>
      <w:r w:rsidRPr="00C530A6">
        <w:rPr>
          <w:rFonts w:ascii="Times New Roman" w:eastAsia="Times New Roman" w:hAnsi="Times New Roman" w:cs="Times New Roman"/>
          <w:sz w:val="24"/>
          <w:szCs w:val="24"/>
          <w:lang w:eastAsia="en-GB"/>
        </w:rPr>
        <w:t xml:space="preserve"> was the main factor contributing to the net positive 4.6% growth in operational sales growth of the MedTech segment globally in 2023, as a result of a</w:t>
      </w:r>
      <w:r>
        <w:rPr>
          <w:rFonts w:ascii="Times New Roman" w:eastAsia="Times New Roman" w:hAnsi="Times New Roman" w:cs="Times New Roman"/>
          <w:sz w:val="24"/>
          <w:szCs w:val="24"/>
          <w:lang w:eastAsia="en-GB"/>
        </w:rPr>
        <w:t xml:space="preserve">cquisitions and divestitures. </w:t>
      </w:r>
    </w:p>
    <w:p w14:paraId="20103D8E" w14:textId="77777777" w:rsidR="0018754D" w:rsidRPr="00144D95" w:rsidRDefault="0018754D" w:rsidP="0018754D">
      <w:pPr>
        <w:rPr>
          <w:rFonts w:ascii="Times New Roman" w:hAnsi="Times New Roman" w:cs="Times New Roman"/>
          <w:b/>
          <w:sz w:val="24"/>
          <w:szCs w:val="24"/>
          <w:lang w:val="en-US"/>
        </w:rPr>
      </w:pPr>
      <w:r w:rsidRPr="00144D95">
        <w:rPr>
          <w:rFonts w:ascii="Times New Roman" w:hAnsi="Times New Roman" w:cs="Times New Roman"/>
          <w:b/>
          <w:sz w:val="24"/>
          <w:szCs w:val="24"/>
          <w:lang w:val="en-US"/>
        </w:rPr>
        <w:t>Operating Cost Drivers</w:t>
      </w:r>
    </w:p>
    <w:p w14:paraId="2A1638E5" w14:textId="77777777" w:rsidR="0018754D" w:rsidRPr="00C530A6" w:rsidRDefault="0018754D" w:rsidP="0018754D">
      <w:pPr>
        <w:rPr>
          <w:rFonts w:ascii="Times New Roman" w:hAnsi="Times New Roman" w:cs="Times New Roman"/>
          <w:sz w:val="24"/>
          <w:szCs w:val="24"/>
          <w:lang w:val="en-US"/>
        </w:rPr>
      </w:pPr>
      <w:r w:rsidRPr="00C530A6">
        <w:rPr>
          <w:rFonts w:ascii="Times New Roman" w:hAnsi="Times New Roman" w:cs="Times New Roman"/>
          <w:sz w:val="24"/>
          <w:szCs w:val="24"/>
          <w:lang w:val="en-US"/>
        </w:rPr>
        <w:t xml:space="preserve">The operational </w:t>
      </w:r>
      <w:r w:rsidR="007F30D9">
        <w:rPr>
          <w:rFonts w:ascii="Times New Roman" w:hAnsi="Times New Roman" w:cs="Times New Roman"/>
          <w:sz w:val="24"/>
          <w:szCs w:val="24"/>
          <w:lang w:val="en-US"/>
        </w:rPr>
        <w:t>costs</w:t>
      </w:r>
      <w:r w:rsidRPr="00C530A6">
        <w:rPr>
          <w:rFonts w:ascii="Times New Roman" w:hAnsi="Times New Roman" w:cs="Times New Roman"/>
          <w:sz w:val="24"/>
          <w:szCs w:val="24"/>
          <w:lang w:val="en-US"/>
        </w:rPr>
        <w:t xml:space="preserve"> f</w:t>
      </w:r>
      <w:r w:rsidR="00C530A6" w:rsidRPr="00C530A6">
        <w:rPr>
          <w:rFonts w:ascii="Times New Roman" w:hAnsi="Times New Roman" w:cs="Times New Roman"/>
          <w:sz w:val="24"/>
          <w:szCs w:val="24"/>
          <w:lang w:val="en-US"/>
        </w:rPr>
        <w:t>or the company are</w:t>
      </w:r>
    </w:p>
    <w:p w14:paraId="31916788" w14:textId="77777777" w:rsidR="0018754D" w:rsidRPr="00C530A6" w:rsidRDefault="0018754D" w:rsidP="00C530A6">
      <w:pPr>
        <w:numPr>
          <w:ilvl w:val="0"/>
          <w:numId w:val="9"/>
        </w:numPr>
        <w:spacing w:after="0"/>
        <w:rPr>
          <w:rFonts w:ascii="Times New Roman" w:hAnsi="Times New Roman" w:cs="Times New Roman"/>
          <w:sz w:val="24"/>
          <w:szCs w:val="24"/>
          <w:lang w:val="en-US"/>
        </w:rPr>
      </w:pPr>
      <w:r w:rsidRPr="00C530A6">
        <w:rPr>
          <w:rFonts w:ascii="Times New Roman" w:hAnsi="Times New Roman" w:cs="Times New Roman"/>
          <w:sz w:val="24"/>
          <w:szCs w:val="24"/>
          <w:lang w:val="en-US"/>
        </w:rPr>
        <w:t>Cost for goods sold,</w:t>
      </w:r>
    </w:p>
    <w:p w14:paraId="323DAB0B" w14:textId="77777777" w:rsidR="0018754D" w:rsidRPr="00C530A6" w:rsidRDefault="0018754D" w:rsidP="00C530A6">
      <w:pPr>
        <w:numPr>
          <w:ilvl w:val="0"/>
          <w:numId w:val="9"/>
        </w:numPr>
        <w:spacing w:after="0"/>
        <w:rPr>
          <w:rFonts w:ascii="Times New Roman" w:hAnsi="Times New Roman" w:cs="Times New Roman"/>
          <w:sz w:val="24"/>
          <w:szCs w:val="24"/>
          <w:lang w:val="en-US"/>
        </w:rPr>
      </w:pPr>
      <w:r w:rsidRPr="00C530A6">
        <w:rPr>
          <w:rFonts w:ascii="Times New Roman" w:hAnsi="Times New Roman" w:cs="Times New Roman"/>
          <w:sz w:val="24"/>
          <w:szCs w:val="24"/>
          <w:lang w:val="en-US"/>
        </w:rPr>
        <w:t>Selling, Marketing, and Administrative,</w:t>
      </w:r>
    </w:p>
    <w:p w14:paraId="02D78849" w14:textId="77777777" w:rsidR="0018754D" w:rsidRPr="00144D95" w:rsidRDefault="0018754D" w:rsidP="00C530A6">
      <w:pPr>
        <w:numPr>
          <w:ilvl w:val="0"/>
          <w:numId w:val="9"/>
        </w:numPr>
        <w:rPr>
          <w:rFonts w:ascii="Times New Roman" w:hAnsi="Times New Roman" w:cs="Times New Roman"/>
          <w:b/>
          <w:sz w:val="24"/>
          <w:szCs w:val="24"/>
          <w:lang w:val="en-US"/>
        </w:rPr>
      </w:pPr>
      <w:r w:rsidRPr="00C530A6">
        <w:rPr>
          <w:rFonts w:ascii="Times New Roman" w:hAnsi="Times New Roman" w:cs="Times New Roman"/>
          <w:sz w:val="24"/>
          <w:szCs w:val="24"/>
          <w:lang w:val="en-US"/>
        </w:rPr>
        <w:t>Research and Development</w:t>
      </w:r>
      <w:r w:rsidRPr="00144D95">
        <w:rPr>
          <w:rFonts w:ascii="Times New Roman" w:hAnsi="Times New Roman" w:cs="Times New Roman"/>
          <w:b/>
          <w:sz w:val="24"/>
          <w:szCs w:val="24"/>
          <w:lang w:val="en-US"/>
        </w:rPr>
        <w:t>.</w:t>
      </w:r>
    </w:p>
    <w:p w14:paraId="21941058" w14:textId="77777777" w:rsidR="00AD05A5" w:rsidRDefault="007F30D9" w:rsidP="00AD05A5">
      <w:pPr>
        <w:jc w:val="both"/>
        <w:rPr>
          <w:rFonts w:ascii="Times New Roman" w:eastAsia="Times New Roman" w:hAnsi="Times New Roman" w:cs="Times New Roman"/>
          <w:sz w:val="24"/>
          <w:szCs w:val="24"/>
          <w:lang w:eastAsia="en-GB"/>
        </w:rPr>
      </w:pPr>
      <w:r>
        <w:rPr>
          <w:rFonts w:ascii="Times New Roman" w:hAnsi="Times New Roman" w:cs="Times New Roman"/>
          <w:sz w:val="24"/>
          <w:szCs w:val="24"/>
          <w:lang w:val="en-US"/>
        </w:rPr>
        <w:t>The cost</w:t>
      </w:r>
      <w:r w:rsidR="0018754D" w:rsidRPr="005667C5">
        <w:rPr>
          <w:rFonts w:ascii="Times New Roman" w:hAnsi="Times New Roman" w:cs="Times New Roman"/>
          <w:sz w:val="24"/>
          <w:szCs w:val="24"/>
          <w:lang w:val="en-US"/>
        </w:rPr>
        <w:t xml:space="preserve"> of goods sold </w:t>
      </w:r>
      <w:r w:rsidR="005667C5" w:rsidRPr="005667C5">
        <w:rPr>
          <w:rFonts w:ascii="Times New Roman" w:hAnsi="Times New Roman" w:cs="Times New Roman"/>
          <w:sz w:val="24"/>
          <w:szCs w:val="24"/>
          <w:lang w:val="en-US"/>
        </w:rPr>
        <w:t>in 2023 is $</w:t>
      </w:r>
      <w:r w:rsidR="005667C5" w:rsidRPr="005667C5">
        <w:t xml:space="preserve">26.553 </w:t>
      </w:r>
      <w:r>
        <w:rPr>
          <w:rFonts w:ascii="Times New Roman" w:hAnsi="Times New Roman" w:cs="Times New Roman"/>
          <w:sz w:val="24"/>
          <w:szCs w:val="24"/>
          <w:lang w:val="en-US"/>
        </w:rPr>
        <w:t>billion</w:t>
      </w:r>
      <w:r w:rsidR="005667C5" w:rsidRPr="005667C5">
        <w:rPr>
          <w:rFonts w:ascii="Times New Roman" w:hAnsi="Times New Roman" w:cs="Times New Roman"/>
          <w:sz w:val="24"/>
          <w:szCs w:val="24"/>
          <w:lang w:val="en-US"/>
        </w:rPr>
        <w:t xml:space="preserve"> from $24.596 billion in 2022, a decrease of </w:t>
      </w:r>
      <w:r w:rsidR="004D24E8">
        <w:rPr>
          <w:rFonts w:ascii="Times New Roman" w:hAnsi="Times New Roman" w:cs="Times New Roman"/>
          <w:sz w:val="24"/>
          <w:szCs w:val="24"/>
          <w:lang w:val="en-US"/>
        </w:rPr>
        <w:t>$</w:t>
      </w:r>
      <w:r w:rsidR="005667C5" w:rsidRPr="005667C5">
        <w:rPr>
          <w:rFonts w:ascii="Times New Roman" w:hAnsi="Times New Roman" w:cs="Times New Roman"/>
          <w:sz w:val="24"/>
          <w:szCs w:val="24"/>
          <w:lang w:val="en-US"/>
        </w:rPr>
        <w:t>1.957</w:t>
      </w:r>
      <w:r w:rsidR="004D24E8">
        <w:rPr>
          <w:rFonts w:ascii="Times New Roman" w:hAnsi="Times New Roman" w:cs="Times New Roman"/>
          <w:sz w:val="24"/>
          <w:szCs w:val="24"/>
          <w:lang w:val="en-US"/>
        </w:rPr>
        <w:t xml:space="preserve"> billion</w:t>
      </w:r>
      <w:r w:rsidR="00EF1C7E">
        <w:rPr>
          <w:rFonts w:ascii="Times New Roman" w:hAnsi="Times New Roman" w:cs="Times New Roman"/>
          <w:sz w:val="24"/>
          <w:szCs w:val="24"/>
          <w:lang w:val="en-US"/>
        </w:rPr>
        <w:t xml:space="preserve">. </w:t>
      </w:r>
      <w:r w:rsidR="0066644E">
        <w:rPr>
          <w:rFonts w:ascii="Times New Roman" w:hAnsi="Times New Roman" w:cs="Times New Roman"/>
          <w:sz w:val="24"/>
          <w:szCs w:val="24"/>
          <w:lang w:val="en-US"/>
        </w:rPr>
        <w:t>T</w:t>
      </w:r>
      <w:r w:rsidR="00EF1C7E">
        <w:rPr>
          <w:rFonts w:ascii="Times New Roman" w:hAnsi="Times New Roman" w:cs="Times New Roman"/>
          <w:sz w:val="24"/>
          <w:szCs w:val="24"/>
          <w:lang w:val="en-US"/>
        </w:rPr>
        <w:t>he cost of goods sold constituted about 31% of total sales.</w:t>
      </w:r>
      <w:r w:rsidR="0066644E" w:rsidRPr="0066644E">
        <w:t xml:space="preserve"> </w:t>
      </w:r>
      <w:r w:rsidR="0066644E" w:rsidRPr="0066644E">
        <w:rPr>
          <w:rFonts w:ascii="Times New Roman" w:hAnsi="Times New Roman" w:cs="Times New Roman"/>
          <w:sz w:val="24"/>
          <w:szCs w:val="24"/>
          <w:lang w:val="en-US"/>
        </w:rPr>
        <w:t xml:space="preserve">The increase in the cost of products sold as a percent </w:t>
      </w:r>
      <w:r>
        <w:rPr>
          <w:rFonts w:ascii="Times New Roman" w:hAnsi="Times New Roman" w:cs="Times New Roman"/>
          <w:sz w:val="24"/>
          <w:szCs w:val="24"/>
          <w:lang w:val="en-US"/>
        </w:rPr>
        <w:t>of</w:t>
      </w:r>
      <w:r w:rsidR="0066644E" w:rsidRPr="0066644E">
        <w:rPr>
          <w:rFonts w:ascii="Times New Roman" w:hAnsi="Times New Roman" w:cs="Times New Roman"/>
          <w:sz w:val="24"/>
          <w:szCs w:val="24"/>
          <w:lang w:val="en-US"/>
        </w:rPr>
        <w:t xml:space="preserve"> sales is driven by </w:t>
      </w:r>
      <w:r>
        <w:rPr>
          <w:rFonts w:ascii="Times New Roman" w:hAnsi="Times New Roman" w:cs="Times New Roman"/>
          <w:sz w:val="24"/>
          <w:szCs w:val="24"/>
          <w:lang w:val="en-US"/>
        </w:rPr>
        <w:t xml:space="preserve">an </w:t>
      </w:r>
      <w:proofErr w:type="spellStart"/>
      <w:r w:rsidR="0066644E" w:rsidRPr="0066644E">
        <w:rPr>
          <w:rFonts w:ascii="Times New Roman" w:hAnsi="Times New Roman" w:cs="Times New Roman"/>
          <w:sz w:val="24"/>
          <w:szCs w:val="24"/>
          <w:lang w:val="en-US"/>
        </w:rPr>
        <w:t>unfavourable</w:t>
      </w:r>
      <w:proofErr w:type="spellEnd"/>
      <w:r w:rsidR="0066644E" w:rsidRPr="0066644E">
        <w:rPr>
          <w:rFonts w:ascii="Times New Roman" w:hAnsi="Times New Roman" w:cs="Times New Roman"/>
          <w:sz w:val="24"/>
          <w:szCs w:val="24"/>
          <w:lang w:val="en-US"/>
        </w:rPr>
        <w:t xml:space="preserve"> product mix, commodity inflation, </w:t>
      </w:r>
      <w:proofErr w:type="spellStart"/>
      <w:r w:rsidR="0066644E" w:rsidRPr="0066644E">
        <w:rPr>
          <w:rFonts w:ascii="Times New Roman" w:hAnsi="Times New Roman" w:cs="Times New Roman"/>
          <w:sz w:val="24"/>
          <w:szCs w:val="24"/>
          <w:lang w:val="en-US"/>
        </w:rPr>
        <w:t>Abiomed</w:t>
      </w:r>
      <w:proofErr w:type="spellEnd"/>
      <w:r w:rsidR="0066644E" w:rsidRPr="0066644E">
        <w:rPr>
          <w:rFonts w:ascii="Times New Roman" w:hAnsi="Times New Roman" w:cs="Times New Roman"/>
          <w:sz w:val="24"/>
          <w:szCs w:val="24"/>
          <w:lang w:val="en-US"/>
        </w:rPr>
        <w:t xml:space="preserve"> amortization, and </w:t>
      </w:r>
      <w:r>
        <w:rPr>
          <w:rFonts w:ascii="Times New Roman" w:hAnsi="Times New Roman" w:cs="Times New Roman"/>
          <w:sz w:val="24"/>
          <w:szCs w:val="24"/>
          <w:lang w:val="en-US"/>
        </w:rPr>
        <w:t>restructuring-related</w:t>
      </w:r>
      <w:r w:rsidR="0066644E" w:rsidRPr="0066644E">
        <w:rPr>
          <w:rFonts w:ascii="Times New Roman" w:hAnsi="Times New Roman" w:cs="Times New Roman"/>
          <w:sz w:val="24"/>
          <w:szCs w:val="24"/>
          <w:lang w:val="en-US"/>
        </w:rPr>
        <w:t xml:space="preserve"> excess inventory costs in the MedTech business segment is counterweight by lower one-time COVID-19 vaccine </w:t>
      </w:r>
      <w:r>
        <w:rPr>
          <w:rFonts w:ascii="Times New Roman" w:hAnsi="Times New Roman" w:cs="Times New Roman"/>
          <w:sz w:val="24"/>
          <w:szCs w:val="24"/>
          <w:lang w:val="en-US"/>
        </w:rPr>
        <w:t>manufacturing-related</w:t>
      </w:r>
      <w:r w:rsidR="0066644E" w:rsidRPr="0066644E">
        <w:rPr>
          <w:rFonts w:ascii="Times New Roman" w:hAnsi="Times New Roman" w:cs="Times New Roman"/>
          <w:sz w:val="24"/>
          <w:szCs w:val="24"/>
          <w:lang w:val="en-US"/>
        </w:rPr>
        <w:t xml:space="preserve"> exit costs in 2023 and </w:t>
      </w:r>
      <w:proofErr w:type="spellStart"/>
      <w:r w:rsidR="0066644E" w:rsidRPr="0066644E">
        <w:rPr>
          <w:rFonts w:ascii="Times New Roman" w:hAnsi="Times New Roman" w:cs="Times New Roman"/>
          <w:sz w:val="24"/>
          <w:szCs w:val="24"/>
          <w:lang w:val="en-US"/>
        </w:rPr>
        <w:t>favourable</w:t>
      </w:r>
      <w:proofErr w:type="spellEnd"/>
      <w:r w:rsidR="0066644E" w:rsidRPr="0066644E">
        <w:rPr>
          <w:rFonts w:ascii="Times New Roman" w:hAnsi="Times New Roman" w:cs="Times New Roman"/>
          <w:sz w:val="24"/>
          <w:szCs w:val="24"/>
          <w:lang w:val="en-US"/>
        </w:rPr>
        <w:t xml:space="preserve"> patient mix in the Innovative Medicine business. Intangible asset amortization expense in Innovative Medicine increased to $4.5 billion and $3.9 billion for fiscal years 2023 and 2022.</w:t>
      </w:r>
      <w:r w:rsidR="00AD05A5">
        <w:rPr>
          <w:rFonts w:ascii="Times New Roman" w:hAnsi="Times New Roman" w:cs="Times New Roman"/>
          <w:sz w:val="24"/>
          <w:szCs w:val="24"/>
          <w:lang w:val="en-US"/>
        </w:rPr>
        <w:t xml:space="preserve"> </w:t>
      </w:r>
      <w:r w:rsidR="00AD05A5" w:rsidRPr="00AD05A5">
        <w:rPr>
          <w:rFonts w:ascii="Times New Roman" w:eastAsia="Times New Roman" w:hAnsi="Times New Roman" w:cs="Times New Roman"/>
          <w:sz w:val="24"/>
          <w:szCs w:val="24"/>
          <w:lang w:eastAsia="en-GB"/>
        </w:rPr>
        <w:t xml:space="preserve">Leveraging in Selling and Marketing expenses from both Innovative Medicine and MedTech the company somewhat offset an increase in administrative costs, which resulted in a small decrease in </w:t>
      </w:r>
      <w:r w:rsidR="00F20929" w:rsidRPr="00AD05A5">
        <w:rPr>
          <w:rFonts w:ascii="Times New Roman" w:eastAsia="Times New Roman" w:hAnsi="Times New Roman" w:cs="Times New Roman"/>
          <w:sz w:val="24"/>
          <w:szCs w:val="24"/>
          <w:lang w:eastAsia="en-GB"/>
        </w:rPr>
        <w:t xml:space="preserve">selling, marketing, and administrative expenses </w:t>
      </w:r>
      <w:r w:rsidR="00AD05A5" w:rsidRPr="00AD05A5">
        <w:rPr>
          <w:rFonts w:ascii="Times New Roman" w:eastAsia="Times New Roman" w:hAnsi="Times New Roman" w:cs="Times New Roman"/>
          <w:sz w:val="24"/>
          <w:szCs w:val="24"/>
          <w:lang w:eastAsia="en-GB"/>
        </w:rPr>
        <w:t xml:space="preserve">as a percentage of sales. </w:t>
      </w:r>
      <w:r w:rsidR="00874F56">
        <w:rPr>
          <w:rFonts w:ascii="Times New Roman" w:eastAsia="Times New Roman" w:hAnsi="Times New Roman" w:cs="Times New Roman"/>
          <w:sz w:val="24"/>
          <w:szCs w:val="24"/>
          <w:lang w:eastAsia="en-GB"/>
        </w:rPr>
        <w:t>The t</w:t>
      </w:r>
      <w:r w:rsidR="00874F56" w:rsidRPr="00874F56">
        <w:rPr>
          <w:rFonts w:ascii="Times New Roman" w:eastAsia="Times New Roman" w:hAnsi="Times New Roman" w:cs="Times New Roman"/>
          <w:sz w:val="24"/>
          <w:szCs w:val="24"/>
          <w:lang w:eastAsia="en-GB"/>
        </w:rPr>
        <w:t xml:space="preserve">otal research and development expense </w:t>
      </w:r>
      <w:r w:rsidR="00874F56">
        <w:rPr>
          <w:rFonts w:ascii="Times New Roman" w:eastAsia="Times New Roman" w:hAnsi="Times New Roman" w:cs="Times New Roman"/>
          <w:sz w:val="24"/>
          <w:szCs w:val="24"/>
          <w:lang w:eastAsia="en-GB"/>
        </w:rPr>
        <w:t>for 2023 is $15.</w:t>
      </w:r>
      <w:r w:rsidR="00874F56" w:rsidRPr="00874F56">
        <w:rPr>
          <w:rFonts w:ascii="Times New Roman" w:eastAsia="Times New Roman" w:hAnsi="Times New Roman" w:cs="Times New Roman"/>
          <w:sz w:val="24"/>
          <w:szCs w:val="24"/>
          <w:lang w:eastAsia="en-GB"/>
        </w:rPr>
        <w:t xml:space="preserve">085 </w:t>
      </w:r>
      <w:r w:rsidR="00874F56">
        <w:rPr>
          <w:rFonts w:ascii="Times New Roman" w:eastAsia="Times New Roman" w:hAnsi="Times New Roman" w:cs="Times New Roman"/>
          <w:sz w:val="24"/>
          <w:szCs w:val="24"/>
          <w:lang w:eastAsia="en-GB"/>
        </w:rPr>
        <w:t xml:space="preserve">billion </w:t>
      </w:r>
      <w:r w:rsidR="00874F56" w:rsidRPr="00874F56">
        <w:rPr>
          <w:rFonts w:ascii="Times New Roman" w:eastAsia="Times New Roman" w:hAnsi="Times New Roman" w:cs="Times New Roman"/>
          <w:sz w:val="24"/>
          <w:szCs w:val="24"/>
          <w:lang w:eastAsia="en-GB"/>
        </w:rPr>
        <w:t xml:space="preserve">17.7 % </w:t>
      </w:r>
      <w:r w:rsidR="00874F56">
        <w:rPr>
          <w:rFonts w:ascii="Times New Roman" w:eastAsia="Times New Roman" w:hAnsi="Times New Roman" w:cs="Times New Roman"/>
          <w:sz w:val="24"/>
          <w:szCs w:val="24"/>
          <w:lang w:eastAsia="en-GB"/>
        </w:rPr>
        <w:t>of total sales. And $14.</w:t>
      </w:r>
      <w:r w:rsidR="00874F56" w:rsidRPr="00874F56">
        <w:rPr>
          <w:rFonts w:ascii="Times New Roman" w:eastAsia="Times New Roman" w:hAnsi="Times New Roman" w:cs="Times New Roman"/>
          <w:sz w:val="24"/>
          <w:szCs w:val="24"/>
          <w:lang w:eastAsia="en-GB"/>
        </w:rPr>
        <w:t>135</w:t>
      </w:r>
      <w:r w:rsidR="00874F56">
        <w:rPr>
          <w:rFonts w:ascii="Times New Roman" w:eastAsia="Times New Roman" w:hAnsi="Times New Roman" w:cs="Times New Roman"/>
          <w:sz w:val="24"/>
          <w:szCs w:val="24"/>
          <w:lang w:eastAsia="en-GB"/>
        </w:rPr>
        <w:t xml:space="preserve"> billion in 2022 </w:t>
      </w:r>
      <w:r w:rsidR="00874F56" w:rsidRPr="00874F56">
        <w:rPr>
          <w:rFonts w:ascii="Times New Roman" w:eastAsia="Times New Roman" w:hAnsi="Times New Roman" w:cs="Times New Roman"/>
          <w:sz w:val="24"/>
          <w:szCs w:val="24"/>
          <w:lang w:eastAsia="en-GB"/>
        </w:rPr>
        <w:t>17.7 %</w:t>
      </w:r>
      <w:r w:rsidR="00874F56">
        <w:rPr>
          <w:rFonts w:ascii="Times New Roman" w:eastAsia="Times New Roman" w:hAnsi="Times New Roman" w:cs="Times New Roman"/>
          <w:sz w:val="24"/>
          <w:szCs w:val="24"/>
          <w:lang w:eastAsia="en-GB"/>
        </w:rPr>
        <w:t xml:space="preserve"> of total sales.</w:t>
      </w:r>
      <w:r w:rsidR="00874F56" w:rsidRPr="00874F56">
        <w:t xml:space="preserve"> </w:t>
      </w:r>
      <w:r w:rsidR="00874F56" w:rsidRPr="00874F56">
        <w:rPr>
          <w:rFonts w:ascii="Times New Roman" w:eastAsia="Times New Roman" w:hAnsi="Times New Roman" w:cs="Times New Roman"/>
          <w:sz w:val="24"/>
          <w:szCs w:val="24"/>
          <w:lang w:eastAsia="en-GB"/>
        </w:rPr>
        <w:t xml:space="preserve">Innovative Medicine </w:t>
      </w:r>
      <w:r w:rsidR="008948E6">
        <w:rPr>
          <w:rFonts w:ascii="Times New Roman" w:eastAsia="Times New Roman" w:hAnsi="Times New Roman" w:cs="Times New Roman"/>
          <w:sz w:val="24"/>
          <w:szCs w:val="24"/>
          <w:lang w:eastAsia="en-GB"/>
        </w:rPr>
        <w:t>has t</w:t>
      </w:r>
      <w:r w:rsidR="008948E6" w:rsidRPr="00874F56">
        <w:rPr>
          <w:rFonts w:ascii="Times New Roman" w:eastAsia="Times New Roman" w:hAnsi="Times New Roman" w:cs="Times New Roman"/>
          <w:sz w:val="24"/>
          <w:szCs w:val="24"/>
          <w:lang w:eastAsia="en-GB"/>
        </w:rPr>
        <w:t xml:space="preserve">otal research and development </w:t>
      </w:r>
      <w:r>
        <w:rPr>
          <w:rFonts w:ascii="Times New Roman" w:eastAsia="Times New Roman" w:hAnsi="Times New Roman" w:cs="Times New Roman"/>
          <w:sz w:val="24"/>
          <w:szCs w:val="24"/>
          <w:lang w:eastAsia="en-GB"/>
        </w:rPr>
        <w:t>expenses</w:t>
      </w:r>
      <w:r w:rsidR="008948E6" w:rsidRPr="00874F56">
        <w:rPr>
          <w:rFonts w:ascii="Times New Roman" w:eastAsia="Times New Roman" w:hAnsi="Times New Roman" w:cs="Times New Roman"/>
          <w:sz w:val="24"/>
          <w:szCs w:val="24"/>
          <w:lang w:eastAsia="en-GB"/>
        </w:rPr>
        <w:t xml:space="preserve"> </w:t>
      </w:r>
      <w:r w:rsidR="008948E6">
        <w:rPr>
          <w:rFonts w:ascii="Times New Roman" w:eastAsia="Times New Roman" w:hAnsi="Times New Roman" w:cs="Times New Roman"/>
          <w:sz w:val="24"/>
          <w:szCs w:val="24"/>
          <w:lang w:eastAsia="en-GB"/>
        </w:rPr>
        <w:t>of $11.</w:t>
      </w:r>
      <w:r w:rsidR="00874F56" w:rsidRPr="00874F56">
        <w:rPr>
          <w:rFonts w:ascii="Times New Roman" w:eastAsia="Times New Roman" w:hAnsi="Times New Roman" w:cs="Times New Roman"/>
          <w:sz w:val="24"/>
          <w:szCs w:val="24"/>
          <w:lang w:eastAsia="en-GB"/>
        </w:rPr>
        <w:t>963</w:t>
      </w:r>
      <w:r w:rsidR="008948E6">
        <w:rPr>
          <w:rFonts w:ascii="Times New Roman" w:eastAsia="Times New Roman" w:hAnsi="Times New Roman" w:cs="Times New Roman"/>
          <w:sz w:val="24"/>
          <w:szCs w:val="24"/>
          <w:lang w:eastAsia="en-GB"/>
        </w:rPr>
        <w:t xml:space="preserve"> billion</w:t>
      </w:r>
      <w:r w:rsidR="00874F56" w:rsidRPr="00874F56">
        <w:rPr>
          <w:rFonts w:ascii="Times New Roman" w:eastAsia="Times New Roman" w:hAnsi="Times New Roman" w:cs="Times New Roman"/>
          <w:sz w:val="24"/>
          <w:szCs w:val="24"/>
          <w:lang w:eastAsia="en-GB"/>
        </w:rPr>
        <w:t xml:space="preserve"> </w:t>
      </w:r>
      <w:r w:rsidR="008948E6">
        <w:rPr>
          <w:rFonts w:ascii="Times New Roman" w:eastAsia="Times New Roman" w:hAnsi="Times New Roman" w:cs="Times New Roman"/>
          <w:sz w:val="24"/>
          <w:szCs w:val="24"/>
          <w:lang w:eastAsia="en-GB"/>
        </w:rPr>
        <w:lastRenderedPageBreak/>
        <w:t>(</w:t>
      </w:r>
      <w:r w:rsidR="00874F56" w:rsidRPr="00874F56">
        <w:rPr>
          <w:rFonts w:ascii="Times New Roman" w:eastAsia="Times New Roman" w:hAnsi="Times New Roman" w:cs="Times New Roman"/>
          <w:sz w:val="24"/>
          <w:szCs w:val="24"/>
          <w:lang w:eastAsia="en-GB"/>
        </w:rPr>
        <w:t>21.8 %</w:t>
      </w:r>
      <w:r w:rsidR="008948E6">
        <w:rPr>
          <w:rFonts w:ascii="Times New Roman" w:eastAsia="Times New Roman" w:hAnsi="Times New Roman" w:cs="Times New Roman"/>
          <w:sz w:val="24"/>
          <w:szCs w:val="24"/>
          <w:lang w:eastAsia="en-GB"/>
        </w:rPr>
        <w:t xml:space="preserve"> of sales)</w:t>
      </w:r>
      <w:r w:rsidR="00874F56" w:rsidRPr="00874F56">
        <w:rPr>
          <w:rFonts w:ascii="Times New Roman" w:eastAsia="Times New Roman" w:hAnsi="Times New Roman" w:cs="Times New Roman"/>
          <w:sz w:val="24"/>
          <w:szCs w:val="24"/>
          <w:lang w:eastAsia="en-GB"/>
        </w:rPr>
        <w:t xml:space="preserve"> </w:t>
      </w:r>
      <w:r w:rsidR="008948E6">
        <w:rPr>
          <w:rFonts w:ascii="Times New Roman" w:eastAsia="Times New Roman" w:hAnsi="Times New Roman" w:cs="Times New Roman"/>
          <w:sz w:val="24"/>
          <w:szCs w:val="24"/>
          <w:lang w:eastAsia="en-GB"/>
        </w:rPr>
        <w:t>and $11.</w:t>
      </w:r>
      <w:r w:rsidR="00874F56" w:rsidRPr="00874F56">
        <w:rPr>
          <w:rFonts w:ascii="Times New Roman" w:eastAsia="Times New Roman" w:hAnsi="Times New Roman" w:cs="Times New Roman"/>
          <w:sz w:val="24"/>
          <w:szCs w:val="24"/>
          <w:lang w:eastAsia="en-GB"/>
        </w:rPr>
        <w:t>642</w:t>
      </w:r>
      <w:r w:rsidR="008948E6">
        <w:rPr>
          <w:rFonts w:ascii="Times New Roman" w:eastAsia="Times New Roman" w:hAnsi="Times New Roman" w:cs="Times New Roman"/>
          <w:sz w:val="24"/>
          <w:szCs w:val="24"/>
          <w:lang w:eastAsia="en-GB"/>
        </w:rPr>
        <w:t xml:space="preserve"> billion</w:t>
      </w:r>
      <w:r w:rsidR="00874F56" w:rsidRPr="00874F56">
        <w:rPr>
          <w:rFonts w:ascii="Times New Roman" w:eastAsia="Times New Roman" w:hAnsi="Times New Roman" w:cs="Times New Roman"/>
          <w:sz w:val="24"/>
          <w:szCs w:val="24"/>
          <w:lang w:eastAsia="en-GB"/>
        </w:rPr>
        <w:t xml:space="preserve"> </w:t>
      </w:r>
      <w:r w:rsidR="008948E6">
        <w:rPr>
          <w:rFonts w:ascii="Times New Roman" w:eastAsia="Times New Roman" w:hAnsi="Times New Roman" w:cs="Times New Roman"/>
          <w:sz w:val="24"/>
          <w:szCs w:val="24"/>
          <w:lang w:eastAsia="en-GB"/>
        </w:rPr>
        <w:t>(</w:t>
      </w:r>
      <w:r w:rsidR="00874F56" w:rsidRPr="00874F56">
        <w:rPr>
          <w:rFonts w:ascii="Times New Roman" w:eastAsia="Times New Roman" w:hAnsi="Times New Roman" w:cs="Times New Roman"/>
          <w:sz w:val="24"/>
          <w:szCs w:val="24"/>
          <w:lang w:eastAsia="en-GB"/>
        </w:rPr>
        <w:t>22.1 %</w:t>
      </w:r>
      <w:r w:rsidR="00874F56">
        <w:rPr>
          <w:rFonts w:ascii="Times New Roman" w:eastAsia="Times New Roman" w:hAnsi="Times New Roman" w:cs="Times New Roman"/>
          <w:sz w:val="24"/>
          <w:szCs w:val="24"/>
          <w:lang w:eastAsia="en-GB"/>
        </w:rPr>
        <w:t xml:space="preserve"> </w:t>
      </w:r>
      <w:r w:rsidR="008948E6">
        <w:rPr>
          <w:rFonts w:ascii="Times New Roman" w:eastAsia="Times New Roman" w:hAnsi="Times New Roman" w:cs="Times New Roman"/>
          <w:sz w:val="24"/>
          <w:szCs w:val="24"/>
          <w:lang w:eastAsia="en-GB"/>
        </w:rPr>
        <w:t>of sales</w:t>
      </w:r>
      <w:r w:rsidR="00790906">
        <w:rPr>
          <w:rFonts w:ascii="Times New Roman" w:eastAsia="Times New Roman" w:hAnsi="Times New Roman" w:cs="Times New Roman"/>
          <w:sz w:val="24"/>
          <w:szCs w:val="24"/>
          <w:lang w:eastAsia="en-GB"/>
        </w:rPr>
        <w:t>)</w:t>
      </w:r>
      <w:r w:rsidR="008948E6">
        <w:rPr>
          <w:rFonts w:ascii="Times New Roman" w:eastAsia="Times New Roman" w:hAnsi="Times New Roman" w:cs="Times New Roman"/>
          <w:sz w:val="24"/>
          <w:szCs w:val="24"/>
          <w:lang w:eastAsia="en-GB"/>
        </w:rPr>
        <w:t xml:space="preserve"> for 2023 and 2022 respectively.</w:t>
      </w:r>
      <w:r w:rsidR="00790906">
        <w:rPr>
          <w:rFonts w:ascii="Times New Roman" w:eastAsia="Times New Roman" w:hAnsi="Times New Roman" w:cs="Times New Roman"/>
          <w:sz w:val="24"/>
          <w:szCs w:val="24"/>
          <w:lang w:eastAsia="en-GB"/>
        </w:rPr>
        <w:t xml:space="preserve"> Furthermore, the research and development expense for </w:t>
      </w:r>
      <w:r w:rsidR="00790906">
        <w:t>MedTech is $3.122 billion (10.3% of sales) and $2,493 billion (9.1% of sales)</w:t>
      </w:r>
      <w:r w:rsidR="00790906" w:rsidRPr="00790906">
        <w:rPr>
          <w:rFonts w:ascii="Times New Roman" w:eastAsia="Times New Roman" w:hAnsi="Times New Roman" w:cs="Times New Roman"/>
          <w:sz w:val="24"/>
          <w:szCs w:val="24"/>
          <w:lang w:eastAsia="en-GB"/>
        </w:rPr>
        <w:t xml:space="preserve"> </w:t>
      </w:r>
      <w:r w:rsidR="00790906">
        <w:rPr>
          <w:rFonts w:ascii="Times New Roman" w:eastAsia="Times New Roman" w:hAnsi="Times New Roman" w:cs="Times New Roman"/>
          <w:sz w:val="24"/>
          <w:szCs w:val="24"/>
          <w:lang w:eastAsia="en-GB"/>
        </w:rPr>
        <w:t>for 2023 and 2022 respectively.</w:t>
      </w:r>
      <w:r w:rsidR="00790906" w:rsidRPr="00874F56">
        <w:rPr>
          <w:rFonts w:ascii="Times New Roman" w:eastAsia="Times New Roman" w:hAnsi="Times New Roman" w:cs="Times New Roman"/>
          <w:sz w:val="24"/>
          <w:szCs w:val="24"/>
          <w:lang w:eastAsia="en-GB"/>
        </w:rPr>
        <w:t xml:space="preserve"> </w:t>
      </w:r>
      <w:r w:rsidR="00874F56" w:rsidRPr="00874F56">
        <w:rPr>
          <w:rFonts w:ascii="Times New Roman" w:eastAsia="Times New Roman" w:hAnsi="Times New Roman" w:cs="Times New Roman"/>
          <w:sz w:val="24"/>
          <w:szCs w:val="24"/>
          <w:lang w:eastAsia="en-GB"/>
        </w:rPr>
        <w:cr/>
      </w:r>
    </w:p>
    <w:p w14:paraId="4843BFCF" w14:textId="77777777" w:rsidR="00447D46" w:rsidRDefault="00447D46" w:rsidP="00447D46">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eastAsia="Times New Roman" w:hAnsi="Times New Roman" w:cs="Times New Roman"/>
          <w:noProof/>
          <w:sz w:val="24"/>
          <w:szCs w:val="24"/>
          <w:lang w:eastAsia="en-GB"/>
        </w:rPr>
        <w:drawing>
          <wp:inline distT="0" distB="0" distL="0" distR="0" wp14:anchorId="7678771E" wp14:editId="067EB589">
            <wp:extent cx="5637530" cy="2429050"/>
            <wp:effectExtent l="0" t="0" r="127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224FBF" w14:textId="77777777" w:rsidR="00447D46" w:rsidRPr="0018754D" w:rsidRDefault="00447D46" w:rsidP="00447D46">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Figure 3</w:t>
      </w:r>
      <w:r w:rsidRPr="0018754D">
        <w:rPr>
          <w:rFonts w:ascii="Times New Roman" w:hAnsi="Times New Roman" w:cs="Times New Roman"/>
          <w:sz w:val="20"/>
          <w:szCs w:val="20"/>
        </w:rPr>
        <w:t xml:space="preserve">: cost drivers of </w:t>
      </w:r>
      <w:r>
        <w:rPr>
          <w:rFonts w:ascii="Times New Roman" w:hAnsi="Times New Roman" w:cs="Times New Roman"/>
          <w:sz w:val="20"/>
          <w:szCs w:val="20"/>
        </w:rPr>
        <w:t>Johnson &amp; Johnson</w:t>
      </w:r>
      <w:r w:rsidRPr="0018754D">
        <w:rPr>
          <w:rFonts w:ascii="Times New Roman" w:hAnsi="Times New Roman" w:cs="Times New Roman"/>
          <w:sz w:val="20"/>
          <w:szCs w:val="20"/>
        </w:rPr>
        <w:t xml:space="preserve"> in billion dollars</w:t>
      </w:r>
    </w:p>
    <w:p w14:paraId="415A53A3" w14:textId="77777777" w:rsidR="00447D46" w:rsidRPr="00AD05A5" w:rsidRDefault="00447D46" w:rsidP="00AD05A5">
      <w:pPr>
        <w:jc w:val="both"/>
        <w:rPr>
          <w:rFonts w:ascii="Times New Roman" w:eastAsia="Times New Roman" w:hAnsi="Times New Roman" w:cs="Times New Roman"/>
          <w:sz w:val="24"/>
          <w:szCs w:val="24"/>
          <w:lang w:eastAsia="en-GB"/>
        </w:rPr>
      </w:pPr>
    </w:p>
    <w:p w14:paraId="41477AB8" w14:textId="77777777" w:rsidR="00AB0065" w:rsidRDefault="00AB0065" w:rsidP="00AB0065">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eastAsia="Times New Roman" w:hAnsi="Times New Roman" w:cs="Times New Roman"/>
          <w:noProof/>
          <w:sz w:val="24"/>
          <w:szCs w:val="24"/>
          <w:lang w:eastAsia="en-GB"/>
        </w:rPr>
        <w:drawing>
          <wp:inline distT="0" distB="0" distL="0" distR="0" wp14:anchorId="4606F128" wp14:editId="135E61B4">
            <wp:extent cx="5637530" cy="2025143"/>
            <wp:effectExtent l="0" t="0" r="127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3BAAE6" w14:textId="77777777" w:rsidR="00AB0065" w:rsidRPr="00AB0065" w:rsidRDefault="005A5029" w:rsidP="00AB0065">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Pr>
          <w:rFonts w:ascii="Times New Roman" w:hAnsi="Times New Roman" w:cs="Times New Roman"/>
          <w:sz w:val="20"/>
          <w:szCs w:val="20"/>
        </w:rPr>
        <w:t xml:space="preserve">Figure </w:t>
      </w:r>
      <w:r w:rsidR="00447D46">
        <w:rPr>
          <w:rFonts w:ascii="Times New Roman" w:hAnsi="Times New Roman" w:cs="Times New Roman"/>
          <w:sz w:val="20"/>
          <w:szCs w:val="20"/>
        </w:rPr>
        <w:t>4</w:t>
      </w:r>
      <w:r w:rsidR="00AB0065" w:rsidRPr="0018754D">
        <w:rPr>
          <w:rFonts w:ascii="Times New Roman" w:hAnsi="Times New Roman" w:cs="Times New Roman"/>
          <w:sz w:val="20"/>
          <w:szCs w:val="20"/>
        </w:rPr>
        <w:t xml:space="preserve">: cost drivers </w:t>
      </w:r>
      <w:r w:rsidR="00AB0065">
        <w:rPr>
          <w:rFonts w:ascii="Times New Roman" w:hAnsi="Times New Roman" w:cs="Times New Roman"/>
          <w:sz w:val="20"/>
          <w:szCs w:val="20"/>
        </w:rPr>
        <w:t>of Johnson &amp; Johnson</w:t>
      </w:r>
      <w:r w:rsidR="00AB0065" w:rsidRPr="0018754D">
        <w:rPr>
          <w:rFonts w:ascii="Times New Roman" w:hAnsi="Times New Roman" w:cs="Times New Roman"/>
          <w:sz w:val="20"/>
          <w:szCs w:val="20"/>
        </w:rPr>
        <w:t xml:space="preserve"> in billion dollars</w:t>
      </w:r>
    </w:p>
    <w:p w14:paraId="02183364" w14:textId="77777777" w:rsidR="0018754D" w:rsidRPr="00144D95" w:rsidRDefault="0018754D" w:rsidP="0018754D">
      <w:pPr>
        <w:rPr>
          <w:rFonts w:ascii="Times New Roman" w:hAnsi="Times New Roman" w:cs="Times New Roman"/>
          <w:b/>
          <w:sz w:val="24"/>
          <w:szCs w:val="24"/>
          <w:lang w:val="en-US"/>
        </w:rPr>
      </w:pPr>
      <w:r w:rsidRPr="00144D95">
        <w:rPr>
          <w:rFonts w:ascii="Times New Roman" w:hAnsi="Times New Roman" w:cs="Times New Roman"/>
          <w:b/>
          <w:sz w:val="24"/>
          <w:szCs w:val="24"/>
          <w:lang w:val="en-US"/>
        </w:rPr>
        <w:t>Peers Operational Analysis</w:t>
      </w:r>
    </w:p>
    <w:p w14:paraId="7578444A" w14:textId="77777777" w:rsidR="00576C10" w:rsidRPr="00576C10" w:rsidRDefault="00576C10" w:rsidP="00576C10">
      <w:pPr>
        <w:jc w:val="both"/>
        <w:rPr>
          <w:rFonts w:ascii="Calibri" w:eastAsia="Times New Roman" w:hAnsi="Calibri" w:cs="Calibri"/>
          <w:color w:val="000000"/>
          <w:lang w:eastAsia="en-GB"/>
        </w:rPr>
      </w:pPr>
      <w:r w:rsidRPr="00576C10">
        <w:rPr>
          <w:rFonts w:ascii="Times New Roman" w:eastAsia="Times New Roman" w:hAnsi="Times New Roman" w:cs="Times New Roman"/>
          <w:sz w:val="24"/>
          <w:szCs w:val="24"/>
          <w:lang w:eastAsia="en-GB"/>
        </w:rPr>
        <w:t>Given that Johnson and Johnson competes in a more competitive and dominant worldwid</w:t>
      </w:r>
      <w:r w:rsidR="0072316C">
        <w:rPr>
          <w:rFonts w:ascii="Times New Roman" w:eastAsia="Times New Roman" w:hAnsi="Times New Roman" w:cs="Times New Roman"/>
          <w:sz w:val="24"/>
          <w:szCs w:val="24"/>
          <w:lang w:eastAsia="en-GB"/>
        </w:rPr>
        <w:t>e market than Marriott Inc., this</w:t>
      </w:r>
      <w:r w:rsidRPr="00576C10">
        <w:rPr>
          <w:rFonts w:ascii="Times New Roman" w:eastAsia="Times New Roman" w:hAnsi="Times New Roman" w:cs="Times New Roman"/>
          <w:sz w:val="24"/>
          <w:szCs w:val="24"/>
          <w:lang w:eastAsia="en-GB"/>
        </w:rPr>
        <w:t xml:space="preserve"> firm confronts even more rivalry from its peers. Worldwide demand for healthcare products necessitates ongoing operational expenditures. Pfizer and Merck &amp; Co. are its competitors. In terms of revenue, Johnson and Johnson beats competitors</w:t>
      </w:r>
      <w:r>
        <w:rPr>
          <w:rFonts w:ascii="Times New Roman" w:eastAsia="Times New Roman" w:hAnsi="Times New Roman" w:cs="Times New Roman"/>
          <w:sz w:val="24"/>
          <w:szCs w:val="24"/>
          <w:lang w:eastAsia="en-GB"/>
        </w:rPr>
        <w:t xml:space="preserve"> with total revenue of</w:t>
      </w:r>
      <w:r w:rsidRPr="00576C10">
        <w:rPr>
          <w:rFonts w:ascii="Calibri" w:hAnsi="Calibri" w:cs="Calibri"/>
          <w:color w:val="000000"/>
        </w:rPr>
        <w:t xml:space="preserve"> </w:t>
      </w:r>
      <w:r>
        <w:rPr>
          <w:rFonts w:ascii="Calibri" w:hAnsi="Calibri" w:cs="Calibri"/>
          <w:color w:val="000000"/>
        </w:rPr>
        <w:t>$</w:t>
      </w:r>
      <w:r w:rsidRPr="00576C10">
        <w:rPr>
          <w:rFonts w:ascii="Calibri" w:eastAsia="Times New Roman" w:hAnsi="Calibri" w:cs="Calibri"/>
          <w:color w:val="000000"/>
          <w:lang w:eastAsia="en-GB"/>
        </w:rPr>
        <w:t>85.159</w:t>
      </w:r>
      <w:r>
        <w:rPr>
          <w:rFonts w:ascii="Calibri" w:eastAsia="Times New Roman" w:hAnsi="Calibri" w:cs="Calibri"/>
          <w:color w:val="000000"/>
          <w:lang w:eastAsia="en-GB"/>
        </w:rPr>
        <w:t xml:space="preserve"> billion in 2023</w:t>
      </w:r>
      <w:r w:rsidRPr="00576C1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while </w:t>
      </w:r>
      <w:r w:rsidRPr="00576C10">
        <w:rPr>
          <w:rFonts w:ascii="Times New Roman" w:eastAsia="Times New Roman" w:hAnsi="Times New Roman" w:cs="Times New Roman"/>
          <w:sz w:val="24"/>
          <w:szCs w:val="24"/>
          <w:lang w:eastAsia="en-GB"/>
        </w:rPr>
        <w:t>Merck &amp; Co</w:t>
      </w:r>
      <w:r>
        <w:rPr>
          <w:rFonts w:ascii="Times New Roman" w:eastAsia="Times New Roman" w:hAnsi="Times New Roman" w:cs="Times New Roman"/>
          <w:sz w:val="24"/>
          <w:szCs w:val="24"/>
          <w:lang w:eastAsia="en-GB"/>
        </w:rPr>
        <w:t xml:space="preserve">. and </w:t>
      </w:r>
      <w:r w:rsidRPr="00576C10">
        <w:rPr>
          <w:rFonts w:ascii="Times New Roman" w:eastAsia="Times New Roman" w:hAnsi="Times New Roman" w:cs="Times New Roman"/>
          <w:sz w:val="24"/>
          <w:szCs w:val="24"/>
          <w:lang w:eastAsia="en-GB"/>
        </w:rPr>
        <w:t>Pfizer</w:t>
      </w:r>
      <w:r>
        <w:rPr>
          <w:rFonts w:ascii="Times New Roman" w:eastAsia="Times New Roman" w:hAnsi="Times New Roman" w:cs="Times New Roman"/>
          <w:sz w:val="24"/>
          <w:szCs w:val="24"/>
          <w:lang w:eastAsia="en-GB"/>
        </w:rPr>
        <w:t xml:space="preserve"> have total sales revenue of</w:t>
      </w:r>
      <w:r w:rsidRPr="00576C10">
        <w:rPr>
          <w:rFonts w:ascii="Times New Roman" w:eastAsia="Times New Roman" w:hAnsi="Times New Roman" w:cs="Times New Roman"/>
          <w:sz w:val="24"/>
          <w:szCs w:val="24"/>
          <w:lang w:eastAsia="en-GB"/>
        </w:rPr>
        <w:t xml:space="preserve"> $60.115 billion and $58.496 billion, respectively, in 2023. </w:t>
      </w:r>
      <w:r>
        <w:rPr>
          <w:rFonts w:ascii="Times New Roman" w:eastAsia="Times New Roman" w:hAnsi="Times New Roman" w:cs="Times New Roman"/>
          <w:sz w:val="24"/>
          <w:szCs w:val="24"/>
          <w:lang w:eastAsia="en-GB"/>
        </w:rPr>
        <w:t>During the heat of Covid 19</w:t>
      </w:r>
      <w:r w:rsidR="007F30D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576C10">
        <w:rPr>
          <w:rFonts w:ascii="Times New Roman" w:eastAsia="Times New Roman" w:hAnsi="Times New Roman" w:cs="Times New Roman"/>
          <w:sz w:val="24"/>
          <w:szCs w:val="24"/>
          <w:lang w:eastAsia="en-GB"/>
        </w:rPr>
        <w:t xml:space="preserve">Merck </w:t>
      </w:r>
      <w:r>
        <w:rPr>
          <w:rFonts w:ascii="Times New Roman" w:eastAsia="Times New Roman" w:hAnsi="Times New Roman" w:cs="Times New Roman"/>
          <w:sz w:val="24"/>
          <w:szCs w:val="24"/>
          <w:lang w:eastAsia="en-GB"/>
        </w:rPr>
        <w:t>produced</w:t>
      </w:r>
      <w:r w:rsidRPr="00576C10">
        <w:rPr>
          <w:rFonts w:ascii="Times New Roman" w:eastAsia="Times New Roman" w:hAnsi="Times New Roman" w:cs="Times New Roman"/>
          <w:sz w:val="24"/>
          <w:szCs w:val="24"/>
          <w:lang w:eastAsia="en-GB"/>
        </w:rPr>
        <w:t xml:space="preserve"> vaccinations </w:t>
      </w:r>
      <w:r w:rsidR="00F12BE6">
        <w:rPr>
          <w:rFonts w:ascii="Times New Roman" w:eastAsia="Times New Roman" w:hAnsi="Times New Roman" w:cs="Times New Roman"/>
          <w:sz w:val="24"/>
          <w:szCs w:val="24"/>
          <w:lang w:eastAsia="en-GB"/>
        </w:rPr>
        <w:t>and later</w:t>
      </w:r>
      <w:r w:rsidRPr="00576C10">
        <w:rPr>
          <w:rFonts w:ascii="Times New Roman" w:eastAsia="Times New Roman" w:hAnsi="Times New Roman" w:cs="Times New Roman"/>
          <w:sz w:val="24"/>
          <w:szCs w:val="24"/>
          <w:lang w:eastAsia="en-GB"/>
        </w:rPr>
        <w:t xml:space="preserve"> </w:t>
      </w:r>
      <w:r w:rsidR="00F12BE6">
        <w:rPr>
          <w:rFonts w:ascii="Times New Roman" w:eastAsia="Times New Roman" w:hAnsi="Times New Roman" w:cs="Times New Roman"/>
          <w:sz w:val="24"/>
          <w:szCs w:val="24"/>
          <w:lang w:eastAsia="en-GB"/>
        </w:rPr>
        <w:t>foun</w:t>
      </w:r>
      <w:r w:rsidRPr="00576C10">
        <w:rPr>
          <w:rFonts w:ascii="Times New Roman" w:eastAsia="Times New Roman" w:hAnsi="Times New Roman" w:cs="Times New Roman"/>
          <w:sz w:val="24"/>
          <w:szCs w:val="24"/>
          <w:lang w:eastAsia="en-GB"/>
        </w:rPr>
        <w:t>d</w:t>
      </w:r>
      <w:r w:rsidR="00F12BE6">
        <w:rPr>
          <w:rFonts w:ascii="Times New Roman" w:eastAsia="Times New Roman" w:hAnsi="Times New Roman" w:cs="Times New Roman"/>
          <w:sz w:val="24"/>
          <w:szCs w:val="24"/>
          <w:lang w:eastAsia="en-GB"/>
        </w:rPr>
        <w:t xml:space="preserve"> out</w:t>
      </w:r>
      <w:r w:rsidRPr="00576C10">
        <w:rPr>
          <w:rFonts w:ascii="Times New Roman" w:eastAsia="Times New Roman" w:hAnsi="Times New Roman" w:cs="Times New Roman"/>
          <w:sz w:val="24"/>
          <w:szCs w:val="24"/>
          <w:lang w:eastAsia="en-GB"/>
        </w:rPr>
        <w:t xml:space="preserve"> that the immune responses to their two booster doses were not as st</w:t>
      </w:r>
      <w:r w:rsidR="00F12BE6">
        <w:rPr>
          <w:rFonts w:ascii="Times New Roman" w:eastAsia="Times New Roman" w:hAnsi="Times New Roman" w:cs="Times New Roman"/>
          <w:sz w:val="24"/>
          <w:szCs w:val="24"/>
          <w:lang w:eastAsia="en-GB"/>
        </w:rPr>
        <w:t>rong as those of the other firms, so the firm</w:t>
      </w:r>
      <w:r w:rsidRPr="00576C10">
        <w:rPr>
          <w:rFonts w:ascii="Times New Roman" w:eastAsia="Times New Roman" w:hAnsi="Times New Roman" w:cs="Times New Roman"/>
          <w:sz w:val="24"/>
          <w:szCs w:val="24"/>
          <w:lang w:eastAsia="en-GB"/>
        </w:rPr>
        <w:t xml:space="preserve"> merged with Johnson to create Johnson's COVID-19 vaccines.</w:t>
      </w:r>
    </w:p>
    <w:p w14:paraId="21E0B73C" w14:textId="77777777" w:rsidR="00576C10" w:rsidRPr="00144D95" w:rsidRDefault="00576C10" w:rsidP="00467652">
      <w:pPr>
        <w:jc w:val="both"/>
        <w:rPr>
          <w:rFonts w:ascii="Times New Roman" w:hAnsi="Times New Roman" w:cs="Times New Roman"/>
          <w:b/>
          <w:sz w:val="24"/>
          <w:szCs w:val="24"/>
          <w:lang w:val="en-US"/>
        </w:rPr>
      </w:pPr>
    </w:p>
    <w:p w14:paraId="44E23603" w14:textId="77777777" w:rsidR="007657BC" w:rsidRDefault="00467652" w:rsidP="00517375">
      <w:pPr>
        <w:rPr>
          <w:rFonts w:ascii="Times New Roman" w:hAnsi="Times New Roman" w:cs="Times New Roman"/>
          <w:b/>
          <w:sz w:val="24"/>
          <w:szCs w:val="24"/>
        </w:rPr>
      </w:pPr>
      <w:r w:rsidRPr="00467652">
        <w:rPr>
          <w:rFonts w:ascii="Times New Roman" w:hAnsi="Times New Roman" w:cs="Times New Roman"/>
          <w:b/>
          <w:sz w:val="24"/>
          <w:szCs w:val="24"/>
        </w:rPr>
        <w:lastRenderedPageBreak/>
        <w:t>Company Perfo</w:t>
      </w:r>
      <w:r>
        <w:rPr>
          <w:rFonts w:ascii="Times New Roman" w:hAnsi="Times New Roman" w:cs="Times New Roman"/>
          <w:b/>
          <w:sz w:val="24"/>
          <w:szCs w:val="24"/>
        </w:rPr>
        <w:t>rmance in the Light of Revenue a</w:t>
      </w:r>
      <w:r w:rsidRPr="00467652">
        <w:rPr>
          <w:rFonts w:ascii="Times New Roman" w:hAnsi="Times New Roman" w:cs="Times New Roman"/>
          <w:b/>
          <w:sz w:val="24"/>
          <w:szCs w:val="24"/>
        </w:rPr>
        <w:t>nd Cost Drivers</w:t>
      </w:r>
    </w:p>
    <w:p w14:paraId="353EFA4A" w14:textId="77777777" w:rsidR="00AA3D5A" w:rsidRDefault="00AA3D5A" w:rsidP="00517375">
      <w:pPr>
        <w:rPr>
          <w:rFonts w:ascii="Times New Roman" w:hAnsi="Times New Roman" w:cs="Times New Roman"/>
          <w:b/>
          <w:sz w:val="24"/>
          <w:szCs w:val="24"/>
        </w:rPr>
      </w:pPr>
      <w:r w:rsidRPr="00C53846">
        <w:rPr>
          <w:rFonts w:ascii="Times New Roman" w:hAnsi="Times New Roman" w:cs="Times New Roman"/>
          <w:b/>
          <w:sz w:val="24"/>
          <w:szCs w:val="24"/>
        </w:rPr>
        <w:t>Marriott Inc.</w:t>
      </w:r>
    </w:p>
    <w:p w14:paraId="4C14C39F" w14:textId="77777777" w:rsidR="00AA3D5A" w:rsidRPr="00AA3D5A" w:rsidRDefault="00AA3D5A" w:rsidP="00AA3D5A">
      <w:pPr>
        <w:rPr>
          <w:rFonts w:ascii="Times New Roman" w:hAnsi="Times New Roman" w:cs="Times New Roman"/>
          <w:sz w:val="24"/>
          <w:szCs w:val="24"/>
        </w:rPr>
      </w:pPr>
      <w:r w:rsidRPr="00AA3D5A">
        <w:rPr>
          <w:rFonts w:ascii="Times New Roman" w:hAnsi="Times New Roman" w:cs="Times New Roman"/>
          <w:sz w:val="24"/>
          <w:szCs w:val="24"/>
        </w:rPr>
        <w:t>Performance in Light of Revenue and Cost Drivers</w:t>
      </w:r>
    </w:p>
    <w:p w14:paraId="53A18353" w14:textId="77777777" w:rsidR="00AA3D5A" w:rsidRPr="00AA3D5A" w:rsidRDefault="00AA3D5A" w:rsidP="00AA3D5A">
      <w:pPr>
        <w:jc w:val="both"/>
        <w:rPr>
          <w:rFonts w:ascii="Times New Roman" w:hAnsi="Times New Roman" w:cs="Times New Roman"/>
          <w:sz w:val="24"/>
          <w:szCs w:val="24"/>
        </w:rPr>
      </w:pPr>
      <w:r w:rsidRPr="00AA3D5A">
        <w:rPr>
          <w:rFonts w:ascii="Times New Roman" w:hAnsi="Times New Roman" w:cs="Times New Roman"/>
          <w:sz w:val="24"/>
          <w:szCs w:val="24"/>
        </w:rPr>
        <w:t xml:space="preserve">Marriott's total revenue rose to $23.713 billion in 2023 from $20.773 billion in 2022, showing a strong upward trend. Cost reimbursement revenue, a significant portion at 73%-74%, reflects Marriott’s scale in managing third-party hotel operations, with </w:t>
      </w:r>
      <w:r w:rsidR="007F30D9">
        <w:rPr>
          <w:rFonts w:ascii="Times New Roman" w:hAnsi="Times New Roman" w:cs="Times New Roman"/>
          <w:sz w:val="24"/>
          <w:szCs w:val="24"/>
        </w:rPr>
        <w:t xml:space="preserve">a </w:t>
      </w:r>
      <w:r w:rsidRPr="00AA3D5A">
        <w:rPr>
          <w:rFonts w:ascii="Times New Roman" w:hAnsi="Times New Roman" w:cs="Times New Roman"/>
          <w:sz w:val="24"/>
          <w:szCs w:val="24"/>
        </w:rPr>
        <w:t>low direct profitability impact. Excluding this, operational revenue grew by $0.943 billion, indicating growth in brand licensing, franchise, and owned properties. Costs, especially reimbursement expenses, almost equal their revenue counterpart, leaving a larger emphasis on managing core operational expenses to sustain profitability.</w:t>
      </w:r>
    </w:p>
    <w:p w14:paraId="7637FBD0" w14:textId="77777777" w:rsidR="00AA3D5A" w:rsidRDefault="00AA3D5A" w:rsidP="00517375">
      <w:pPr>
        <w:rPr>
          <w:rFonts w:ascii="Times New Roman" w:hAnsi="Times New Roman" w:cs="Times New Roman"/>
          <w:b/>
          <w:sz w:val="24"/>
          <w:szCs w:val="24"/>
          <w:lang w:val="en-US"/>
        </w:rPr>
      </w:pPr>
      <w:r w:rsidRPr="0018754D">
        <w:rPr>
          <w:rFonts w:ascii="Times New Roman" w:hAnsi="Times New Roman" w:cs="Times New Roman"/>
          <w:b/>
          <w:sz w:val="24"/>
          <w:szCs w:val="24"/>
          <w:lang w:val="en-US"/>
        </w:rPr>
        <w:t>Johnson &amp; Johnson</w:t>
      </w:r>
    </w:p>
    <w:p w14:paraId="5CC453A5" w14:textId="77777777" w:rsidR="00AA3D5A" w:rsidRPr="00AA3D5A" w:rsidRDefault="00AA3D5A" w:rsidP="00AA3D5A">
      <w:pPr>
        <w:rPr>
          <w:rFonts w:ascii="Times New Roman" w:hAnsi="Times New Roman" w:cs="Times New Roman"/>
          <w:sz w:val="24"/>
          <w:szCs w:val="24"/>
        </w:rPr>
      </w:pPr>
      <w:r w:rsidRPr="00AA3D5A">
        <w:rPr>
          <w:rFonts w:ascii="Times New Roman" w:hAnsi="Times New Roman" w:cs="Times New Roman"/>
          <w:sz w:val="24"/>
          <w:szCs w:val="24"/>
        </w:rPr>
        <w:t>Performance in Light of Revenue and Cost Drivers</w:t>
      </w:r>
    </w:p>
    <w:p w14:paraId="72C9CF28" w14:textId="77777777" w:rsidR="00AA3D5A" w:rsidRPr="00AA3D5A" w:rsidRDefault="00AA3D5A" w:rsidP="00AA3D5A">
      <w:pPr>
        <w:jc w:val="both"/>
        <w:rPr>
          <w:rFonts w:ascii="Times New Roman" w:hAnsi="Times New Roman" w:cs="Times New Roman"/>
          <w:sz w:val="24"/>
          <w:szCs w:val="24"/>
        </w:rPr>
      </w:pPr>
      <w:r w:rsidRPr="00AA3D5A">
        <w:rPr>
          <w:rFonts w:ascii="Times New Roman" w:hAnsi="Times New Roman" w:cs="Times New Roman"/>
          <w:sz w:val="24"/>
          <w:szCs w:val="24"/>
        </w:rPr>
        <w:t xml:space="preserve">Johnson &amp; Johnson's Innovative Medicine and MedTech segments saw revenue growth of 4.2% and 10.8% in 2023, respectively. Increases in research and development (R&amp;D), particularly within the Innovative Medicine segment, point to a strong focus on product innovation. </w:t>
      </w:r>
      <w:r w:rsidR="007F30D9">
        <w:rPr>
          <w:rFonts w:ascii="Times New Roman" w:hAnsi="Times New Roman" w:cs="Times New Roman"/>
          <w:sz w:val="24"/>
          <w:szCs w:val="24"/>
        </w:rPr>
        <w:t>The cost</w:t>
      </w:r>
      <w:r w:rsidRPr="00AA3D5A">
        <w:rPr>
          <w:rFonts w:ascii="Times New Roman" w:hAnsi="Times New Roman" w:cs="Times New Roman"/>
          <w:sz w:val="24"/>
          <w:szCs w:val="24"/>
        </w:rPr>
        <w:t xml:space="preserve"> of goods sold grew by </w:t>
      </w:r>
      <w:r w:rsidR="004D24E8">
        <w:rPr>
          <w:rFonts w:ascii="Times New Roman" w:hAnsi="Times New Roman" w:cs="Times New Roman"/>
          <w:sz w:val="24"/>
          <w:szCs w:val="24"/>
        </w:rPr>
        <w:t>$</w:t>
      </w:r>
      <w:r w:rsidRPr="00AA3D5A">
        <w:rPr>
          <w:rFonts w:ascii="Times New Roman" w:hAnsi="Times New Roman" w:cs="Times New Roman"/>
          <w:sz w:val="24"/>
          <w:szCs w:val="24"/>
        </w:rPr>
        <w:t>1.957 billion from 2022 to 2023, partly due to inflation and product mix changes. Despite higher R&amp;D and cost of sales, operational growth shows resilience, but profit margins face pressure due to growing costs, particularly from acquisitions and development-related investments.</w:t>
      </w:r>
    </w:p>
    <w:sectPr w:rsidR="00AA3D5A" w:rsidRPr="00AA3D5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84721" w14:textId="77777777" w:rsidR="00640168" w:rsidRDefault="00640168" w:rsidP="00D8066A">
      <w:pPr>
        <w:spacing w:after="0" w:line="240" w:lineRule="auto"/>
      </w:pPr>
      <w:r>
        <w:separator/>
      </w:r>
    </w:p>
  </w:endnote>
  <w:endnote w:type="continuationSeparator" w:id="0">
    <w:p w14:paraId="08CB646A" w14:textId="77777777" w:rsidR="00640168" w:rsidRDefault="00640168" w:rsidP="00D80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073850"/>
      <w:docPartObj>
        <w:docPartGallery w:val="Page Numbers (Bottom of Page)"/>
        <w:docPartUnique/>
      </w:docPartObj>
    </w:sdtPr>
    <w:sdtEndPr>
      <w:rPr>
        <w:noProof/>
      </w:rPr>
    </w:sdtEndPr>
    <w:sdtContent>
      <w:p w14:paraId="01280281" w14:textId="77777777" w:rsidR="00D8066A" w:rsidRDefault="00D8066A">
        <w:pPr>
          <w:pStyle w:val="Footer"/>
          <w:jc w:val="right"/>
        </w:pPr>
        <w:r>
          <w:fldChar w:fldCharType="begin"/>
        </w:r>
        <w:r>
          <w:instrText xml:space="preserve"> PAGE   \* MERGEFORMAT </w:instrText>
        </w:r>
        <w:r>
          <w:fldChar w:fldCharType="separate"/>
        </w:r>
        <w:r w:rsidR="00291381">
          <w:rPr>
            <w:noProof/>
          </w:rPr>
          <w:t>5</w:t>
        </w:r>
        <w:r>
          <w:rPr>
            <w:noProof/>
          </w:rPr>
          <w:fldChar w:fldCharType="end"/>
        </w:r>
      </w:p>
    </w:sdtContent>
  </w:sdt>
  <w:p w14:paraId="76F4C688" w14:textId="77777777" w:rsidR="00D8066A" w:rsidRDefault="00D80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F951" w14:textId="77777777" w:rsidR="00640168" w:rsidRDefault="00640168" w:rsidP="00D8066A">
      <w:pPr>
        <w:spacing w:after="0" w:line="240" w:lineRule="auto"/>
      </w:pPr>
      <w:r>
        <w:separator/>
      </w:r>
    </w:p>
  </w:footnote>
  <w:footnote w:type="continuationSeparator" w:id="0">
    <w:p w14:paraId="18C8B3E3" w14:textId="77777777" w:rsidR="00640168" w:rsidRDefault="00640168" w:rsidP="00D80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85374"/>
    <w:multiLevelType w:val="hybridMultilevel"/>
    <w:tmpl w:val="B2E471A8"/>
    <w:lvl w:ilvl="0" w:tplc="099E50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07387"/>
    <w:multiLevelType w:val="hybridMultilevel"/>
    <w:tmpl w:val="97621D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B283E"/>
    <w:multiLevelType w:val="hybridMultilevel"/>
    <w:tmpl w:val="02FA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A6080"/>
    <w:multiLevelType w:val="hybridMultilevel"/>
    <w:tmpl w:val="9E3E39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9A527E"/>
    <w:multiLevelType w:val="hybridMultilevel"/>
    <w:tmpl w:val="DCF0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513E8"/>
    <w:multiLevelType w:val="hybridMultilevel"/>
    <w:tmpl w:val="4F12F348"/>
    <w:lvl w:ilvl="0" w:tplc="6E5E8C9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37694"/>
    <w:multiLevelType w:val="hybridMultilevel"/>
    <w:tmpl w:val="CB541208"/>
    <w:lvl w:ilvl="0" w:tplc="6E5E8C9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080314"/>
    <w:multiLevelType w:val="hybridMultilevel"/>
    <w:tmpl w:val="8BFCD35E"/>
    <w:lvl w:ilvl="0" w:tplc="4D3E9300">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52AC7"/>
    <w:multiLevelType w:val="hybridMultilevel"/>
    <w:tmpl w:val="98268D7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645690">
    <w:abstractNumId w:val="3"/>
  </w:num>
  <w:num w:numId="2" w16cid:durableId="697780191">
    <w:abstractNumId w:val="1"/>
  </w:num>
  <w:num w:numId="3" w16cid:durableId="1872527242">
    <w:abstractNumId w:val="5"/>
  </w:num>
  <w:num w:numId="4" w16cid:durableId="1863855083">
    <w:abstractNumId w:val="6"/>
  </w:num>
  <w:num w:numId="5" w16cid:durableId="818378878">
    <w:abstractNumId w:val="0"/>
  </w:num>
  <w:num w:numId="6" w16cid:durableId="1826581030">
    <w:abstractNumId w:val="2"/>
  </w:num>
  <w:num w:numId="7" w16cid:durableId="2076081338">
    <w:abstractNumId w:val="4"/>
  </w:num>
  <w:num w:numId="8" w16cid:durableId="200438790">
    <w:abstractNumId w:val="8"/>
  </w:num>
  <w:num w:numId="9" w16cid:durableId="488983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8D"/>
    <w:rsid w:val="00063022"/>
    <w:rsid w:val="00087926"/>
    <w:rsid w:val="00144D95"/>
    <w:rsid w:val="0018754D"/>
    <w:rsid w:val="001E7090"/>
    <w:rsid w:val="00245546"/>
    <w:rsid w:val="002465DF"/>
    <w:rsid w:val="0025496A"/>
    <w:rsid w:val="00261184"/>
    <w:rsid w:val="00291381"/>
    <w:rsid w:val="002E6DF4"/>
    <w:rsid w:val="00311FCC"/>
    <w:rsid w:val="003134FD"/>
    <w:rsid w:val="003A3CC6"/>
    <w:rsid w:val="003C5A97"/>
    <w:rsid w:val="004142C2"/>
    <w:rsid w:val="00447D46"/>
    <w:rsid w:val="00467652"/>
    <w:rsid w:val="00483C8D"/>
    <w:rsid w:val="00495D4B"/>
    <w:rsid w:val="004A4296"/>
    <w:rsid w:val="004D24E8"/>
    <w:rsid w:val="004D54D5"/>
    <w:rsid w:val="00517375"/>
    <w:rsid w:val="005667C5"/>
    <w:rsid w:val="00576C10"/>
    <w:rsid w:val="00577EF4"/>
    <w:rsid w:val="0058127E"/>
    <w:rsid w:val="005A5029"/>
    <w:rsid w:val="00640168"/>
    <w:rsid w:val="006471D7"/>
    <w:rsid w:val="0066644E"/>
    <w:rsid w:val="00667383"/>
    <w:rsid w:val="00686C67"/>
    <w:rsid w:val="006E3FE7"/>
    <w:rsid w:val="0072316C"/>
    <w:rsid w:val="007657BC"/>
    <w:rsid w:val="00790906"/>
    <w:rsid w:val="00795696"/>
    <w:rsid w:val="007C409C"/>
    <w:rsid w:val="007E0BF7"/>
    <w:rsid w:val="007F30D9"/>
    <w:rsid w:val="008237C8"/>
    <w:rsid w:val="008565DC"/>
    <w:rsid w:val="00874F56"/>
    <w:rsid w:val="008948E6"/>
    <w:rsid w:val="008B79BE"/>
    <w:rsid w:val="00910C31"/>
    <w:rsid w:val="00911E8C"/>
    <w:rsid w:val="00972664"/>
    <w:rsid w:val="00A14BB4"/>
    <w:rsid w:val="00A51009"/>
    <w:rsid w:val="00A52A98"/>
    <w:rsid w:val="00AA3D5A"/>
    <w:rsid w:val="00AB0065"/>
    <w:rsid w:val="00AB6488"/>
    <w:rsid w:val="00AD05A5"/>
    <w:rsid w:val="00AD75D6"/>
    <w:rsid w:val="00AF6ED4"/>
    <w:rsid w:val="00B56158"/>
    <w:rsid w:val="00BA04FA"/>
    <w:rsid w:val="00BF3356"/>
    <w:rsid w:val="00C530A6"/>
    <w:rsid w:val="00C53846"/>
    <w:rsid w:val="00C75311"/>
    <w:rsid w:val="00C90BC6"/>
    <w:rsid w:val="00CA506C"/>
    <w:rsid w:val="00CB7FA2"/>
    <w:rsid w:val="00D00D87"/>
    <w:rsid w:val="00D425F3"/>
    <w:rsid w:val="00D7213B"/>
    <w:rsid w:val="00D8066A"/>
    <w:rsid w:val="00D80725"/>
    <w:rsid w:val="00DD3883"/>
    <w:rsid w:val="00DF676F"/>
    <w:rsid w:val="00E6277B"/>
    <w:rsid w:val="00E669A5"/>
    <w:rsid w:val="00E768B9"/>
    <w:rsid w:val="00EB042C"/>
    <w:rsid w:val="00ED42BB"/>
    <w:rsid w:val="00ED57FA"/>
    <w:rsid w:val="00EF1C7E"/>
    <w:rsid w:val="00F12BE6"/>
    <w:rsid w:val="00F20929"/>
    <w:rsid w:val="00F744CD"/>
    <w:rsid w:val="00F846A0"/>
    <w:rsid w:val="00FA0523"/>
    <w:rsid w:val="00FA5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8C82D"/>
  <w15:chartTrackingRefBased/>
  <w15:docId w15:val="{26544B08-4BCD-4EB4-85BC-5EF0EADF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669A5"/>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7BC"/>
    <w:pPr>
      <w:ind w:left="720"/>
      <w:contextualSpacing/>
    </w:pPr>
  </w:style>
  <w:style w:type="character" w:customStyle="1" w:styleId="Heading2Char">
    <w:name w:val="Heading 2 Char"/>
    <w:basedOn w:val="DefaultParagraphFont"/>
    <w:link w:val="Heading2"/>
    <w:uiPriority w:val="9"/>
    <w:rsid w:val="00E669A5"/>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D80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66A"/>
  </w:style>
  <w:style w:type="paragraph" w:styleId="Footer">
    <w:name w:val="footer"/>
    <w:basedOn w:val="Normal"/>
    <w:link w:val="FooterChar"/>
    <w:uiPriority w:val="99"/>
    <w:unhideWhenUsed/>
    <w:rsid w:val="00D80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22269">
      <w:bodyDiv w:val="1"/>
      <w:marLeft w:val="0"/>
      <w:marRight w:val="0"/>
      <w:marTop w:val="0"/>
      <w:marBottom w:val="0"/>
      <w:divBdr>
        <w:top w:val="none" w:sz="0" w:space="0" w:color="auto"/>
        <w:left w:val="none" w:sz="0" w:space="0" w:color="auto"/>
        <w:bottom w:val="none" w:sz="0" w:space="0" w:color="auto"/>
        <w:right w:val="none" w:sz="0" w:space="0" w:color="auto"/>
      </w:divBdr>
    </w:div>
    <w:div w:id="370689988">
      <w:bodyDiv w:val="1"/>
      <w:marLeft w:val="0"/>
      <w:marRight w:val="0"/>
      <w:marTop w:val="0"/>
      <w:marBottom w:val="0"/>
      <w:divBdr>
        <w:top w:val="none" w:sz="0" w:space="0" w:color="auto"/>
        <w:left w:val="none" w:sz="0" w:space="0" w:color="auto"/>
        <w:bottom w:val="none" w:sz="0" w:space="0" w:color="auto"/>
        <w:right w:val="none" w:sz="0" w:space="0" w:color="auto"/>
      </w:divBdr>
    </w:div>
    <w:div w:id="1050376002">
      <w:bodyDiv w:val="1"/>
      <w:marLeft w:val="0"/>
      <w:marRight w:val="0"/>
      <w:marTop w:val="0"/>
      <w:marBottom w:val="0"/>
      <w:divBdr>
        <w:top w:val="none" w:sz="0" w:space="0" w:color="auto"/>
        <w:left w:val="none" w:sz="0" w:space="0" w:color="auto"/>
        <w:bottom w:val="none" w:sz="0" w:space="0" w:color="auto"/>
        <w:right w:val="none" w:sz="0" w:space="0" w:color="auto"/>
      </w:divBdr>
    </w:div>
    <w:div w:id="1182747271">
      <w:bodyDiv w:val="1"/>
      <w:marLeft w:val="0"/>
      <w:marRight w:val="0"/>
      <w:marTop w:val="0"/>
      <w:marBottom w:val="0"/>
      <w:divBdr>
        <w:top w:val="none" w:sz="0" w:space="0" w:color="auto"/>
        <w:left w:val="none" w:sz="0" w:space="0" w:color="auto"/>
        <w:bottom w:val="none" w:sz="0" w:space="0" w:color="auto"/>
        <w:right w:val="none" w:sz="0" w:space="0" w:color="auto"/>
      </w:divBdr>
    </w:div>
    <w:div w:id="1372876124">
      <w:bodyDiv w:val="1"/>
      <w:marLeft w:val="0"/>
      <w:marRight w:val="0"/>
      <w:marTop w:val="0"/>
      <w:marBottom w:val="0"/>
      <w:divBdr>
        <w:top w:val="none" w:sz="0" w:space="0" w:color="auto"/>
        <w:left w:val="none" w:sz="0" w:space="0" w:color="auto"/>
        <w:bottom w:val="none" w:sz="0" w:space="0" w:color="auto"/>
        <w:right w:val="none" w:sz="0" w:space="0" w:color="auto"/>
      </w:divBdr>
    </w:div>
    <w:div w:id="1787386601">
      <w:bodyDiv w:val="1"/>
      <w:marLeft w:val="0"/>
      <w:marRight w:val="0"/>
      <w:marTop w:val="0"/>
      <w:marBottom w:val="0"/>
      <w:divBdr>
        <w:top w:val="none" w:sz="0" w:space="0" w:color="auto"/>
        <w:left w:val="none" w:sz="0" w:space="0" w:color="auto"/>
        <w:bottom w:val="none" w:sz="0" w:space="0" w:color="auto"/>
        <w:right w:val="none" w:sz="0" w:space="0" w:color="auto"/>
      </w:divBdr>
    </w:div>
    <w:div w:id="1826698652">
      <w:bodyDiv w:val="1"/>
      <w:marLeft w:val="0"/>
      <w:marRight w:val="0"/>
      <w:marTop w:val="0"/>
      <w:marBottom w:val="0"/>
      <w:divBdr>
        <w:top w:val="none" w:sz="0" w:space="0" w:color="auto"/>
        <w:left w:val="none" w:sz="0" w:space="0" w:color="auto"/>
        <w:bottom w:val="none" w:sz="0" w:space="0" w:color="auto"/>
        <w:right w:val="none" w:sz="0" w:space="0" w:color="auto"/>
      </w:divBdr>
    </w:div>
    <w:div w:id="1899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Revenue</a:t>
            </a:r>
            <a:r>
              <a:rPr lang="en-GB" b="1" baseline="0"/>
              <a:t> Drivers</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Sheet1!$A$1</c:f>
              <c:strCache>
                <c:ptCount val="1"/>
                <c:pt idx="0">
                  <c:v>Revenue Drivers Stated in Billion Dollars</c:v>
                </c:pt>
              </c:strCache>
            </c:strRef>
          </c:tx>
          <c:spPr>
            <a:solidFill>
              <a:schemeClr val="accent2"/>
            </a:solidFill>
            <a:ln>
              <a:noFill/>
            </a:ln>
            <a:effectLst/>
            <a:sp3d/>
          </c:spPr>
          <c:invertIfNegative val="0"/>
          <c:val>
            <c:numRef>
              <c:f>Sheet1!$A$2:$A$6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0723-4C00-8901-97157E817A90}"/>
            </c:ext>
          </c:extLst>
        </c:ser>
        <c:ser>
          <c:idx val="1"/>
          <c:order val="1"/>
          <c:tx>
            <c:strRef>
              <c:f>Sheet1!$B$1</c:f>
              <c:strCache>
                <c:ptCount val="1"/>
                <c:pt idx="0">
                  <c:v>2022</c:v>
                </c:pt>
              </c:strCache>
            </c:strRef>
          </c:tx>
          <c:spPr>
            <a:solidFill>
              <a:schemeClr val="accent4"/>
            </a:solidFill>
            <a:ln>
              <a:noFill/>
            </a:ln>
            <a:effectLst/>
            <a:sp3d/>
          </c:spPr>
          <c:invertIfNegative val="0"/>
          <c:val>
            <c:numRef>
              <c:f>Sheet1!$B$2:$B$6</c:f>
              <c:numCache>
                <c:formatCode>General</c:formatCode>
                <c:ptCount val="5"/>
                <c:pt idx="0">
                  <c:v>1.044</c:v>
                </c:pt>
                <c:pt idx="1">
                  <c:v>2.5049999999999999</c:v>
                </c:pt>
                <c:pt idx="2">
                  <c:v>0.52900000000000003</c:v>
                </c:pt>
                <c:pt idx="3">
                  <c:v>1.367</c:v>
                </c:pt>
                <c:pt idx="4">
                  <c:v>15.417</c:v>
                </c:pt>
              </c:numCache>
            </c:numRef>
          </c:val>
          <c:extLst>
            <c:ext xmlns:c16="http://schemas.microsoft.com/office/drawing/2014/chart" uri="{C3380CC4-5D6E-409C-BE32-E72D297353CC}">
              <c16:uniqueId val="{00000001-0723-4C00-8901-97157E817A90}"/>
            </c:ext>
          </c:extLst>
        </c:ser>
        <c:ser>
          <c:idx val="2"/>
          <c:order val="2"/>
          <c:tx>
            <c:strRef>
              <c:f>Sheet1!$C$1</c:f>
              <c:strCache>
                <c:ptCount val="1"/>
                <c:pt idx="0">
                  <c:v>2023</c:v>
                </c:pt>
              </c:strCache>
            </c:strRef>
          </c:tx>
          <c:spPr>
            <a:solidFill>
              <a:schemeClr val="accent6"/>
            </a:solidFill>
            <a:ln>
              <a:noFill/>
            </a:ln>
            <a:effectLst/>
            <a:sp3d/>
          </c:spPr>
          <c:invertIfNegative val="0"/>
          <c:val>
            <c:numRef>
              <c:f>Sheet1!$C$2:$C$6</c:f>
              <c:numCache>
                <c:formatCode>General</c:formatCode>
                <c:ptCount val="5"/>
                <c:pt idx="0">
                  <c:v>1.238</c:v>
                </c:pt>
                <c:pt idx="1">
                  <c:v>2.831</c:v>
                </c:pt>
                <c:pt idx="2">
                  <c:v>0.755</c:v>
                </c:pt>
                <c:pt idx="3">
                  <c:v>1.5640000000000001</c:v>
                </c:pt>
                <c:pt idx="4">
                  <c:v>17.413</c:v>
                </c:pt>
              </c:numCache>
            </c:numRef>
          </c:val>
          <c:extLst>
            <c:ext xmlns:c16="http://schemas.microsoft.com/office/drawing/2014/chart" uri="{C3380CC4-5D6E-409C-BE32-E72D297353CC}">
              <c16:uniqueId val="{00000002-0723-4C00-8901-97157E817A90}"/>
            </c:ext>
          </c:extLst>
        </c:ser>
        <c:dLbls>
          <c:showLegendKey val="0"/>
          <c:showVal val="0"/>
          <c:showCatName val="0"/>
          <c:showSerName val="0"/>
          <c:showPercent val="0"/>
          <c:showBubbleSize val="0"/>
        </c:dLbls>
        <c:gapWidth val="150"/>
        <c:shape val="box"/>
        <c:axId val="333429200"/>
        <c:axId val="333424496"/>
        <c:axId val="0"/>
      </c:bar3DChart>
      <c:catAx>
        <c:axId val="333429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424496"/>
        <c:crosses val="autoZero"/>
        <c:auto val="1"/>
        <c:lblAlgn val="ctr"/>
        <c:lblOffset val="100"/>
        <c:noMultiLvlLbl val="0"/>
      </c:catAx>
      <c:valAx>
        <c:axId val="333424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429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Cost Drivers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2022</c:v>
                </c:pt>
              </c:strCache>
            </c:strRef>
          </c:tx>
          <c:spPr>
            <a:solidFill>
              <a:schemeClr val="accent1"/>
            </a:solidFill>
            <a:ln>
              <a:noFill/>
            </a:ln>
            <a:effectLst/>
            <a:sp3d/>
          </c:spPr>
          <c:invertIfNegative val="0"/>
          <c:cat>
            <c:strRef>
              <c:f>Sheet1!$A$2:$A$6</c:f>
              <c:strCache>
                <c:ptCount val="5"/>
                <c:pt idx="0">
                  <c:v>Owned, leased, and other - direct</c:v>
                </c:pt>
                <c:pt idx="1">
                  <c:v>Depreciation, amortization, and other</c:v>
                </c:pt>
                <c:pt idx="2">
                  <c:v>General, administrative, and other</c:v>
                </c:pt>
                <c:pt idx="3">
                  <c:v>Merger-related charges and other</c:v>
                </c:pt>
                <c:pt idx="4">
                  <c:v>Reimbursed expenses </c:v>
                </c:pt>
              </c:strCache>
            </c:strRef>
          </c:cat>
          <c:val>
            <c:numRef>
              <c:f>Sheet1!$B$2:$B$6</c:f>
              <c:numCache>
                <c:formatCode>General</c:formatCode>
                <c:ptCount val="5"/>
                <c:pt idx="0">
                  <c:v>1.0740000000000001</c:v>
                </c:pt>
                <c:pt idx="1">
                  <c:v>0.193</c:v>
                </c:pt>
                <c:pt idx="2">
                  <c:v>0.89100000000000001</c:v>
                </c:pt>
                <c:pt idx="3">
                  <c:v>1.2E-2</c:v>
                </c:pt>
                <c:pt idx="4">
                  <c:v>15.141</c:v>
                </c:pt>
              </c:numCache>
            </c:numRef>
          </c:val>
          <c:extLst>
            <c:ext xmlns:c16="http://schemas.microsoft.com/office/drawing/2014/chart" uri="{C3380CC4-5D6E-409C-BE32-E72D297353CC}">
              <c16:uniqueId val="{00000000-B501-4AB5-BB00-342BA7A7543A}"/>
            </c:ext>
          </c:extLst>
        </c:ser>
        <c:ser>
          <c:idx val="1"/>
          <c:order val="1"/>
          <c:tx>
            <c:strRef>
              <c:f>Sheet1!$C$1</c:f>
              <c:strCache>
                <c:ptCount val="1"/>
                <c:pt idx="0">
                  <c:v>2023</c:v>
                </c:pt>
              </c:strCache>
            </c:strRef>
          </c:tx>
          <c:spPr>
            <a:solidFill>
              <a:schemeClr val="accent2"/>
            </a:solidFill>
            <a:ln>
              <a:noFill/>
            </a:ln>
            <a:effectLst/>
            <a:sp3d/>
          </c:spPr>
          <c:invertIfNegative val="0"/>
          <c:cat>
            <c:strRef>
              <c:f>Sheet1!$A$2:$A$6</c:f>
              <c:strCache>
                <c:ptCount val="5"/>
                <c:pt idx="0">
                  <c:v>Owned, leased, and other - direct</c:v>
                </c:pt>
                <c:pt idx="1">
                  <c:v>Depreciation, amortization, and other</c:v>
                </c:pt>
                <c:pt idx="2">
                  <c:v>General, administrative, and other</c:v>
                </c:pt>
                <c:pt idx="3">
                  <c:v>Merger-related charges and other</c:v>
                </c:pt>
                <c:pt idx="4">
                  <c:v>Reimbursed expenses </c:v>
                </c:pt>
              </c:strCache>
            </c:strRef>
          </c:cat>
          <c:val>
            <c:numRef>
              <c:f>Sheet1!$C$2:$C$6</c:f>
              <c:numCache>
                <c:formatCode>General</c:formatCode>
                <c:ptCount val="5"/>
                <c:pt idx="0">
                  <c:v>1.165</c:v>
                </c:pt>
                <c:pt idx="1">
                  <c:v>0.189</c:v>
                </c:pt>
                <c:pt idx="2">
                  <c:v>1.0109999999999999</c:v>
                </c:pt>
                <c:pt idx="3">
                  <c:v>0.06</c:v>
                </c:pt>
                <c:pt idx="4">
                  <c:v>17.423999999999999</c:v>
                </c:pt>
              </c:numCache>
            </c:numRef>
          </c:val>
          <c:extLst>
            <c:ext xmlns:c16="http://schemas.microsoft.com/office/drawing/2014/chart" uri="{C3380CC4-5D6E-409C-BE32-E72D297353CC}">
              <c16:uniqueId val="{00000001-B501-4AB5-BB00-342BA7A7543A}"/>
            </c:ext>
          </c:extLst>
        </c:ser>
        <c:dLbls>
          <c:showLegendKey val="0"/>
          <c:showVal val="0"/>
          <c:showCatName val="0"/>
          <c:showSerName val="0"/>
          <c:showPercent val="0"/>
          <c:showBubbleSize val="0"/>
        </c:dLbls>
        <c:gapWidth val="150"/>
        <c:shape val="box"/>
        <c:axId val="333423320"/>
        <c:axId val="333429592"/>
        <c:axId val="0"/>
      </c:bar3DChart>
      <c:catAx>
        <c:axId val="333423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429592"/>
        <c:crosses val="autoZero"/>
        <c:auto val="1"/>
        <c:lblAlgn val="ctr"/>
        <c:lblOffset val="100"/>
        <c:noMultiLvlLbl val="0"/>
      </c:catAx>
      <c:valAx>
        <c:axId val="333429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423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Revenue Drivers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2023</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total sales</c:v>
                </c:pt>
                <c:pt idx="1">
                  <c:v>MedTech segment sales</c:v>
                </c:pt>
                <c:pt idx="2">
                  <c:v>Total Innovative Medicine Sales</c:v>
                </c:pt>
              </c:strCache>
            </c:strRef>
          </c:cat>
          <c:val>
            <c:numRef>
              <c:f>Sheet1!$B$2:$B$4</c:f>
              <c:numCache>
                <c:formatCode>General</c:formatCode>
                <c:ptCount val="3"/>
                <c:pt idx="0">
                  <c:v>85.159000000000006</c:v>
                </c:pt>
                <c:pt idx="1">
                  <c:v>30.4</c:v>
                </c:pt>
                <c:pt idx="2">
                  <c:v>54.759</c:v>
                </c:pt>
              </c:numCache>
            </c:numRef>
          </c:val>
          <c:extLst>
            <c:ext xmlns:c16="http://schemas.microsoft.com/office/drawing/2014/chart" uri="{C3380CC4-5D6E-409C-BE32-E72D297353CC}">
              <c16:uniqueId val="{00000000-D595-4EDA-AADB-611708313AE5}"/>
            </c:ext>
          </c:extLst>
        </c:ser>
        <c:ser>
          <c:idx val="1"/>
          <c:order val="1"/>
          <c:tx>
            <c:strRef>
              <c:f>Sheet1!$C$1</c:f>
              <c:strCache>
                <c:ptCount val="1"/>
                <c:pt idx="0">
                  <c:v>2022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total sales</c:v>
                </c:pt>
                <c:pt idx="1">
                  <c:v>MedTech segment sales</c:v>
                </c:pt>
                <c:pt idx="2">
                  <c:v>Total Innovative Medicine Sales</c:v>
                </c:pt>
              </c:strCache>
            </c:strRef>
          </c:cat>
          <c:val>
            <c:numRef>
              <c:f>Sheet1!$C$2:$C$4</c:f>
              <c:numCache>
                <c:formatCode>General</c:formatCode>
                <c:ptCount val="3"/>
                <c:pt idx="0">
                  <c:v>79.989999999999995</c:v>
                </c:pt>
                <c:pt idx="1">
                  <c:v>27.427</c:v>
                </c:pt>
                <c:pt idx="2">
                  <c:v>52.563000000000002</c:v>
                </c:pt>
              </c:numCache>
            </c:numRef>
          </c:val>
          <c:extLst>
            <c:ext xmlns:c16="http://schemas.microsoft.com/office/drawing/2014/chart" uri="{C3380CC4-5D6E-409C-BE32-E72D297353CC}">
              <c16:uniqueId val="{00000001-D595-4EDA-AADB-611708313AE5}"/>
            </c:ext>
          </c:extLst>
        </c:ser>
        <c:dLbls>
          <c:dLblPos val="outEnd"/>
          <c:showLegendKey val="0"/>
          <c:showVal val="1"/>
          <c:showCatName val="0"/>
          <c:showSerName val="0"/>
          <c:showPercent val="0"/>
          <c:showBubbleSize val="0"/>
        </c:dLbls>
        <c:gapWidth val="444"/>
        <c:overlap val="-90"/>
        <c:axId val="333429984"/>
        <c:axId val="333423712"/>
      </c:barChart>
      <c:catAx>
        <c:axId val="333429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33423712"/>
        <c:crosses val="autoZero"/>
        <c:auto val="1"/>
        <c:lblAlgn val="ctr"/>
        <c:lblOffset val="100"/>
        <c:noMultiLvlLbl val="0"/>
      </c:catAx>
      <c:valAx>
        <c:axId val="333423712"/>
        <c:scaling>
          <c:orientation val="minMax"/>
        </c:scaling>
        <c:delete val="1"/>
        <c:axPos val="l"/>
        <c:numFmt formatCode="General" sourceLinked="1"/>
        <c:majorTickMark val="none"/>
        <c:minorTickMark val="none"/>
        <c:tickLblPos val="nextTo"/>
        <c:crossAx val="333429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Cost Drivers</a:t>
            </a:r>
            <a:r>
              <a:rPr lang="en-GB" sz="1400" b="1" i="0" u="none" strike="noStrike" baseline="0"/>
              <a:t> </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2022</c:v>
                </c:pt>
              </c:strCache>
            </c:strRef>
          </c:tx>
          <c:spPr>
            <a:solidFill>
              <a:schemeClr val="accent6"/>
            </a:solidFill>
            <a:ln>
              <a:noFill/>
            </a:ln>
            <a:effectLst/>
            <a:sp3d/>
          </c:spPr>
          <c:invertIfNegative val="0"/>
          <c:cat>
            <c:strRef>
              <c:f>Sheet1!$A$2:$A$4</c:f>
              <c:strCache>
                <c:ptCount val="3"/>
                <c:pt idx="0">
                  <c:v>cost of products sold</c:v>
                </c:pt>
                <c:pt idx="1">
                  <c:v>selling, marketing, and administrative expenses </c:v>
                </c:pt>
                <c:pt idx="2">
                  <c:v>R&amp;D</c:v>
                </c:pt>
              </c:strCache>
            </c:strRef>
          </c:cat>
          <c:val>
            <c:numRef>
              <c:f>Sheet1!$B$2:$B$4</c:f>
              <c:numCache>
                <c:formatCode>General</c:formatCode>
                <c:ptCount val="3"/>
                <c:pt idx="0">
                  <c:v>24.596</c:v>
                </c:pt>
                <c:pt idx="1">
                  <c:v>20.2</c:v>
                </c:pt>
                <c:pt idx="2">
                  <c:v>14.135</c:v>
                </c:pt>
              </c:numCache>
            </c:numRef>
          </c:val>
          <c:extLst>
            <c:ext xmlns:c16="http://schemas.microsoft.com/office/drawing/2014/chart" uri="{C3380CC4-5D6E-409C-BE32-E72D297353CC}">
              <c16:uniqueId val="{00000000-88EA-4349-95B1-55A256731D62}"/>
            </c:ext>
          </c:extLst>
        </c:ser>
        <c:ser>
          <c:idx val="1"/>
          <c:order val="1"/>
          <c:tx>
            <c:strRef>
              <c:f>Sheet1!$C$1</c:f>
              <c:strCache>
                <c:ptCount val="1"/>
                <c:pt idx="0">
                  <c:v>2023</c:v>
                </c:pt>
              </c:strCache>
            </c:strRef>
          </c:tx>
          <c:spPr>
            <a:solidFill>
              <a:schemeClr val="accent5"/>
            </a:solidFill>
            <a:ln>
              <a:noFill/>
            </a:ln>
            <a:effectLst/>
            <a:sp3d/>
          </c:spPr>
          <c:invertIfNegative val="0"/>
          <c:cat>
            <c:strRef>
              <c:f>Sheet1!$A$2:$A$4</c:f>
              <c:strCache>
                <c:ptCount val="3"/>
                <c:pt idx="0">
                  <c:v>cost of products sold</c:v>
                </c:pt>
                <c:pt idx="1">
                  <c:v>selling, marketing, and administrative expenses </c:v>
                </c:pt>
                <c:pt idx="2">
                  <c:v>R&amp;D</c:v>
                </c:pt>
              </c:strCache>
            </c:strRef>
          </c:cat>
          <c:val>
            <c:numRef>
              <c:f>Sheet1!$C$2:$C$4</c:f>
              <c:numCache>
                <c:formatCode>General</c:formatCode>
                <c:ptCount val="3"/>
                <c:pt idx="0">
                  <c:v>26.553000000000001</c:v>
                </c:pt>
                <c:pt idx="1">
                  <c:v>21.5</c:v>
                </c:pt>
                <c:pt idx="2">
                  <c:v>15.085000000000001</c:v>
                </c:pt>
              </c:numCache>
            </c:numRef>
          </c:val>
          <c:extLst>
            <c:ext xmlns:c16="http://schemas.microsoft.com/office/drawing/2014/chart" uri="{C3380CC4-5D6E-409C-BE32-E72D297353CC}">
              <c16:uniqueId val="{00000001-88EA-4349-95B1-55A256731D62}"/>
            </c:ext>
          </c:extLst>
        </c:ser>
        <c:dLbls>
          <c:showLegendKey val="0"/>
          <c:showVal val="0"/>
          <c:showCatName val="0"/>
          <c:showSerName val="0"/>
          <c:showPercent val="0"/>
          <c:showBubbleSize val="0"/>
        </c:dLbls>
        <c:gapWidth val="150"/>
        <c:shape val="box"/>
        <c:axId val="333424888"/>
        <c:axId val="333425672"/>
        <c:axId val="0"/>
      </c:bar3DChart>
      <c:catAx>
        <c:axId val="3334248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425672"/>
        <c:crosses val="autoZero"/>
        <c:auto val="1"/>
        <c:lblAlgn val="ctr"/>
        <c:lblOffset val="100"/>
        <c:noMultiLvlLbl val="0"/>
      </c:catAx>
      <c:valAx>
        <c:axId val="333425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424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5</Pages>
  <Words>1542</Words>
  <Characters>8530</Characters>
  <Application>Microsoft Office Word</Application>
  <DocSecurity>0</DocSecurity>
  <Lines>145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Adedayo Ajibare</cp:lastModifiedBy>
  <cp:revision>44</cp:revision>
  <dcterms:created xsi:type="dcterms:W3CDTF">2024-10-10T07:02:00Z</dcterms:created>
  <dcterms:modified xsi:type="dcterms:W3CDTF">2024-10-13T14:23:00Z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68affa56087a8f3bb87f0b06b376164967d3b4db3216959cfafb8c694584508b</vt:lpwstr>
  </property>
</Properties>
</file>