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2C820" w14:textId="406AABBB" w:rsidR="000C6AAD" w:rsidRPr="00007E00" w:rsidRDefault="000C6AAD" w:rsidP="00007E00">
      <w:pPr>
        <w:spacing w:line="360" w:lineRule="auto"/>
        <w:jc w:val="center"/>
        <w:rPr>
          <w:rFonts w:ascii="Verdana" w:hAnsi="Verdana"/>
          <w:b/>
          <w:bCs/>
          <w:sz w:val="36"/>
          <w:szCs w:val="36"/>
        </w:rPr>
      </w:pPr>
      <w:r w:rsidRPr="00007E00">
        <w:rPr>
          <w:rFonts w:ascii="Verdana" w:hAnsi="Verdana"/>
          <w:b/>
          <w:bCs/>
          <w:sz w:val="36"/>
          <w:szCs w:val="36"/>
        </w:rPr>
        <w:t>Financial Report for Apple Inc. (2020-2022)</w:t>
      </w:r>
    </w:p>
    <w:p w14:paraId="7447B626" w14:textId="57808CE0" w:rsidR="000C6AAD" w:rsidRPr="00007E00" w:rsidRDefault="000C6AAD" w:rsidP="001C498D">
      <w:pPr>
        <w:spacing w:line="360" w:lineRule="auto"/>
        <w:jc w:val="both"/>
        <w:rPr>
          <w:rFonts w:ascii="Verdana" w:hAnsi="Verdana"/>
          <w:b/>
          <w:bCs/>
          <w:szCs w:val="24"/>
          <w:u w:val="single"/>
        </w:rPr>
      </w:pPr>
      <w:r w:rsidRPr="00007E00">
        <w:rPr>
          <w:rFonts w:ascii="Verdana" w:hAnsi="Verdana"/>
          <w:b/>
          <w:bCs/>
          <w:szCs w:val="24"/>
          <w:u w:val="single"/>
        </w:rPr>
        <w:t xml:space="preserve">Executive Summary </w:t>
      </w:r>
    </w:p>
    <w:p w14:paraId="546821AC" w14:textId="4B8D9703" w:rsidR="001C498D" w:rsidRPr="001C498D" w:rsidRDefault="000C6AAD" w:rsidP="001C498D">
      <w:pPr>
        <w:spacing w:line="360" w:lineRule="auto"/>
        <w:jc w:val="both"/>
        <w:rPr>
          <w:rFonts w:ascii="Verdana" w:hAnsi="Verdana"/>
          <w:szCs w:val="24"/>
        </w:rPr>
      </w:pPr>
      <w:r w:rsidRPr="001C498D">
        <w:rPr>
          <w:rFonts w:ascii="Verdana" w:hAnsi="Verdana"/>
          <w:szCs w:val="24"/>
        </w:rPr>
        <w:t xml:space="preserve">This financial report </w:t>
      </w:r>
      <w:r w:rsidRPr="001C498D">
        <w:rPr>
          <w:rFonts w:ascii="Verdana" w:hAnsi="Verdana"/>
          <w:szCs w:val="24"/>
        </w:rPr>
        <w:t>shows</w:t>
      </w:r>
      <w:r w:rsidRPr="001C498D">
        <w:rPr>
          <w:rFonts w:ascii="Verdana" w:hAnsi="Verdana"/>
          <w:szCs w:val="24"/>
        </w:rPr>
        <w:t xml:space="preserve"> a comprehensive </w:t>
      </w:r>
      <w:r w:rsidRPr="001C498D">
        <w:rPr>
          <w:rFonts w:ascii="Verdana" w:hAnsi="Verdana"/>
          <w:szCs w:val="24"/>
        </w:rPr>
        <w:t>analysis</w:t>
      </w:r>
      <w:r w:rsidRPr="001C498D">
        <w:rPr>
          <w:rFonts w:ascii="Verdana" w:hAnsi="Verdana"/>
          <w:szCs w:val="24"/>
        </w:rPr>
        <w:t xml:space="preserve"> of Apple Inc.’s performance from 2020 to 2022. It </w:t>
      </w:r>
      <w:r w:rsidRPr="001C498D">
        <w:rPr>
          <w:rFonts w:ascii="Verdana" w:hAnsi="Verdana"/>
          <w:szCs w:val="24"/>
        </w:rPr>
        <w:t>analyses</w:t>
      </w:r>
      <w:r w:rsidRPr="001C498D">
        <w:rPr>
          <w:rFonts w:ascii="Verdana" w:hAnsi="Verdana"/>
          <w:szCs w:val="24"/>
        </w:rPr>
        <w:t xml:space="preserve"> key financial indicators, including liquidity, profitability, solvency, asset utili</w:t>
      </w:r>
      <w:r w:rsidRPr="001C498D">
        <w:rPr>
          <w:rFonts w:ascii="Verdana" w:hAnsi="Verdana"/>
          <w:szCs w:val="24"/>
        </w:rPr>
        <w:t>s</w:t>
      </w:r>
      <w:r w:rsidRPr="001C498D">
        <w:rPr>
          <w:rFonts w:ascii="Verdana" w:hAnsi="Verdana"/>
          <w:szCs w:val="24"/>
        </w:rPr>
        <w:t>ation, and investor/market ratios, to assess the company’s financial well-being and operational effectiveness. The findings indicate that Apple remains financially strong with sustained market confidence, though there are concerns regarding rising debt levels and a decline in free cash flow per share in 2022.</w:t>
      </w:r>
    </w:p>
    <w:p w14:paraId="79F1BFF5" w14:textId="11E71F77" w:rsidR="001C498D" w:rsidRPr="001C498D" w:rsidRDefault="001C498D" w:rsidP="001C498D">
      <w:pPr>
        <w:spacing w:line="360" w:lineRule="auto"/>
        <w:jc w:val="both"/>
        <w:rPr>
          <w:rFonts w:ascii="Verdana" w:hAnsi="Verdana"/>
          <w:szCs w:val="24"/>
        </w:rPr>
      </w:pPr>
      <w:r w:rsidRPr="001C498D">
        <w:rPr>
          <w:rFonts w:ascii="Verdana" w:hAnsi="Verdana"/>
          <w:szCs w:val="24"/>
        </w:rPr>
        <w:t>The analysis will be of particular interest to investors, analysts, and stakeholders assessing Apple’s financial health and long-term investment potential. Given the company’s market strength, the results suggest that while Apple remains a fundamentally strong company, its increasing reliance on debt and cash flow challenges in 2022 necessitate a cautious outlook.</w:t>
      </w:r>
    </w:p>
    <w:p w14:paraId="3F4C1F96" w14:textId="07439C9C" w:rsidR="000C6AAD" w:rsidRDefault="000C6AAD" w:rsidP="001C498D">
      <w:pPr>
        <w:pStyle w:val="ListParagraph"/>
        <w:numPr>
          <w:ilvl w:val="0"/>
          <w:numId w:val="1"/>
        </w:numPr>
        <w:spacing w:line="360" w:lineRule="auto"/>
        <w:jc w:val="both"/>
        <w:rPr>
          <w:rFonts w:ascii="Verdana" w:hAnsi="Verdana"/>
          <w:b/>
          <w:bCs/>
          <w:szCs w:val="24"/>
          <w:u w:val="single"/>
        </w:rPr>
      </w:pPr>
      <w:r w:rsidRPr="00007E00">
        <w:rPr>
          <w:rFonts w:ascii="Verdana" w:hAnsi="Verdana"/>
          <w:b/>
          <w:bCs/>
          <w:szCs w:val="24"/>
          <w:u w:val="single"/>
        </w:rPr>
        <w:t>Liquidity Ratios</w:t>
      </w: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1561"/>
        <w:gridCol w:w="1561"/>
        <w:gridCol w:w="1434"/>
      </w:tblGrid>
      <w:tr w:rsidR="00007E00" w:rsidRPr="00007E00" w14:paraId="30F40269" w14:textId="77777777" w:rsidTr="00007E00">
        <w:trPr>
          <w:trHeight w:val="320"/>
        </w:trPr>
        <w:tc>
          <w:tcPr>
            <w:tcW w:w="4960" w:type="dxa"/>
            <w:shd w:val="clear" w:color="auto" w:fill="auto"/>
            <w:noWrap/>
            <w:vAlign w:val="bottom"/>
          </w:tcPr>
          <w:p w14:paraId="6CAEF9BC" w14:textId="7BA135C9" w:rsidR="00007E00" w:rsidRPr="007901B3" w:rsidRDefault="00007E00" w:rsidP="00007E00">
            <w:pPr>
              <w:spacing w:after="0" w:line="240" w:lineRule="auto"/>
              <w:rPr>
                <w:rFonts w:ascii="Verdana" w:eastAsia="Times New Roman" w:hAnsi="Verdana" w:cs="Calibri"/>
                <w:b/>
                <w:bCs/>
                <w:color w:val="000000"/>
                <w:kern w:val="0"/>
                <w:sz w:val="20"/>
                <w:szCs w:val="20"/>
                <w:lang w:eastAsia="en-GB"/>
                <w14:ligatures w14:val="none"/>
              </w:rPr>
            </w:pPr>
            <w:r w:rsidRPr="007901B3">
              <w:rPr>
                <w:rFonts w:ascii="Verdana" w:eastAsia="Times New Roman" w:hAnsi="Verdana" w:cs="Calibri"/>
                <w:b/>
                <w:bCs/>
                <w:color w:val="000000"/>
                <w:kern w:val="0"/>
                <w:sz w:val="20"/>
                <w:szCs w:val="20"/>
                <w:lang w:eastAsia="en-GB"/>
                <w14:ligatures w14:val="none"/>
              </w:rPr>
              <w:t>Ratio</w:t>
            </w:r>
          </w:p>
        </w:tc>
        <w:tc>
          <w:tcPr>
            <w:tcW w:w="1434" w:type="dxa"/>
            <w:shd w:val="clear" w:color="auto" w:fill="auto"/>
            <w:noWrap/>
            <w:vAlign w:val="bottom"/>
          </w:tcPr>
          <w:p w14:paraId="0FAF91C4" w14:textId="241F2404" w:rsidR="00007E00" w:rsidRPr="007901B3" w:rsidRDefault="00007E00" w:rsidP="00007E00">
            <w:pPr>
              <w:spacing w:after="0" w:line="240" w:lineRule="auto"/>
              <w:jc w:val="right"/>
              <w:rPr>
                <w:rFonts w:ascii="Verdana" w:eastAsia="Arial Unicode MS" w:hAnsi="Verdana" w:cs="Arial Unicode MS"/>
                <w:b/>
                <w:bCs/>
                <w:color w:val="000000"/>
                <w:kern w:val="0"/>
                <w:sz w:val="20"/>
                <w:szCs w:val="20"/>
                <w:lang w:eastAsia="en-GB"/>
                <w14:ligatures w14:val="none"/>
              </w:rPr>
            </w:pPr>
            <w:r w:rsidRPr="007901B3">
              <w:rPr>
                <w:rFonts w:ascii="Verdana" w:eastAsia="Arial Unicode MS" w:hAnsi="Verdana" w:cs="Arial Unicode MS"/>
                <w:b/>
                <w:bCs/>
                <w:color w:val="000000"/>
                <w:kern w:val="0"/>
                <w:sz w:val="20"/>
                <w:szCs w:val="20"/>
                <w:lang w:eastAsia="en-GB"/>
                <w14:ligatures w14:val="none"/>
              </w:rPr>
              <w:t>2020</w:t>
            </w:r>
          </w:p>
        </w:tc>
        <w:tc>
          <w:tcPr>
            <w:tcW w:w="1561" w:type="dxa"/>
            <w:shd w:val="clear" w:color="auto" w:fill="auto"/>
            <w:noWrap/>
            <w:vAlign w:val="bottom"/>
          </w:tcPr>
          <w:p w14:paraId="5D77D867" w14:textId="0C1D1BD4" w:rsidR="00007E00" w:rsidRPr="007901B3" w:rsidRDefault="00007E00" w:rsidP="00007E00">
            <w:pPr>
              <w:spacing w:after="0" w:line="240" w:lineRule="auto"/>
              <w:jc w:val="right"/>
              <w:rPr>
                <w:rFonts w:ascii="Verdana" w:eastAsia="Arial Unicode MS" w:hAnsi="Verdana" w:cs="Arial Unicode MS"/>
                <w:b/>
                <w:bCs/>
                <w:color w:val="000000"/>
                <w:kern w:val="0"/>
                <w:sz w:val="20"/>
                <w:szCs w:val="20"/>
                <w:lang w:eastAsia="en-GB"/>
                <w14:ligatures w14:val="none"/>
              </w:rPr>
            </w:pPr>
            <w:r w:rsidRPr="007901B3">
              <w:rPr>
                <w:rFonts w:ascii="Verdana" w:eastAsia="Arial Unicode MS" w:hAnsi="Verdana" w:cs="Arial Unicode MS"/>
                <w:b/>
                <w:bCs/>
                <w:color w:val="000000"/>
                <w:kern w:val="0"/>
                <w:sz w:val="20"/>
                <w:szCs w:val="20"/>
                <w:lang w:eastAsia="en-GB"/>
                <w14:ligatures w14:val="none"/>
              </w:rPr>
              <w:t>2021</w:t>
            </w:r>
          </w:p>
        </w:tc>
        <w:tc>
          <w:tcPr>
            <w:tcW w:w="1434" w:type="dxa"/>
            <w:shd w:val="clear" w:color="auto" w:fill="auto"/>
            <w:noWrap/>
            <w:vAlign w:val="bottom"/>
          </w:tcPr>
          <w:p w14:paraId="59B5DD34" w14:textId="3E1653A7" w:rsidR="00007E00" w:rsidRPr="007901B3" w:rsidRDefault="00007E00" w:rsidP="00007E00">
            <w:pPr>
              <w:spacing w:after="0" w:line="240" w:lineRule="auto"/>
              <w:jc w:val="right"/>
              <w:rPr>
                <w:rFonts w:ascii="Verdana" w:eastAsia="Arial Unicode MS" w:hAnsi="Verdana" w:cs="Arial Unicode MS"/>
                <w:b/>
                <w:bCs/>
                <w:color w:val="000000"/>
                <w:kern w:val="0"/>
                <w:sz w:val="20"/>
                <w:szCs w:val="20"/>
                <w:lang w:eastAsia="en-GB"/>
                <w14:ligatures w14:val="none"/>
              </w:rPr>
            </w:pPr>
            <w:r w:rsidRPr="007901B3">
              <w:rPr>
                <w:rFonts w:ascii="Verdana" w:eastAsia="Arial Unicode MS" w:hAnsi="Verdana" w:cs="Arial Unicode MS"/>
                <w:b/>
                <w:bCs/>
                <w:color w:val="000000"/>
                <w:kern w:val="0"/>
                <w:sz w:val="20"/>
                <w:szCs w:val="20"/>
                <w:lang w:eastAsia="en-GB"/>
                <w14:ligatures w14:val="none"/>
              </w:rPr>
              <w:t>2022</w:t>
            </w:r>
          </w:p>
        </w:tc>
      </w:tr>
      <w:tr w:rsidR="00007E00" w:rsidRPr="00007E00" w14:paraId="6BD55784" w14:textId="77777777" w:rsidTr="00007E00">
        <w:trPr>
          <w:trHeight w:val="320"/>
        </w:trPr>
        <w:tc>
          <w:tcPr>
            <w:tcW w:w="4960" w:type="dxa"/>
            <w:shd w:val="clear" w:color="auto" w:fill="auto"/>
            <w:noWrap/>
            <w:vAlign w:val="bottom"/>
            <w:hideMark/>
          </w:tcPr>
          <w:p w14:paraId="3AD1B4BB" w14:textId="77777777" w:rsidR="00007E00" w:rsidRPr="00007E00" w:rsidRDefault="00007E00" w:rsidP="00007E00">
            <w:pPr>
              <w:spacing w:after="0" w:line="240" w:lineRule="auto"/>
              <w:rPr>
                <w:rFonts w:ascii="Verdana" w:eastAsia="Times New Roman" w:hAnsi="Verdana" w:cs="Calibri"/>
                <w:b/>
                <w:bCs/>
                <w:color w:val="000000"/>
                <w:kern w:val="0"/>
                <w:sz w:val="20"/>
                <w:szCs w:val="20"/>
                <w:lang w:eastAsia="en-GB"/>
                <w14:ligatures w14:val="none"/>
              </w:rPr>
            </w:pPr>
            <w:r w:rsidRPr="00007E00">
              <w:rPr>
                <w:rFonts w:ascii="Verdana" w:eastAsia="Times New Roman" w:hAnsi="Verdana" w:cs="Calibri"/>
                <w:b/>
                <w:bCs/>
                <w:color w:val="000000"/>
                <w:kern w:val="0"/>
                <w:sz w:val="20"/>
                <w:szCs w:val="20"/>
                <w:lang w:eastAsia="en-GB"/>
                <w14:ligatures w14:val="none"/>
              </w:rPr>
              <w:t>Current ratio</w:t>
            </w:r>
          </w:p>
        </w:tc>
        <w:tc>
          <w:tcPr>
            <w:tcW w:w="1434" w:type="dxa"/>
            <w:shd w:val="clear" w:color="auto" w:fill="auto"/>
            <w:noWrap/>
            <w:vAlign w:val="bottom"/>
            <w:hideMark/>
          </w:tcPr>
          <w:p w14:paraId="1A0F2F78" w14:textId="333CEE20" w:rsidR="00007E00" w:rsidRPr="00007E00" w:rsidRDefault="00007E00" w:rsidP="00007E00">
            <w:pPr>
              <w:spacing w:after="0" w:line="240" w:lineRule="auto"/>
              <w:jc w:val="right"/>
              <w:rPr>
                <w:rFonts w:ascii="Verdana" w:eastAsia="Arial Unicode MS" w:hAnsi="Verdana" w:cs="Arial Unicode MS"/>
                <w:color w:val="000000"/>
                <w:kern w:val="0"/>
                <w:sz w:val="20"/>
                <w:szCs w:val="20"/>
                <w:lang w:eastAsia="en-GB"/>
                <w14:ligatures w14:val="none"/>
              </w:rPr>
            </w:pPr>
            <w:r w:rsidRPr="00007E00">
              <w:rPr>
                <w:rFonts w:ascii="Verdana" w:eastAsia="Arial Unicode MS" w:hAnsi="Verdana" w:cs="Arial Unicode MS"/>
                <w:color w:val="000000"/>
                <w:kern w:val="0"/>
                <w:sz w:val="20"/>
                <w:szCs w:val="20"/>
                <w:lang w:eastAsia="en-GB"/>
                <w14:ligatures w14:val="none"/>
              </w:rPr>
              <w:t>1.363604448</w:t>
            </w:r>
          </w:p>
        </w:tc>
        <w:tc>
          <w:tcPr>
            <w:tcW w:w="1561" w:type="dxa"/>
            <w:shd w:val="clear" w:color="auto" w:fill="auto"/>
            <w:noWrap/>
            <w:vAlign w:val="bottom"/>
            <w:hideMark/>
          </w:tcPr>
          <w:p w14:paraId="539CD7A6" w14:textId="77777777" w:rsidR="00007E00" w:rsidRPr="00007E00" w:rsidRDefault="00007E00" w:rsidP="00007E00">
            <w:pPr>
              <w:spacing w:after="0" w:line="240" w:lineRule="auto"/>
              <w:jc w:val="right"/>
              <w:rPr>
                <w:rFonts w:ascii="Verdana" w:eastAsia="Arial Unicode MS" w:hAnsi="Verdana" w:cs="Arial Unicode MS"/>
                <w:color w:val="000000"/>
                <w:kern w:val="0"/>
                <w:sz w:val="20"/>
                <w:szCs w:val="20"/>
                <w:lang w:eastAsia="en-GB"/>
                <w14:ligatures w14:val="none"/>
              </w:rPr>
            </w:pPr>
            <w:r w:rsidRPr="00007E00">
              <w:rPr>
                <w:rFonts w:ascii="Verdana" w:eastAsia="Arial Unicode MS" w:hAnsi="Verdana" w:cs="Arial Unicode MS"/>
                <w:color w:val="000000"/>
                <w:kern w:val="0"/>
                <w:sz w:val="20"/>
                <w:szCs w:val="20"/>
                <w:lang w:eastAsia="en-GB"/>
                <w14:ligatures w14:val="none"/>
              </w:rPr>
              <w:t>1.07455312</w:t>
            </w:r>
          </w:p>
        </w:tc>
        <w:tc>
          <w:tcPr>
            <w:tcW w:w="1434" w:type="dxa"/>
            <w:shd w:val="clear" w:color="auto" w:fill="auto"/>
            <w:noWrap/>
            <w:vAlign w:val="bottom"/>
            <w:hideMark/>
          </w:tcPr>
          <w:p w14:paraId="4309D8F7" w14:textId="06A54ED2" w:rsidR="00007E00" w:rsidRPr="00007E00" w:rsidRDefault="00007E00" w:rsidP="00007E00">
            <w:pPr>
              <w:spacing w:after="0" w:line="240" w:lineRule="auto"/>
              <w:jc w:val="right"/>
              <w:rPr>
                <w:rFonts w:ascii="Verdana" w:eastAsia="Arial Unicode MS" w:hAnsi="Verdana" w:cs="Arial Unicode MS"/>
                <w:color w:val="000000"/>
                <w:kern w:val="0"/>
                <w:sz w:val="20"/>
                <w:szCs w:val="20"/>
                <w:lang w:eastAsia="en-GB"/>
                <w14:ligatures w14:val="none"/>
              </w:rPr>
            </w:pPr>
            <w:r w:rsidRPr="00007E00">
              <w:rPr>
                <w:rFonts w:ascii="Verdana" w:eastAsia="Arial Unicode MS" w:hAnsi="Verdana" w:cs="Arial Unicode MS"/>
                <w:color w:val="000000"/>
                <w:kern w:val="0"/>
                <w:sz w:val="20"/>
                <w:szCs w:val="20"/>
                <w:lang w:eastAsia="en-GB"/>
                <w14:ligatures w14:val="none"/>
              </w:rPr>
              <w:t>0.87935603</w:t>
            </w:r>
          </w:p>
        </w:tc>
      </w:tr>
      <w:tr w:rsidR="00007E00" w:rsidRPr="00007E00" w14:paraId="60989AA0" w14:textId="77777777" w:rsidTr="00007E00">
        <w:trPr>
          <w:trHeight w:val="300"/>
        </w:trPr>
        <w:tc>
          <w:tcPr>
            <w:tcW w:w="4960" w:type="dxa"/>
            <w:shd w:val="clear" w:color="auto" w:fill="auto"/>
            <w:noWrap/>
            <w:vAlign w:val="bottom"/>
            <w:hideMark/>
          </w:tcPr>
          <w:p w14:paraId="728B5058" w14:textId="77777777" w:rsidR="00007E00" w:rsidRPr="00007E00" w:rsidRDefault="00007E00" w:rsidP="00007E00">
            <w:pPr>
              <w:spacing w:after="0" w:line="240" w:lineRule="auto"/>
              <w:rPr>
                <w:rFonts w:ascii="Verdana" w:eastAsia="Times New Roman" w:hAnsi="Verdana" w:cs="Calibri"/>
                <w:b/>
                <w:bCs/>
                <w:color w:val="000000"/>
                <w:kern w:val="0"/>
                <w:sz w:val="20"/>
                <w:szCs w:val="20"/>
                <w:lang w:eastAsia="en-GB"/>
                <w14:ligatures w14:val="none"/>
              </w:rPr>
            </w:pPr>
            <w:r w:rsidRPr="00007E00">
              <w:rPr>
                <w:rFonts w:ascii="Verdana" w:eastAsia="Times New Roman" w:hAnsi="Verdana" w:cs="Calibri"/>
                <w:b/>
                <w:bCs/>
                <w:color w:val="000000"/>
                <w:kern w:val="0"/>
                <w:sz w:val="20"/>
                <w:szCs w:val="20"/>
                <w:lang w:eastAsia="en-GB"/>
                <w14:ligatures w14:val="none"/>
              </w:rPr>
              <w:t>Quick Ratio</w:t>
            </w:r>
          </w:p>
        </w:tc>
        <w:tc>
          <w:tcPr>
            <w:tcW w:w="1434" w:type="dxa"/>
            <w:shd w:val="clear" w:color="auto" w:fill="auto"/>
            <w:noWrap/>
            <w:vAlign w:val="bottom"/>
            <w:hideMark/>
          </w:tcPr>
          <w:p w14:paraId="659647A9" w14:textId="43880BA7" w:rsidR="00007E00" w:rsidRPr="00007E00" w:rsidRDefault="00007E00" w:rsidP="00007E00">
            <w:pPr>
              <w:spacing w:after="0" w:line="240" w:lineRule="auto"/>
              <w:jc w:val="right"/>
              <w:rPr>
                <w:rFonts w:ascii="Verdana" w:eastAsia="Times New Roman" w:hAnsi="Verdana" w:cs="Calibri"/>
                <w:color w:val="000000"/>
                <w:kern w:val="0"/>
                <w:sz w:val="20"/>
                <w:szCs w:val="20"/>
                <w:lang w:eastAsia="en-GB"/>
                <w14:ligatures w14:val="none"/>
              </w:rPr>
            </w:pPr>
            <w:r w:rsidRPr="00007E00">
              <w:rPr>
                <w:rFonts w:ascii="Verdana" w:eastAsia="Times New Roman" w:hAnsi="Verdana" w:cs="Calibri"/>
                <w:color w:val="000000"/>
                <w:kern w:val="0"/>
                <w:sz w:val="20"/>
                <w:szCs w:val="20"/>
                <w:lang w:eastAsia="en-GB"/>
                <w14:ligatures w14:val="none"/>
              </w:rPr>
              <w:t>323887.9615</w:t>
            </w:r>
          </w:p>
        </w:tc>
        <w:tc>
          <w:tcPr>
            <w:tcW w:w="1561" w:type="dxa"/>
            <w:shd w:val="clear" w:color="auto" w:fill="auto"/>
            <w:noWrap/>
            <w:vAlign w:val="bottom"/>
            <w:hideMark/>
          </w:tcPr>
          <w:p w14:paraId="51481CCC" w14:textId="77777777" w:rsidR="00007E00" w:rsidRPr="00007E00" w:rsidRDefault="00007E00" w:rsidP="00007E00">
            <w:pPr>
              <w:spacing w:after="0" w:line="240" w:lineRule="auto"/>
              <w:jc w:val="right"/>
              <w:rPr>
                <w:rFonts w:ascii="Verdana" w:eastAsia="Times New Roman" w:hAnsi="Verdana" w:cs="Calibri"/>
                <w:color w:val="000000"/>
                <w:kern w:val="0"/>
                <w:sz w:val="20"/>
                <w:szCs w:val="20"/>
                <w:lang w:eastAsia="en-GB"/>
                <w14:ligatures w14:val="none"/>
              </w:rPr>
            </w:pPr>
            <w:r w:rsidRPr="00007E00">
              <w:rPr>
                <w:rFonts w:ascii="Verdana" w:eastAsia="Times New Roman" w:hAnsi="Verdana" w:cs="Calibri"/>
                <w:color w:val="000000"/>
                <w:kern w:val="0"/>
                <w:sz w:val="20"/>
                <w:szCs w:val="20"/>
                <w:lang w:eastAsia="en-GB"/>
                <w14:ligatures w14:val="none"/>
              </w:rPr>
              <w:t>351001.9476</w:t>
            </w:r>
          </w:p>
        </w:tc>
        <w:tc>
          <w:tcPr>
            <w:tcW w:w="1434" w:type="dxa"/>
            <w:shd w:val="clear" w:color="auto" w:fill="auto"/>
            <w:noWrap/>
            <w:vAlign w:val="bottom"/>
            <w:hideMark/>
          </w:tcPr>
          <w:p w14:paraId="5685A85B" w14:textId="0ECD842A" w:rsidR="00007E00" w:rsidRPr="00007E00" w:rsidRDefault="00007E00" w:rsidP="00007E00">
            <w:pPr>
              <w:spacing w:after="0" w:line="240" w:lineRule="auto"/>
              <w:jc w:val="right"/>
              <w:rPr>
                <w:rFonts w:ascii="Verdana" w:eastAsia="Times New Roman" w:hAnsi="Verdana" w:cs="Calibri"/>
                <w:color w:val="000000"/>
                <w:kern w:val="0"/>
                <w:sz w:val="20"/>
                <w:szCs w:val="20"/>
                <w:lang w:eastAsia="en-GB"/>
                <w14:ligatures w14:val="none"/>
              </w:rPr>
            </w:pPr>
            <w:r w:rsidRPr="00007E00">
              <w:rPr>
                <w:rFonts w:ascii="Verdana" w:eastAsia="Times New Roman" w:hAnsi="Verdana" w:cs="Calibri"/>
                <w:color w:val="000000"/>
                <w:kern w:val="0"/>
                <w:sz w:val="20"/>
                <w:szCs w:val="20"/>
                <w:lang w:eastAsia="en-GB"/>
                <w14:ligatures w14:val="none"/>
              </w:rPr>
              <w:t>2.25876401</w:t>
            </w:r>
          </w:p>
        </w:tc>
      </w:tr>
      <w:tr w:rsidR="00007E00" w:rsidRPr="00007E00" w14:paraId="0A53B0E1" w14:textId="77777777" w:rsidTr="00007E00">
        <w:trPr>
          <w:trHeight w:val="300"/>
        </w:trPr>
        <w:tc>
          <w:tcPr>
            <w:tcW w:w="4960" w:type="dxa"/>
            <w:shd w:val="clear" w:color="auto" w:fill="auto"/>
            <w:noWrap/>
            <w:vAlign w:val="bottom"/>
            <w:hideMark/>
          </w:tcPr>
          <w:p w14:paraId="5970D7B9" w14:textId="77777777" w:rsidR="00007E00" w:rsidRPr="00007E00" w:rsidRDefault="00007E00" w:rsidP="00007E00">
            <w:pPr>
              <w:spacing w:after="0" w:line="240" w:lineRule="auto"/>
              <w:rPr>
                <w:rFonts w:ascii="Verdana" w:eastAsia="Times New Roman" w:hAnsi="Verdana" w:cs="Calibri"/>
                <w:b/>
                <w:bCs/>
                <w:color w:val="000000"/>
                <w:kern w:val="0"/>
                <w:sz w:val="20"/>
                <w:szCs w:val="20"/>
                <w:lang w:eastAsia="en-GB"/>
                <w14:ligatures w14:val="none"/>
              </w:rPr>
            </w:pPr>
            <w:r w:rsidRPr="00007E00">
              <w:rPr>
                <w:rFonts w:ascii="Verdana" w:eastAsia="Times New Roman" w:hAnsi="Verdana" w:cs="Calibri"/>
                <w:b/>
                <w:bCs/>
                <w:color w:val="000000"/>
                <w:kern w:val="0"/>
                <w:sz w:val="20"/>
                <w:szCs w:val="20"/>
                <w:lang w:eastAsia="en-GB"/>
                <w14:ligatures w14:val="none"/>
              </w:rPr>
              <w:t>Cash Ratio</w:t>
            </w:r>
          </w:p>
        </w:tc>
        <w:tc>
          <w:tcPr>
            <w:tcW w:w="1434" w:type="dxa"/>
            <w:shd w:val="clear" w:color="auto" w:fill="auto"/>
            <w:noWrap/>
            <w:vAlign w:val="bottom"/>
            <w:hideMark/>
          </w:tcPr>
          <w:p w14:paraId="5910A7C0" w14:textId="5533F130" w:rsidR="00007E00" w:rsidRPr="00007E00" w:rsidRDefault="00007E00" w:rsidP="00007E00">
            <w:pPr>
              <w:spacing w:after="0" w:line="240" w:lineRule="auto"/>
              <w:jc w:val="right"/>
              <w:rPr>
                <w:rFonts w:ascii="Verdana" w:eastAsia="Times New Roman" w:hAnsi="Verdana" w:cs="Calibri"/>
                <w:color w:val="000000"/>
                <w:kern w:val="0"/>
                <w:sz w:val="20"/>
                <w:szCs w:val="20"/>
                <w:lang w:eastAsia="en-GB"/>
                <w14:ligatures w14:val="none"/>
              </w:rPr>
            </w:pPr>
            <w:r w:rsidRPr="00007E00">
              <w:rPr>
                <w:rFonts w:ascii="Verdana" w:eastAsia="Times New Roman" w:hAnsi="Verdana" w:cs="Calibri"/>
                <w:color w:val="000000"/>
                <w:kern w:val="0"/>
                <w:sz w:val="20"/>
                <w:szCs w:val="20"/>
                <w:lang w:eastAsia="en-GB"/>
                <w14:ligatures w14:val="none"/>
              </w:rPr>
              <w:t>0.377533399</w:t>
            </w:r>
          </w:p>
        </w:tc>
        <w:tc>
          <w:tcPr>
            <w:tcW w:w="1561" w:type="dxa"/>
            <w:shd w:val="clear" w:color="auto" w:fill="auto"/>
            <w:noWrap/>
            <w:vAlign w:val="bottom"/>
            <w:hideMark/>
          </w:tcPr>
          <w:p w14:paraId="6F005EE4" w14:textId="77777777" w:rsidR="00007E00" w:rsidRPr="00007E00" w:rsidRDefault="00007E00" w:rsidP="00007E00">
            <w:pPr>
              <w:spacing w:after="0" w:line="240" w:lineRule="auto"/>
              <w:jc w:val="right"/>
              <w:rPr>
                <w:rFonts w:ascii="Verdana" w:eastAsia="Times New Roman" w:hAnsi="Verdana" w:cs="Calibri"/>
                <w:color w:val="000000"/>
                <w:kern w:val="0"/>
                <w:sz w:val="20"/>
                <w:szCs w:val="20"/>
                <w:lang w:eastAsia="en-GB"/>
                <w14:ligatures w14:val="none"/>
              </w:rPr>
            </w:pPr>
            <w:r w:rsidRPr="00007E00">
              <w:rPr>
                <w:rFonts w:ascii="Verdana" w:eastAsia="Times New Roman" w:hAnsi="Verdana" w:cs="Calibri"/>
                <w:color w:val="000000"/>
                <w:kern w:val="0"/>
                <w:sz w:val="20"/>
                <w:szCs w:val="20"/>
                <w:lang w:eastAsia="en-GB"/>
                <w14:ligatures w14:val="none"/>
              </w:rPr>
              <w:t>0.286330201</w:t>
            </w:r>
          </w:p>
        </w:tc>
        <w:tc>
          <w:tcPr>
            <w:tcW w:w="1434" w:type="dxa"/>
            <w:shd w:val="clear" w:color="auto" w:fill="auto"/>
            <w:noWrap/>
            <w:vAlign w:val="bottom"/>
            <w:hideMark/>
          </w:tcPr>
          <w:p w14:paraId="7C45517A" w14:textId="7D5409BC" w:rsidR="00007E00" w:rsidRPr="00007E00" w:rsidRDefault="00007E00" w:rsidP="00007E00">
            <w:pPr>
              <w:spacing w:after="0" w:line="240" w:lineRule="auto"/>
              <w:jc w:val="right"/>
              <w:rPr>
                <w:rFonts w:ascii="Verdana" w:eastAsia="Times New Roman" w:hAnsi="Verdana" w:cs="Calibri"/>
                <w:color w:val="000000"/>
                <w:kern w:val="0"/>
                <w:sz w:val="20"/>
                <w:szCs w:val="20"/>
                <w:lang w:eastAsia="en-GB"/>
                <w14:ligatures w14:val="none"/>
              </w:rPr>
            </w:pPr>
            <w:r w:rsidRPr="00007E00">
              <w:rPr>
                <w:rFonts w:ascii="Verdana" w:eastAsia="Times New Roman" w:hAnsi="Verdana" w:cs="Calibri"/>
                <w:color w:val="000000"/>
                <w:kern w:val="0"/>
                <w:sz w:val="20"/>
                <w:szCs w:val="20"/>
                <w:lang w:eastAsia="en-GB"/>
                <w14:ligatures w14:val="none"/>
              </w:rPr>
              <w:t>0.16220727</w:t>
            </w:r>
          </w:p>
        </w:tc>
      </w:tr>
      <w:tr w:rsidR="00007E00" w:rsidRPr="00007E00" w14:paraId="4B1A0D3B" w14:textId="77777777" w:rsidTr="00007E00">
        <w:trPr>
          <w:trHeight w:val="300"/>
        </w:trPr>
        <w:tc>
          <w:tcPr>
            <w:tcW w:w="4960" w:type="dxa"/>
            <w:shd w:val="clear" w:color="auto" w:fill="auto"/>
            <w:noWrap/>
            <w:vAlign w:val="bottom"/>
            <w:hideMark/>
          </w:tcPr>
          <w:p w14:paraId="47B56F72" w14:textId="77777777" w:rsidR="00007E00" w:rsidRPr="00007E00" w:rsidRDefault="00007E00" w:rsidP="00007E00">
            <w:pPr>
              <w:spacing w:after="0" w:line="240" w:lineRule="auto"/>
              <w:rPr>
                <w:rFonts w:ascii="Verdana" w:eastAsia="Times New Roman" w:hAnsi="Verdana" w:cs="Calibri"/>
                <w:b/>
                <w:bCs/>
                <w:color w:val="000000"/>
                <w:kern w:val="0"/>
                <w:sz w:val="20"/>
                <w:szCs w:val="20"/>
                <w:lang w:eastAsia="en-GB"/>
                <w14:ligatures w14:val="none"/>
              </w:rPr>
            </w:pPr>
            <w:r w:rsidRPr="00007E00">
              <w:rPr>
                <w:rFonts w:ascii="Verdana" w:eastAsia="Times New Roman" w:hAnsi="Verdana" w:cs="Calibri"/>
                <w:b/>
                <w:bCs/>
                <w:color w:val="000000"/>
                <w:kern w:val="0"/>
                <w:sz w:val="20"/>
                <w:szCs w:val="20"/>
                <w:lang w:eastAsia="en-GB"/>
                <w14:ligatures w14:val="none"/>
              </w:rPr>
              <w:t>Defensive Interval</w:t>
            </w:r>
          </w:p>
        </w:tc>
        <w:tc>
          <w:tcPr>
            <w:tcW w:w="1434" w:type="dxa"/>
            <w:shd w:val="clear" w:color="auto" w:fill="auto"/>
            <w:noWrap/>
            <w:vAlign w:val="bottom"/>
            <w:hideMark/>
          </w:tcPr>
          <w:p w14:paraId="16813BBD" w14:textId="44B8B161" w:rsidR="00007E00" w:rsidRPr="00007E00" w:rsidRDefault="00007E00" w:rsidP="00007E00">
            <w:pPr>
              <w:spacing w:after="0" w:line="240" w:lineRule="auto"/>
              <w:jc w:val="right"/>
              <w:rPr>
                <w:rFonts w:ascii="Verdana" w:eastAsia="Times New Roman" w:hAnsi="Verdana" w:cs="Calibri"/>
                <w:color w:val="000000"/>
                <w:kern w:val="0"/>
                <w:sz w:val="20"/>
                <w:szCs w:val="20"/>
                <w:lang w:eastAsia="en-GB"/>
                <w14:ligatures w14:val="none"/>
              </w:rPr>
            </w:pPr>
            <w:r w:rsidRPr="00007E00">
              <w:rPr>
                <w:rFonts w:ascii="Verdana" w:eastAsia="Times New Roman" w:hAnsi="Verdana" w:cs="Calibri"/>
                <w:color w:val="000000"/>
                <w:kern w:val="0"/>
                <w:sz w:val="20"/>
                <w:szCs w:val="20"/>
                <w:lang w:eastAsia="en-GB"/>
                <w14:ligatures w14:val="none"/>
              </w:rPr>
              <w:t>105.939726</w:t>
            </w:r>
          </w:p>
        </w:tc>
        <w:tc>
          <w:tcPr>
            <w:tcW w:w="1561" w:type="dxa"/>
            <w:shd w:val="clear" w:color="auto" w:fill="auto"/>
            <w:noWrap/>
            <w:vAlign w:val="bottom"/>
            <w:hideMark/>
          </w:tcPr>
          <w:p w14:paraId="76DD7489" w14:textId="77777777" w:rsidR="00007E00" w:rsidRPr="00007E00" w:rsidRDefault="00007E00" w:rsidP="00007E00">
            <w:pPr>
              <w:spacing w:after="0" w:line="240" w:lineRule="auto"/>
              <w:jc w:val="right"/>
              <w:rPr>
                <w:rFonts w:ascii="Verdana" w:eastAsia="Times New Roman" w:hAnsi="Verdana" w:cs="Calibri"/>
                <w:color w:val="000000"/>
                <w:kern w:val="0"/>
                <w:sz w:val="20"/>
                <w:szCs w:val="20"/>
                <w:lang w:eastAsia="en-GB"/>
                <w14:ligatures w14:val="none"/>
              </w:rPr>
            </w:pPr>
            <w:r w:rsidRPr="00007E00">
              <w:rPr>
                <w:rFonts w:ascii="Verdana" w:eastAsia="Times New Roman" w:hAnsi="Verdana" w:cs="Calibri"/>
                <w:color w:val="000000"/>
                <w:kern w:val="0"/>
                <w:sz w:val="20"/>
                <w:szCs w:val="20"/>
                <w:lang w:eastAsia="en-GB"/>
                <w14:ligatures w14:val="none"/>
              </w:rPr>
              <w:t>120.2383562</w:t>
            </w:r>
          </w:p>
        </w:tc>
        <w:tc>
          <w:tcPr>
            <w:tcW w:w="1434" w:type="dxa"/>
            <w:shd w:val="clear" w:color="auto" w:fill="auto"/>
            <w:noWrap/>
            <w:vAlign w:val="bottom"/>
            <w:hideMark/>
          </w:tcPr>
          <w:p w14:paraId="28CC926C" w14:textId="1C066045" w:rsidR="00007E00" w:rsidRPr="00007E00" w:rsidRDefault="00007E00" w:rsidP="00007E00">
            <w:pPr>
              <w:spacing w:after="0" w:line="240" w:lineRule="auto"/>
              <w:jc w:val="right"/>
              <w:rPr>
                <w:rFonts w:ascii="Verdana" w:eastAsia="Times New Roman" w:hAnsi="Verdana" w:cs="Calibri"/>
                <w:color w:val="000000"/>
                <w:kern w:val="0"/>
                <w:sz w:val="20"/>
                <w:szCs w:val="20"/>
                <w:lang w:eastAsia="en-GB"/>
                <w14:ligatures w14:val="none"/>
              </w:rPr>
            </w:pPr>
            <w:r w:rsidRPr="00007E00">
              <w:rPr>
                <w:rFonts w:ascii="Verdana" w:eastAsia="Times New Roman" w:hAnsi="Verdana" w:cs="Calibri"/>
                <w:color w:val="000000"/>
                <w:kern w:val="0"/>
                <w:sz w:val="20"/>
                <w:szCs w:val="20"/>
                <w:lang w:eastAsia="en-GB"/>
                <w14:ligatures w14:val="none"/>
              </w:rPr>
              <w:t>140.671233</w:t>
            </w:r>
          </w:p>
        </w:tc>
      </w:tr>
    </w:tbl>
    <w:p w14:paraId="614E18FE" w14:textId="77777777" w:rsidR="00007E00" w:rsidRDefault="00007E00" w:rsidP="001C498D">
      <w:pPr>
        <w:spacing w:line="360" w:lineRule="auto"/>
        <w:jc w:val="both"/>
        <w:rPr>
          <w:rFonts w:ascii="Verdana" w:hAnsi="Verdana"/>
          <w:szCs w:val="24"/>
        </w:rPr>
      </w:pPr>
    </w:p>
    <w:p w14:paraId="3366ABF9" w14:textId="7C79A223" w:rsidR="000C6AAD" w:rsidRPr="001C498D" w:rsidRDefault="000C6AAD" w:rsidP="001C498D">
      <w:pPr>
        <w:spacing w:line="360" w:lineRule="auto"/>
        <w:jc w:val="both"/>
        <w:rPr>
          <w:rFonts w:ascii="Verdana" w:hAnsi="Verdana"/>
          <w:szCs w:val="24"/>
        </w:rPr>
      </w:pPr>
      <w:r w:rsidRPr="001C498D">
        <w:rPr>
          <w:rFonts w:ascii="Verdana" w:hAnsi="Verdana"/>
          <w:szCs w:val="24"/>
        </w:rPr>
        <w:t xml:space="preserve">According to the liquidity ratios’ table, </w:t>
      </w:r>
      <w:r w:rsidRPr="001C498D">
        <w:rPr>
          <w:rFonts w:ascii="Verdana" w:hAnsi="Verdana"/>
          <w:szCs w:val="24"/>
        </w:rPr>
        <w:t xml:space="preserve">Apple's financial ratios show mixed trends over the period from 2020 to 2022. The current ratio declined from 1.36 in 2020 to 0.88 in 2022, indicating a reduced ability to meet short-term obligations, although Apple remains financially robust compared to other tech companies. The quick ratio saw an unusual spike in 2021 but stayed generally strong, </w:t>
      </w:r>
      <w:r w:rsidRPr="001C498D">
        <w:rPr>
          <w:rFonts w:ascii="Verdana" w:hAnsi="Verdana"/>
          <w:szCs w:val="24"/>
        </w:rPr>
        <w:t>showing</w:t>
      </w:r>
      <w:r w:rsidRPr="001C498D">
        <w:rPr>
          <w:rFonts w:ascii="Verdana" w:hAnsi="Verdana"/>
          <w:szCs w:val="24"/>
        </w:rPr>
        <w:t xml:space="preserve"> Apple’s solid liquidity </w:t>
      </w:r>
      <w:proofErr w:type="gramStart"/>
      <w:r w:rsidRPr="001C498D">
        <w:rPr>
          <w:rFonts w:ascii="Verdana" w:hAnsi="Verdana"/>
          <w:szCs w:val="24"/>
        </w:rPr>
        <w:t>in spite of</w:t>
      </w:r>
      <w:proofErr w:type="gramEnd"/>
      <w:r w:rsidRPr="001C498D">
        <w:rPr>
          <w:rFonts w:ascii="Verdana" w:hAnsi="Verdana"/>
          <w:szCs w:val="24"/>
        </w:rPr>
        <w:t xml:space="preserve"> some fluctuations. The cash ratio has decreased over </w:t>
      </w:r>
      <w:r w:rsidRPr="001C498D">
        <w:rPr>
          <w:rFonts w:ascii="Verdana" w:hAnsi="Verdana"/>
          <w:szCs w:val="24"/>
        </w:rPr>
        <w:t>three</w:t>
      </w:r>
      <w:r w:rsidRPr="001C498D">
        <w:rPr>
          <w:rFonts w:ascii="Verdana" w:hAnsi="Verdana"/>
          <w:szCs w:val="24"/>
        </w:rPr>
        <w:t xml:space="preserve"> years, </w:t>
      </w:r>
      <w:r w:rsidRPr="001C498D">
        <w:rPr>
          <w:rFonts w:ascii="Verdana" w:hAnsi="Verdana"/>
          <w:szCs w:val="24"/>
        </w:rPr>
        <w:t>signalling</w:t>
      </w:r>
      <w:r w:rsidRPr="001C498D">
        <w:rPr>
          <w:rFonts w:ascii="Verdana" w:hAnsi="Verdana"/>
          <w:szCs w:val="24"/>
        </w:rPr>
        <w:t xml:space="preserve"> that </w:t>
      </w:r>
      <w:r w:rsidRPr="001C498D">
        <w:rPr>
          <w:rFonts w:ascii="Verdana" w:hAnsi="Verdana"/>
          <w:szCs w:val="24"/>
        </w:rPr>
        <w:lastRenderedPageBreak/>
        <w:t>Apple has been more actively using its cash reserves. Meanwhile, the rising defensive interval suggests that Apple is increasingly capable of operating without relying on incoming sales, which is a positive indicator of its financial stability.</w:t>
      </w:r>
    </w:p>
    <w:p w14:paraId="712698C0" w14:textId="77777777" w:rsidR="000C6AAD" w:rsidRDefault="000C6AAD" w:rsidP="001C498D">
      <w:pPr>
        <w:pStyle w:val="ListParagraph"/>
        <w:numPr>
          <w:ilvl w:val="0"/>
          <w:numId w:val="1"/>
        </w:numPr>
        <w:spacing w:line="360" w:lineRule="auto"/>
        <w:jc w:val="both"/>
        <w:rPr>
          <w:rFonts w:ascii="Verdana" w:hAnsi="Verdana"/>
          <w:b/>
          <w:bCs/>
          <w:szCs w:val="24"/>
          <w:u w:val="single"/>
        </w:rPr>
      </w:pPr>
      <w:r w:rsidRPr="00007E00">
        <w:rPr>
          <w:rFonts w:ascii="Verdana" w:hAnsi="Verdana"/>
          <w:b/>
          <w:bCs/>
          <w:szCs w:val="24"/>
          <w:u w:val="single"/>
        </w:rPr>
        <w:t>Profitability</w:t>
      </w: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1561"/>
        <w:gridCol w:w="1561"/>
        <w:gridCol w:w="1561"/>
      </w:tblGrid>
      <w:tr w:rsidR="00007E00" w:rsidRPr="00007E00" w14:paraId="2F7C38F0" w14:textId="77777777" w:rsidTr="007901B3">
        <w:trPr>
          <w:trHeight w:val="300"/>
        </w:trPr>
        <w:tc>
          <w:tcPr>
            <w:tcW w:w="4960" w:type="dxa"/>
            <w:shd w:val="clear" w:color="auto" w:fill="auto"/>
            <w:noWrap/>
            <w:vAlign w:val="bottom"/>
          </w:tcPr>
          <w:p w14:paraId="2E19EE2E" w14:textId="22AE1D5D" w:rsidR="00007E00" w:rsidRPr="007901B3" w:rsidRDefault="00007E00" w:rsidP="00007E00">
            <w:pPr>
              <w:spacing w:after="0" w:line="240" w:lineRule="auto"/>
              <w:rPr>
                <w:rFonts w:ascii="Verdana" w:eastAsia="Times New Roman" w:hAnsi="Verdana" w:cs="Calibri"/>
                <w:b/>
                <w:bCs/>
                <w:color w:val="000000"/>
                <w:kern w:val="0"/>
                <w:sz w:val="20"/>
                <w:szCs w:val="20"/>
                <w:lang w:eastAsia="en-GB"/>
                <w14:ligatures w14:val="none"/>
              </w:rPr>
            </w:pPr>
            <w:r w:rsidRPr="007901B3">
              <w:rPr>
                <w:rFonts w:ascii="Verdana" w:eastAsia="Times New Roman" w:hAnsi="Verdana" w:cs="Calibri"/>
                <w:b/>
                <w:bCs/>
                <w:color w:val="000000"/>
                <w:kern w:val="0"/>
                <w:sz w:val="20"/>
                <w:szCs w:val="20"/>
                <w:lang w:eastAsia="en-GB"/>
                <w14:ligatures w14:val="none"/>
              </w:rPr>
              <w:t>Ratio</w:t>
            </w:r>
          </w:p>
        </w:tc>
        <w:tc>
          <w:tcPr>
            <w:tcW w:w="1561" w:type="dxa"/>
            <w:shd w:val="clear" w:color="auto" w:fill="auto"/>
            <w:noWrap/>
            <w:vAlign w:val="bottom"/>
          </w:tcPr>
          <w:p w14:paraId="33D33407" w14:textId="0D7F9992" w:rsidR="00007E00" w:rsidRPr="007901B3" w:rsidRDefault="007901B3" w:rsidP="00007E00">
            <w:pPr>
              <w:spacing w:after="0" w:line="240" w:lineRule="auto"/>
              <w:jc w:val="right"/>
              <w:rPr>
                <w:rFonts w:ascii="Verdana" w:eastAsia="Times New Roman" w:hAnsi="Verdana" w:cs="Calibri"/>
                <w:b/>
                <w:bCs/>
                <w:color w:val="000000"/>
                <w:kern w:val="0"/>
                <w:sz w:val="20"/>
                <w:szCs w:val="20"/>
                <w:lang w:eastAsia="en-GB"/>
                <w14:ligatures w14:val="none"/>
              </w:rPr>
            </w:pPr>
            <w:r w:rsidRPr="007901B3">
              <w:rPr>
                <w:rFonts w:ascii="Verdana" w:eastAsia="Times New Roman" w:hAnsi="Verdana" w:cs="Calibri"/>
                <w:b/>
                <w:bCs/>
                <w:color w:val="000000"/>
                <w:kern w:val="0"/>
                <w:sz w:val="20"/>
                <w:szCs w:val="20"/>
                <w:lang w:eastAsia="en-GB"/>
                <w14:ligatures w14:val="none"/>
              </w:rPr>
              <w:t>2020</w:t>
            </w:r>
          </w:p>
        </w:tc>
        <w:tc>
          <w:tcPr>
            <w:tcW w:w="1561" w:type="dxa"/>
            <w:shd w:val="clear" w:color="auto" w:fill="auto"/>
            <w:noWrap/>
            <w:vAlign w:val="bottom"/>
          </w:tcPr>
          <w:p w14:paraId="487FB7CD" w14:textId="2AF8624C" w:rsidR="00007E00" w:rsidRPr="007901B3" w:rsidRDefault="00007E00" w:rsidP="00007E00">
            <w:pPr>
              <w:spacing w:after="0" w:line="240" w:lineRule="auto"/>
              <w:jc w:val="right"/>
              <w:rPr>
                <w:rFonts w:ascii="Verdana" w:eastAsia="Times New Roman" w:hAnsi="Verdana" w:cs="Calibri"/>
                <w:b/>
                <w:bCs/>
                <w:color w:val="000000"/>
                <w:kern w:val="0"/>
                <w:sz w:val="20"/>
                <w:szCs w:val="20"/>
                <w:lang w:eastAsia="en-GB"/>
                <w14:ligatures w14:val="none"/>
              </w:rPr>
            </w:pPr>
            <w:r w:rsidRPr="007901B3">
              <w:rPr>
                <w:rFonts w:ascii="Verdana" w:eastAsia="Times New Roman" w:hAnsi="Verdana" w:cs="Calibri"/>
                <w:b/>
                <w:bCs/>
                <w:color w:val="000000"/>
                <w:kern w:val="0"/>
                <w:sz w:val="20"/>
                <w:szCs w:val="20"/>
                <w:lang w:eastAsia="en-GB"/>
                <w14:ligatures w14:val="none"/>
              </w:rPr>
              <w:t>2021</w:t>
            </w:r>
          </w:p>
        </w:tc>
        <w:tc>
          <w:tcPr>
            <w:tcW w:w="1561" w:type="dxa"/>
            <w:shd w:val="clear" w:color="auto" w:fill="auto"/>
            <w:noWrap/>
            <w:vAlign w:val="bottom"/>
          </w:tcPr>
          <w:p w14:paraId="66BB0358" w14:textId="626EEFFC" w:rsidR="00007E00" w:rsidRPr="007901B3" w:rsidRDefault="00007E00" w:rsidP="00007E00">
            <w:pPr>
              <w:spacing w:after="0" w:line="240" w:lineRule="auto"/>
              <w:jc w:val="right"/>
              <w:rPr>
                <w:rFonts w:ascii="Verdana" w:eastAsia="Times New Roman" w:hAnsi="Verdana" w:cs="Calibri"/>
                <w:b/>
                <w:bCs/>
                <w:color w:val="000000"/>
                <w:kern w:val="0"/>
                <w:sz w:val="20"/>
                <w:szCs w:val="20"/>
                <w:lang w:eastAsia="en-GB"/>
                <w14:ligatures w14:val="none"/>
              </w:rPr>
            </w:pPr>
            <w:r w:rsidRPr="007901B3">
              <w:rPr>
                <w:rFonts w:ascii="Verdana" w:eastAsia="Times New Roman" w:hAnsi="Verdana" w:cs="Calibri"/>
                <w:b/>
                <w:bCs/>
                <w:color w:val="000000"/>
                <w:kern w:val="0"/>
                <w:sz w:val="20"/>
                <w:szCs w:val="20"/>
                <w:lang w:eastAsia="en-GB"/>
                <w14:ligatures w14:val="none"/>
              </w:rPr>
              <w:t>202</w:t>
            </w:r>
            <w:r w:rsidR="007901B3" w:rsidRPr="007901B3">
              <w:rPr>
                <w:rFonts w:ascii="Verdana" w:eastAsia="Times New Roman" w:hAnsi="Verdana" w:cs="Calibri"/>
                <w:b/>
                <w:bCs/>
                <w:color w:val="000000"/>
                <w:kern w:val="0"/>
                <w:sz w:val="20"/>
                <w:szCs w:val="20"/>
                <w:lang w:eastAsia="en-GB"/>
                <w14:ligatures w14:val="none"/>
              </w:rPr>
              <w:t>2</w:t>
            </w:r>
          </w:p>
        </w:tc>
      </w:tr>
      <w:tr w:rsidR="007901B3" w:rsidRPr="00007E00" w14:paraId="1E2D78A5" w14:textId="77777777" w:rsidTr="007901B3">
        <w:trPr>
          <w:trHeight w:val="300"/>
        </w:trPr>
        <w:tc>
          <w:tcPr>
            <w:tcW w:w="4960" w:type="dxa"/>
            <w:shd w:val="clear" w:color="auto" w:fill="auto"/>
            <w:noWrap/>
            <w:vAlign w:val="bottom"/>
            <w:hideMark/>
          </w:tcPr>
          <w:p w14:paraId="388821E7" w14:textId="77777777" w:rsidR="007901B3" w:rsidRPr="00007E00" w:rsidRDefault="007901B3" w:rsidP="007901B3">
            <w:pPr>
              <w:spacing w:after="0" w:line="240" w:lineRule="auto"/>
              <w:rPr>
                <w:rFonts w:ascii="Verdana" w:eastAsia="Times New Roman" w:hAnsi="Verdana" w:cs="Calibri"/>
                <w:b/>
                <w:bCs/>
                <w:color w:val="000000"/>
                <w:kern w:val="0"/>
                <w:sz w:val="20"/>
                <w:szCs w:val="20"/>
                <w:lang w:eastAsia="en-GB"/>
                <w14:ligatures w14:val="none"/>
              </w:rPr>
            </w:pPr>
            <w:r w:rsidRPr="00007E00">
              <w:rPr>
                <w:rFonts w:ascii="Verdana" w:eastAsia="Times New Roman" w:hAnsi="Verdana" w:cs="Calibri"/>
                <w:b/>
                <w:bCs/>
                <w:color w:val="000000"/>
                <w:kern w:val="0"/>
                <w:sz w:val="20"/>
                <w:szCs w:val="20"/>
                <w:lang w:eastAsia="en-GB"/>
                <w14:ligatures w14:val="none"/>
              </w:rPr>
              <w:t>Gross margin</w:t>
            </w:r>
          </w:p>
        </w:tc>
        <w:tc>
          <w:tcPr>
            <w:tcW w:w="1561" w:type="dxa"/>
            <w:shd w:val="clear" w:color="auto" w:fill="auto"/>
            <w:noWrap/>
            <w:vAlign w:val="bottom"/>
            <w:hideMark/>
          </w:tcPr>
          <w:p w14:paraId="598970C9" w14:textId="7B3E9AF7" w:rsidR="007901B3" w:rsidRPr="00007E00" w:rsidRDefault="007901B3" w:rsidP="007901B3">
            <w:pPr>
              <w:spacing w:after="0" w:line="240" w:lineRule="auto"/>
              <w:jc w:val="right"/>
              <w:rPr>
                <w:rFonts w:ascii="Verdana" w:eastAsia="Times New Roman" w:hAnsi="Verdana" w:cs="Calibri"/>
                <w:color w:val="000000"/>
                <w:kern w:val="0"/>
                <w:sz w:val="20"/>
                <w:szCs w:val="20"/>
                <w:lang w:eastAsia="en-GB"/>
                <w14:ligatures w14:val="none"/>
              </w:rPr>
            </w:pPr>
            <w:r w:rsidRPr="00007E00">
              <w:rPr>
                <w:rFonts w:ascii="Verdana" w:eastAsia="Times New Roman" w:hAnsi="Verdana" w:cs="Calibri"/>
                <w:color w:val="000000"/>
                <w:kern w:val="0"/>
                <w:sz w:val="20"/>
                <w:szCs w:val="20"/>
                <w:lang w:eastAsia="en-GB"/>
                <w14:ligatures w14:val="none"/>
              </w:rPr>
              <w:t>104956.0</w:t>
            </w:r>
          </w:p>
        </w:tc>
        <w:tc>
          <w:tcPr>
            <w:tcW w:w="1561" w:type="dxa"/>
            <w:shd w:val="clear" w:color="auto" w:fill="auto"/>
            <w:noWrap/>
            <w:vAlign w:val="bottom"/>
            <w:hideMark/>
          </w:tcPr>
          <w:p w14:paraId="08B8AF02" w14:textId="77777777" w:rsidR="007901B3" w:rsidRPr="00007E00" w:rsidRDefault="007901B3" w:rsidP="007901B3">
            <w:pPr>
              <w:spacing w:after="0" w:line="240" w:lineRule="auto"/>
              <w:jc w:val="right"/>
              <w:rPr>
                <w:rFonts w:ascii="Verdana" w:eastAsia="Times New Roman" w:hAnsi="Verdana" w:cs="Calibri"/>
                <w:color w:val="000000"/>
                <w:kern w:val="0"/>
                <w:sz w:val="20"/>
                <w:szCs w:val="20"/>
                <w:lang w:eastAsia="en-GB"/>
                <w14:ligatures w14:val="none"/>
              </w:rPr>
            </w:pPr>
            <w:r w:rsidRPr="00007E00">
              <w:rPr>
                <w:rFonts w:ascii="Verdana" w:eastAsia="Times New Roman" w:hAnsi="Verdana" w:cs="Calibri"/>
                <w:color w:val="000000"/>
                <w:kern w:val="0"/>
                <w:sz w:val="20"/>
                <w:szCs w:val="20"/>
                <w:lang w:eastAsia="en-GB"/>
                <w14:ligatures w14:val="none"/>
              </w:rPr>
              <w:t>152836.0</w:t>
            </w:r>
          </w:p>
        </w:tc>
        <w:tc>
          <w:tcPr>
            <w:tcW w:w="1561" w:type="dxa"/>
            <w:shd w:val="clear" w:color="auto" w:fill="auto"/>
            <w:noWrap/>
            <w:vAlign w:val="bottom"/>
            <w:hideMark/>
          </w:tcPr>
          <w:p w14:paraId="301E86FE" w14:textId="56A249A9" w:rsidR="007901B3" w:rsidRPr="00007E00" w:rsidRDefault="007901B3" w:rsidP="007901B3">
            <w:pPr>
              <w:spacing w:after="0" w:line="240" w:lineRule="auto"/>
              <w:jc w:val="right"/>
              <w:rPr>
                <w:rFonts w:ascii="Verdana" w:eastAsia="Times New Roman" w:hAnsi="Verdana" w:cs="Calibri"/>
                <w:color w:val="000000"/>
                <w:kern w:val="0"/>
                <w:sz w:val="20"/>
                <w:szCs w:val="20"/>
                <w:lang w:eastAsia="en-GB"/>
                <w14:ligatures w14:val="none"/>
              </w:rPr>
            </w:pPr>
            <w:r w:rsidRPr="00007E00">
              <w:rPr>
                <w:rFonts w:ascii="Verdana" w:eastAsia="Times New Roman" w:hAnsi="Verdana" w:cs="Calibri"/>
                <w:color w:val="000000"/>
                <w:kern w:val="0"/>
                <w:sz w:val="20"/>
                <w:szCs w:val="20"/>
                <w:lang w:eastAsia="en-GB"/>
                <w14:ligatures w14:val="none"/>
              </w:rPr>
              <w:t>170782.0</w:t>
            </w:r>
          </w:p>
        </w:tc>
      </w:tr>
      <w:tr w:rsidR="007901B3" w:rsidRPr="00007E00" w14:paraId="42374F26" w14:textId="77777777" w:rsidTr="007901B3">
        <w:trPr>
          <w:trHeight w:val="300"/>
        </w:trPr>
        <w:tc>
          <w:tcPr>
            <w:tcW w:w="4960" w:type="dxa"/>
            <w:shd w:val="clear" w:color="auto" w:fill="auto"/>
            <w:noWrap/>
            <w:vAlign w:val="bottom"/>
            <w:hideMark/>
          </w:tcPr>
          <w:p w14:paraId="517A1886" w14:textId="77777777" w:rsidR="007901B3" w:rsidRPr="00007E00" w:rsidRDefault="007901B3" w:rsidP="007901B3">
            <w:pPr>
              <w:spacing w:after="0" w:line="240" w:lineRule="auto"/>
              <w:rPr>
                <w:rFonts w:ascii="Verdana" w:eastAsia="Times New Roman" w:hAnsi="Verdana" w:cs="Calibri"/>
                <w:b/>
                <w:bCs/>
                <w:color w:val="000000"/>
                <w:kern w:val="0"/>
                <w:sz w:val="20"/>
                <w:szCs w:val="20"/>
                <w:lang w:eastAsia="en-GB"/>
                <w14:ligatures w14:val="none"/>
              </w:rPr>
            </w:pPr>
            <w:r w:rsidRPr="00007E00">
              <w:rPr>
                <w:rFonts w:ascii="Verdana" w:eastAsia="Times New Roman" w:hAnsi="Verdana" w:cs="Calibri"/>
                <w:b/>
                <w:bCs/>
                <w:color w:val="000000"/>
                <w:kern w:val="0"/>
                <w:sz w:val="20"/>
                <w:szCs w:val="20"/>
                <w:lang w:eastAsia="en-GB"/>
                <w14:ligatures w14:val="none"/>
              </w:rPr>
              <w:t>EBITDA margin</w:t>
            </w:r>
          </w:p>
        </w:tc>
        <w:tc>
          <w:tcPr>
            <w:tcW w:w="1561" w:type="dxa"/>
            <w:shd w:val="clear" w:color="auto" w:fill="auto"/>
            <w:noWrap/>
            <w:vAlign w:val="bottom"/>
            <w:hideMark/>
          </w:tcPr>
          <w:p w14:paraId="540BAA90" w14:textId="2BCBF629" w:rsidR="007901B3" w:rsidRPr="00007E00" w:rsidRDefault="007901B3" w:rsidP="007901B3">
            <w:pPr>
              <w:spacing w:after="0" w:line="240" w:lineRule="auto"/>
              <w:jc w:val="right"/>
              <w:rPr>
                <w:rFonts w:ascii="Verdana" w:eastAsia="Times New Roman" w:hAnsi="Verdana" w:cs="Calibri"/>
                <w:color w:val="000000"/>
                <w:kern w:val="0"/>
                <w:sz w:val="20"/>
                <w:szCs w:val="20"/>
                <w:lang w:eastAsia="en-GB"/>
                <w14:ligatures w14:val="none"/>
              </w:rPr>
            </w:pPr>
            <w:r w:rsidRPr="00007E00">
              <w:rPr>
                <w:rFonts w:ascii="Verdana" w:eastAsia="Times New Roman" w:hAnsi="Verdana" w:cs="Calibri"/>
                <w:color w:val="000000"/>
                <w:kern w:val="0"/>
                <w:sz w:val="20"/>
                <w:szCs w:val="20"/>
                <w:lang w:eastAsia="en-GB"/>
                <w14:ligatures w14:val="none"/>
              </w:rPr>
              <w:t>0.241473144</w:t>
            </w:r>
          </w:p>
        </w:tc>
        <w:tc>
          <w:tcPr>
            <w:tcW w:w="1561" w:type="dxa"/>
            <w:shd w:val="clear" w:color="auto" w:fill="auto"/>
            <w:noWrap/>
            <w:vAlign w:val="bottom"/>
            <w:hideMark/>
          </w:tcPr>
          <w:p w14:paraId="5E9B4701" w14:textId="77777777" w:rsidR="007901B3" w:rsidRPr="00007E00" w:rsidRDefault="007901B3" w:rsidP="007901B3">
            <w:pPr>
              <w:spacing w:after="0" w:line="240" w:lineRule="auto"/>
              <w:jc w:val="right"/>
              <w:rPr>
                <w:rFonts w:ascii="Verdana" w:eastAsia="Times New Roman" w:hAnsi="Verdana" w:cs="Calibri"/>
                <w:color w:val="000000"/>
                <w:kern w:val="0"/>
                <w:sz w:val="20"/>
                <w:szCs w:val="20"/>
                <w:lang w:eastAsia="en-GB"/>
                <w14:ligatures w14:val="none"/>
              </w:rPr>
            </w:pPr>
            <w:r w:rsidRPr="00007E00">
              <w:rPr>
                <w:rFonts w:ascii="Verdana" w:eastAsia="Times New Roman" w:hAnsi="Verdana" w:cs="Calibri"/>
                <w:color w:val="000000"/>
                <w:kern w:val="0"/>
                <w:sz w:val="20"/>
                <w:szCs w:val="20"/>
                <w:lang w:eastAsia="en-GB"/>
                <w14:ligatures w14:val="none"/>
              </w:rPr>
              <w:t>0.297823775</w:t>
            </w:r>
          </w:p>
        </w:tc>
        <w:tc>
          <w:tcPr>
            <w:tcW w:w="1561" w:type="dxa"/>
            <w:shd w:val="clear" w:color="auto" w:fill="auto"/>
            <w:noWrap/>
            <w:vAlign w:val="bottom"/>
            <w:hideMark/>
          </w:tcPr>
          <w:p w14:paraId="05FFD266" w14:textId="2AF0CF3B" w:rsidR="007901B3" w:rsidRPr="00007E00" w:rsidRDefault="007901B3" w:rsidP="007901B3">
            <w:pPr>
              <w:spacing w:after="0" w:line="240" w:lineRule="auto"/>
              <w:jc w:val="right"/>
              <w:rPr>
                <w:rFonts w:ascii="Verdana" w:eastAsia="Times New Roman" w:hAnsi="Verdana" w:cs="Calibri"/>
                <w:color w:val="000000"/>
                <w:kern w:val="0"/>
                <w:sz w:val="20"/>
                <w:szCs w:val="20"/>
                <w:lang w:eastAsia="en-GB"/>
                <w14:ligatures w14:val="none"/>
              </w:rPr>
            </w:pPr>
            <w:r w:rsidRPr="00007E00">
              <w:rPr>
                <w:rFonts w:ascii="Verdana" w:eastAsia="Times New Roman" w:hAnsi="Verdana" w:cs="Calibri"/>
                <w:color w:val="000000"/>
                <w:kern w:val="0"/>
                <w:sz w:val="20"/>
                <w:szCs w:val="20"/>
                <w:lang w:eastAsia="en-GB"/>
                <w14:ligatures w14:val="none"/>
              </w:rPr>
              <w:t>0.30288744</w:t>
            </w:r>
          </w:p>
        </w:tc>
      </w:tr>
      <w:tr w:rsidR="007901B3" w:rsidRPr="00007E00" w14:paraId="40B70F06" w14:textId="77777777" w:rsidTr="007901B3">
        <w:trPr>
          <w:trHeight w:val="300"/>
        </w:trPr>
        <w:tc>
          <w:tcPr>
            <w:tcW w:w="4960" w:type="dxa"/>
            <w:shd w:val="clear" w:color="auto" w:fill="auto"/>
            <w:noWrap/>
            <w:vAlign w:val="bottom"/>
            <w:hideMark/>
          </w:tcPr>
          <w:p w14:paraId="5EE43234" w14:textId="022F5DD7" w:rsidR="007901B3" w:rsidRPr="00007E00" w:rsidRDefault="007901B3" w:rsidP="007901B3">
            <w:pPr>
              <w:spacing w:after="0" w:line="240" w:lineRule="auto"/>
              <w:rPr>
                <w:rFonts w:ascii="Verdana" w:eastAsia="Times New Roman" w:hAnsi="Verdana" w:cs="Calibri"/>
                <w:b/>
                <w:bCs/>
                <w:color w:val="000000"/>
                <w:kern w:val="0"/>
                <w:sz w:val="20"/>
                <w:szCs w:val="20"/>
                <w:lang w:eastAsia="en-GB"/>
                <w14:ligatures w14:val="none"/>
              </w:rPr>
            </w:pPr>
            <w:r w:rsidRPr="007901B3">
              <w:rPr>
                <w:rFonts w:ascii="Verdana" w:eastAsia="Times New Roman" w:hAnsi="Verdana" w:cs="Calibri"/>
                <w:b/>
                <w:bCs/>
                <w:color w:val="000000"/>
                <w:kern w:val="0"/>
                <w:sz w:val="20"/>
                <w:szCs w:val="20"/>
                <w:lang w:eastAsia="en-GB"/>
                <w14:ligatures w14:val="none"/>
              </w:rPr>
              <w:t>Net Margin</w:t>
            </w:r>
          </w:p>
        </w:tc>
        <w:tc>
          <w:tcPr>
            <w:tcW w:w="1561" w:type="dxa"/>
            <w:shd w:val="clear" w:color="auto" w:fill="auto"/>
            <w:noWrap/>
            <w:vAlign w:val="bottom"/>
            <w:hideMark/>
          </w:tcPr>
          <w:p w14:paraId="7366E714" w14:textId="4AAF431C" w:rsidR="007901B3" w:rsidRPr="00007E00" w:rsidRDefault="007901B3" w:rsidP="007901B3">
            <w:pPr>
              <w:spacing w:after="0" w:line="240" w:lineRule="auto"/>
              <w:jc w:val="right"/>
              <w:rPr>
                <w:rFonts w:ascii="Verdana" w:eastAsia="Times New Roman" w:hAnsi="Verdana" w:cs="Calibri"/>
                <w:color w:val="000000"/>
                <w:kern w:val="0"/>
                <w:sz w:val="20"/>
                <w:szCs w:val="20"/>
                <w:lang w:eastAsia="en-GB"/>
                <w14:ligatures w14:val="none"/>
              </w:rPr>
            </w:pPr>
            <w:r w:rsidRPr="00007E00">
              <w:rPr>
                <w:rFonts w:ascii="Verdana" w:hAnsi="Verdana" w:cs="Calibri"/>
                <w:color w:val="000000"/>
                <w:sz w:val="20"/>
                <w:szCs w:val="20"/>
              </w:rPr>
              <w:t>0.209136113</w:t>
            </w:r>
          </w:p>
        </w:tc>
        <w:tc>
          <w:tcPr>
            <w:tcW w:w="1561" w:type="dxa"/>
            <w:shd w:val="clear" w:color="auto" w:fill="auto"/>
            <w:noWrap/>
            <w:vAlign w:val="bottom"/>
            <w:hideMark/>
          </w:tcPr>
          <w:p w14:paraId="4DBBE393" w14:textId="0FF47D08" w:rsidR="007901B3" w:rsidRPr="00007E00" w:rsidRDefault="007901B3" w:rsidP="007901B3">
            <w:pPr>
              <w:spacing w:after="0" w:line="240" w:lineRule="auto"/>
              <w:jc w:val="right"/>
              <w:rPr>
                <w:rFonts w:ascii="Verdana" w:eastAsia="Times New Roman" w:hAnsi="Verdana" w:cs="Calibri"/>
                <w:color w:val="000000"/>
                <w:kern w:val="0"/>
                <w:sz w:val="20"/>
                <w:szCs w:val="20"/>
                <w:lang w:eastAsia="en-GB"/>
                <w14:ligatures w14:val="none"/>
              </w:rPr>
            </w:pPr>
            <w:r w:rsidRPr="00007E00">
              <w:rPr>
                <w:rFonts w:ascii="Verdana" w:hAnsi="Verdana" w:cs="Calibri"/>
                <w:color w:val="000000"/>
                <w:sz w:val="20"/>
                <w:szCs w:val="20"/>
              </w:rPr>
              <w:t>0.258817934</w:t>
            </w:r>
          </w:p>
        </w:tc>
        <w:tc>
          <w:tcPr>
            <w:tcW w:w="1561" w:type="dxa"/>
            <w:shd w:val="clear" w:color="auto" w:fill="auto"/>
            <w:noWrap/>
            <w:vAlign w:val="bottom"/>
            <w:hideMark/>
          </w:tcPr>
          <w:p w14:paraId="3C165B3D" w14:textId="734AE76B" w:rsidR="007901B3" w:rsidRPr="00007E00" w:rsidRDefault="007901B3" w:rsidP="007901B3">
            <w:pPr>
              <w:spacing w:after="0" w:line="240" w:lineRule="auto"/>
              <w:jc w:val="right"/>
              <w:rPr>
                <w:rFonts w:ascii="Verdana" w:eastAsia="Times New Roman" w:hAnsi="Verdana" w:cs="Calibri"/>
                <w:color w:val="000000"/>
                <w:kern w:val="0"/>
                <w:sz w:val="20"/>
                <w:szCs w:val="20"/>
                <w:lang w:eastAsia="en-GB"/>
                <w14:ligatures w14:val="none"/>
              </w:rPr>
            </w:pPr>
            <w:r w:rsidRPr="00007E00">
              <w:rPr>
                <w:rFonts w:ascii="Verdana" w:hAnsi="Verdana" w:cs="Calibri"/>
                <w:color w:val="000000"/>
                <w:sz w:val="20"/>
                <w:szCs w:val="20"/>
              </w:rPr>
              <w:t>0.25309641</w:t>
            </w:r>
          </w:p>
        </w:tc>
      </w:tr>
    </w:tbl>
    <w:p w14:paraId="13F75F52" w14:textId="77777777" w:rsidR="00007E00" w:rsidRPr="007901B3" w:rsidRDefault="00007E00" w:rsidP="007901B3">
      <w:pPr>
        <w:spacing w:line="360" w:lineRule="auto"/>
        <w:jc w:val="both"/>
        <w:rPr>
          <w:rFonts w:ascii="Verdana" w:hAnsi="Verdana"/>
          <w:b/>
          <w:bCs/>
          <w:sz w:val="20"/>
          <w:szCs w:val="20"/>
          <w:u w:val="single"/>
        </w:rPr>
      </w:pPr>
    </w:p>
    <w:p w14:paraId="3D759792" w14:textId="1906BBB0" w:rsidR="000C6AAD" w:rsidRPr="001C498D" w:rsidRDefault="000C6AAD" w:rsidP="001C498D">
      <w:pPr>
        <w:spacing w:line="360" w:lineRule="auto"/>
        <w:jc w:val="both"/>
        <w:rPr>
          <w:rFonts w:ascii="Verdana" w:hAnsi="Verdana"/>
          <w:szCs w:val="24"/>
        </w:rPr>
      </w:pPr>
      <w:r w:rsidRPr="001C498D">
        <w:rPr>
          <w:rFonts w:ascii="Verdana" w:hAnsi="Verdana"/>
          <w:szCs w:val="24"/>
        </w:rPr>
        <w:t>Apple's profitability metrics show positive trends, with the gross margin consistently improving, highlighting the company's strong production and pricing efficiency. The EBITDA margin also increased, indicating better operational profitability before factoring in non-operating expenses. While the net margin slightly decreased in 2022, it remained high</w:t>
      </w:r>
      <w:r w:rsidRPr="001C498D">
        <w:rPr>
          <w:rFonts w:ascii="Verdana" w:hAnsi="Verdana"/>
          <w:szCs w:val="24"/>
        </w:rPr>
        <w:t xml:space="preserve">. This means that </w:t>
      </w:r>
      <w:r w:rsidRPr="001C498D">
        <w:rPr>
          <w:rFonts w:ascii="Verdana" w:hAnsi="Verdana"/>
          <w:szCs w:val="24"/>
        </w:rPr>
        <w:t>Apple's continued ability to generate strong profits.</w:t>
      </w:r>
    </w:p>
    <w:p w14:paraId="6D04CF9C" w14:textId="2888E78C" w:rsidR="000C6AAD" w:rsidRDefault="000C6AAD" w:rsidP="001C498D">
      <w:pPr>
        <w:pStyle w:val="ListParagraph"/>
        <w:numPr>
          <w:ilvl w:val="0"/>
          <w:numId w:val="1"/>
        </w:numPr>
        <w:spacing w:line="360" w:lineRule="auto"/>
        <w:jc w:val="both"/>
        <w:rPr>
          <w:rFonts w:ascii="Verdana" w:hAnsi="Verdana"/>
          <w:b/>
          <w:bCs/>
          <w:szCs w:val="24"/>
          <w:u w:val="single"/>
        </w:rPr>
      </w:pPr>
      <w:r w:rsidRPr="00007E00">
        <w:rPr>
          <w:rFonts w:ascii="Verdana" w:hAnsi="Verdana"/>
          <w:b/>
          <w:bCs/>
          <w:szCs w:val="24"/>
          <w:u w:val="single"/>
        </w:rPr>
        <w:t xml:space="preserve">Solvency and Debt Management </w:t>
      </w: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1561"/>
        <w:gridCol w:w="1561"/>
        <w:gridCol w:w="1561"/>
      </w:tblGrid>
      <w:tr w:rsidR="007901B3" w:rsidRPr="00007E00" w14:paraId="44434F8B" w14:textId="77777777" w:rsidTr="00C4045F">
        <w:trPr>
          <w:trHeight w:val="300"/>
        </w:trPr>
        <w:tc>
          <w:tcPr>
            <w:tcW w:w="4960" w:type="dxa"/>
            <w:shd w:val="clear" w:color="auto" w:fill="auto"/>
            <w:noWrap/>
            <w:vAlign w:val="bottom"/>
          </w:tcPr>
          <w:p w14:paraId="6BB6A70C" w14:textId="77777777" w:rsidR="007901B3" w:rsidRPr="007901B3" w:rsidRDefault="007901B3" w:rsidP="00C4045F">
            <w:pPr>
              <w:spacing w:after="0" w:line="240" w:lineRule="auto"/>
              <w:rPr>
                <w:rFonts w:ascii="Verdana" w:eastAsia="Times New Roman" w:hAnsi="Verdana" w:cs="Calibri"/>
                <w:b/>
                <w:bCs/>
                <w:color w:val="000000"/>
                <w:kern w:val="0"/>
                <w:sz w:val="20"/>
                <w:szCs w:val="20"/>
                <w:lang w:eastAsia="en-GB"/>
                <w14:ligatures w14:val="none"/>
              </w:rPr>
            </w:pPr>
            <w:r w:rsidRPr="007901B3">
              <w:rPr>
                <w:rFonts w:ascii="Verdana" w:eastAsia="Times New Roman" w:hAnsi="Verdana" w:cs="Calibri"/>
                <w:b/>
                <w:bCs/>
                <w:color w:val="000000"/>
                <w:kern w:val="0"/>
                <w:sz w:val="20"/>
                <w:szCs w:val="20"/>
                <w:lang w:eastAsia="en-GB"/>
                <w14:ligatures w14:val="none"/>
              </w:rPr>
              <w:t>Ratio</w:t>
            </w:r>
          </w:p>
        </w:tc>
        <w:tc>
          <w:tcPr>
            <w:tcW w:w="1561" w:type="dxa"/>
            <w:shd w:val="clear" w:color="auto" w:fill="auto"/>
            <w:noWrap/>
            <w:vAlign w:val="bottom"/>
          </w:tcPr>
          <w:p w14:paraId="59337337" w14:textId="77777777" w:rsidR="007901B3" w:rsidRPr="007901B3" w:rsidRDefault="007901B3" w:rsidP="00C4045F">
            <w:pPr>
              <w:spacing w:after="0" w:line="240" w:lineRule="auto"/>
              <w:jc w:val="right"/>
              <w:rPr>
                <w:rFonts w:ascii="Verdana" w:eastAsia="Times New Roman" w:hAnsi="Verdana" w:cs="Calibri"/>
                <w:b/>
                <w:bCs/>
                <w:color w:val="000000"/>
                <w:kern w:val="0"/>
                <w:sz w:val="20"/>
                <w:szCs w:val="20"/>
                <w:lang w:eastAsia="en-GB"/>
                <w14:ligatures w14:val="none"/>
              </w:rPr>
            </w:pPr>
            <w:r w:rsidRPr="007901B3">
              <w:rPr>
                <w:rFonts w:ascii="Verdana" w:eastAsia="Times New Roman" w:hAnsi="Verdana" w:cs="Calibri"/>
                <w:b/>
                <w:bCs/>
                <w:color w:val="000000"/>
                <w:kern w:val="0"/>
                <w:sz w:val="20"/>
                <w:szCs w:val="20"/>
                <w:lang w:eastAsia="en-GB"/>
                <w14:ligatures w14:val="none"/>
              </w:rPr>
              <w:t>2020</w:t>
            </w:r>
          </w:p>
        </w:tc>
        <w:tc>
          <w:tcPr>
            <w:tcW w:w="1561" w:type="dxa"/>
            <w:shd w:val="clear" w:color="auto" w:fill="auto"/>
            <w:noWrap/>
            <w:vAlign w:val="bottom"/>
          </w:tcPr>
          <w:p w14:paraId="25D7E890" w14:textId="77777777" w:rsidR="007901B3" w:rsidRPr="007901B3" w:rsidRDefault="007901B3" w:rsidP="00C4045F">
            <w:pPr>
              <w:spacing w:after="0" w:line="240" w:lineRule="auto"/>
              <w:jc w:val="right"/>
              <w:rPr>
                <w:rFonts w:ascii="Verdana" w:eastAsia="Times New Roman" w:hAnsi="Verdana" w:cs="Calibri"/>
                <w:b/>
                <w:bCs/>
                <w:color w:val="000000"/>
                <w:kern w:val="0"/>
                <w:sz w:val="20"/>
                <w:szCs w:val="20"/>
                <w:lang w:eastAsia="en-GB"/>
                <w14:ligatures w14:val="none"/>
              </w:rPr>
            </w:pPr>
            <w:r w:rsidRPr="007901B3">
              <w:rPr>
                <w:rFonts w:ascii="Verdana" w:eastAsia="Times New Roman" w:hAnsi="Verdana" w:cs="Calibri"/>
                <w:b/>
                <w:bCs/>
                <w:color w:val="000000"/>
                <w:kern w:val="0"/>
                <w:sz w:val="20"/>
                <w:szCs w:val="20"/>
                <w:lang w:eastAsia="en-GB"/>
                <w14:ligatures w14:val="none"/>
              </w:rPr>
              <w:t>2021</w:t>
            </w:r>
          </w:p>
        </w:tc>
        <w:tc>
          <w:tcPr>
            <w:tcW w:w="1561" w:type="dxa"/>
            <w:shd w:val="clear" w:color="auto" w:fill="auto"/>
            <w:noWrap/>
            <w:vAlign w:val="bottom"/>
          </w:tcPr>
          <w:p w14:paraId="67019F25" w14:textId="77777777" w:rsidR="007901B3" w:rsidRPr="007901B3" w:rsidRDefault="007901B3" w:rsidP="00C4045F">
            <w:pPr>
              <w:spacing w:after="0" w:line="240" w:lineRule="auto"/>
              <w:jc w:val="right"/>
              <w:rPr>
                <w:rFonts w:ascii="Verdana" w:eastAsia="Times New Roman" w:hAnsi="Verdana" w:cs="Calibri"/>
                <w:b/>
                <w:bCs/>
                <w:color w:val="000000"/>
                <w:kern w:val="0"/>
                <w:sz w:val="20"/>
                <w:szCs w:val="20"/>
                <w:lang w:eastAsia="en-GB"/>
                <w14:ligatures w14:val="none"/>
              </w:rPr>
            </w:pPr>
            <w:r w:rsidRPr="007901B3">
              <w:rPr>
                <w:rFonts w:ascii="Verdana" w:eastAsia="Times New Roman" w:hAnsi="Verdana" w:cs="Calibri"/>
                <w:b/>
                <w:bCs/>
                <w:color w:val="000000"/>
                <w:kern w:val="0"/>
                <w:sz w:val="20"/>
                <w:szCs w:val="20"/>
                <w:lang w:eastAsia="en-GB"/>
                <w14:ligatures w14:val="none"/>
              </w:rPr>
              <w:t>2022</w:t>
            </w:r>
          </w:p>
        </w:tc>
      </w:tr>
      <w:tr w:rsidR="007901B3" w:rsidRPr="00007E00" w14:paraId="3B5E12B6" w14:textId="77777777" w:rsidTr="00C4045F">
        <w:trPr>
          <w:trHeight w:val="300"/>
        </w:trPr>
        <w:tc>
          <w:tcPr>
            <w:tcW w:w="4960" w:type="dxa"/>
            <w:shd w:val="clear" w:color="auto" w:fill="auto"/>
            <w:noWrap/>
            <w:vAlign w:val="bottom"/>
            <w:hideMark/>
          </w:tcPr>
          <w:p w14:paraId="654F600F" w14:textId="72341AEC" w:rsidR="007901B3" w:rsidRPr="00007E00" w:rsidRDefault="007901B3" w:rsidP="00C4045F">
            <w:pPr>
              <w:spacing w:after="0" w:line="240" w:lineRule="auto"/>
              <w:rPr>
                <w:rFonts w:ascii="Verdana" w:eastAsia="Times New Roman" w:hAnsi="Verdana" w:cs="Calibri"/>
                <w:b/>
                <w:bCs/>
                <w:color w:val="000000"/>
                <w:kern w:val="0"/>
                <w:sz w:val="20"/>
                <w:szCs w:val="20"/>
                <w:lang w:eastAsia="en-GB"/>
                <w14:ligatures w14:val="none"/>
              </w:rPr>
            </w:pPr>
            <w:r>
              <w:rPr>
                <w:rFonts w:ascii="Verdana" w:eastAsia="Times New Roman" w:hAnsi="Verdana" w:cs="Calibri"/>
                <w:b/>
                <w:bCs/>
                <w:color w:val="000000"/>
                <w:kern w:val="0"/>
                <w:sz w:val="20"/>
                <w:szCs w:val="20"/>
                <w:lang w:eastAsia="en-GB"/>
                <w14:ligatures w14:val="none"/>
              </w:rPr>
              <w:t>Debt to Equity (D/E)</w:t>
            </w:r>
          </w:p>
        </w:tc>
        <w:tc>
          <w:tcPr>
            <w:tcW w:w="1561" w:type="dxa"/>
            <w:shd w:val="clear" w:color="auto" w:fill="auto"/>
            <w:noWrap/>
            <w:vAlign w:val="bottom"/>
            <w:hideMark/>
          </w:tcPr>
          <w:p w14:paraId="3125141D" w14:textId="0A88AB74" w:rsidR="007901B3" w:rsidRPr="00007E00" w:rsidRDefault="007901B3" w:rsidP="00C4045F">
            <w:pPr>
              <w:spacing w:after="0" w:line="240" w:lineRule="auto"/>
              <w:jc w:val="right"/>
              <w:rPr>
                <w:rFonts w:ascii="Verdana" w:eastAsia="Times New Roman" w:hAnsi="Verdana" w:cs="Calibri"/>
                <w:color w:val="000000"/>
                <w:kern w:val="0"/>
                <w:sz w:val="20"/>
                <w:szCs w:val="20"/>
                <w:lang w:eastAsia="en-GB"/>
                <w14:ligatures w14:val="none"/>
              </w:rPr>
            </w:pPr>
            <w:r>
              <w:rPr>
                <w:rFonts w:ascii="Verdana" w:eastAsia="Times New Roman" w:hAnsi="Verdana" w:cs="Calibri"/>
                <w:color w:val="000000"/>
                <w:kern w:val="0"/>
                <w:sz w:val="20"/>
                <w:szCs w:val="20"/>
                <w:lang w:eastAsia="en-GB"/>
                <w14:ligatures w14:val="none"/>
              </w:rPr>
              <w:t>1.72</w:t>
            </w:r>
          </w:p>
        </w:tc>
        <w:tc>
          <w:tcPr>
            <w:tcW w:w="1561" w:type="dxa"/>
            <w:shd w:val="clear" w:color="auto" w:fill="auto"/>
            <w:noWrap/>
            <w:vAlign w:val="bottom"/>
            <w:hideMark/>
          </w:tcPr>
          <w:p w14:paraId="76816F41" w14:textId="0A57FF12" w:rsidR="007901B3" w:rsidRPr="00007E00" w:rsidRDefault="007901B3" w:rsidP="00C4045F">
            <w:pPr>
              <w:spacing w:after="0" w:line="240" w:lineRule="auto"/>
              <w:jc w:val="right"/>
              <w:rPr>
                <w:rFonts w:ascii="Verdana" w:eastAsia="Times New Roman" w:hAnsi="Verdana" w:cs="Calibri"/>
                <w:color w:val="000000"/>
                <w:kern w:val="0"/>
                <w:sz w:val="20"/>
                <w:szCs w:val="20"/>
                <w:lang w:eastAsia="en-GB"/>
                <w14:ligatures w14:val="none"/>
              </w:rPr>
            </w:pPr>
            <w:r>
              <w:rPr>
                <w:rFonts w:ascii="Verdana" w:eastAsia="Times New Roman" w:hAnsi="Verdana" w:cs="Calibri"/>
                <w:color w:val="000000"/>
                <w:kern w:val="0"/>
                <w:sz w:val="20"/>
                <w:szCs w:val="20"/>
                <w:lang w:eastAsia="en-GB"/>
                <w14:ligatures w14:val="none"/>
              </w:rPr>
              <w:t>1.97</w:t>
            </w:r>
          </w:p>
        </w:tc>
        <w:tc>
          <w:tcPr>
            <w:tcW w:w="1561" w:type="dxa"/>
            <w:shd w:val="clear" w:color="auto" w:fill="auto"/>
            <w:noWrap/>
            <w:vAlign w:val="bottom"/>
            <w:hideMark/>
          </w:tcPr>
          <w:p w14:paraId="5E95FED5" w14:textId="445AC63A" w:rsidR="007901B3" w:rsidRPr="00007E00" w:rsidRDefault="007901B3" w:rsidP="00C4045F">
            <w:pPr>
              <w:spacing w:after="0" w:line="240" w:lineRule="auto"/>
              <w:jc w:val="right"/>
              <w:rPr>
                <w:rFonts w:ascii="Verdana" w:eastAsia="Times New Roman" w:hAnsi="Verdana" w:cs="Calibri"/>
                <w:color w:val="000000"/>
                <w:kern w:val="0"/>
                <w:sz w:val="20"/>
                <w:szCs w:val="20"/>
                <w:lang w:eastAsia="en-GB"/>
                <w14:ligatures w14:val="none"/>
              </w:rPr>
            </w:pPr>
            <w:r>
              <w:rPr>
                <w:rFonts w:ascii="Verdana" w:eastAsia="Times New Roman" w:hAnsi="Verdana" w:cs="Calibri"/>
                <w:color w:val="000000"/>
                <w:kern w:val="0"/>
                <w:sz w:val="20"/>
                <w:szCs w:val="20"/>
                <w:lang w:eastAsia="en-GB"/>
                <w14:ligatures w14:val="none"/>
              </w:rPr>
              <w:t>2.37</w:t>
            </w:r>
          </w:p>
        </w:tc>
      </w:tr>
      <w:tr w:rsidR="007901B3" w:rsidRPr="00007E00" w14:paraId="03AB9A7F" w14:textId="77777777" w:rsidTr="00C4045F">
        <w:trPr>
          <w:trHeight w:val="300"/>
        </w:trPr>
        <w:tc>
          <w:tcPr>
            <w:tcW w:w="4960" w:type="dxa"/>
            <w:shd w:val="clear" w:color="auto" w:fill="auto"/>
            <w:noWrap/>
            <w:vAlign w:val="bottom"/>
            <w:hideMark/>
          </w:tcPr>
          <w:p w14:paraId="2300A816" w14:textId="3C83CA8C" w:rsidR="007901B3" w:rsidRPr="00007E00" w:rsidRDefault="007901B3" w:rsidP="00C4045F">
            <w:pPr>
              <w:spacing w:after="0" w:line="240" w:lineRule="auto"/>
              <w:rPr>
                <w:rFonts w:ascii="Verdana" w:eastAsia="Times New Roman" w:hAnsi="Verdana" w:cs="Calibri"/>
                <w:b/>
                <w:bCs/>
                <w:color w:val="000000"/>
                <w:kern w:val="0"/>
                <w:sz w:val="20"/>
                <w:szCs w:val="20"/>
                <w:lang w:eastAsia="en-GB"/>
                <w14:ligatures w14:val="none"/>
              </w:rPr>
            </w:pPr>
            <w:r>
              <w:rPr>
                <w:rFonts w:ascii="Verdana" w:eastAsia="Times New Roman" w:hAnsi="Verdana" w:cs="Calibri"/>
                <w:b/>
                <w:bCs/>
                <w:color w:val="000000"/>
                <w:kern w:val="0"/>
                <w:sz w:val="20"/>
                <w:szCs w:val="20"/>
                <w:lang w:eastAsia="en-GB"/>
                <w14:ligatures w14:val="none"/>
              </w:rPr>
              <w:t>Debt to Total Assets</w:t>
            </w:r>
          </w:p>
        </w:tc>
        <w:tc>
          <w:tcPr>
            <w:tcW w:w="1561" w:type="dxa"/>
            <w:shd w:val="clear" w:color="auto" w:fill="auto"/>
            <w:noWrap/>
            <w:vAlign w:val="bottom"/>
            <w:hideMark/>
          </w:tcPr>
          <w:p w14:paraId="6B3D10E8" w14:textId="604EF259" w:rsidR="007901B3" w:rsidRPr="00007E00" w:rsidRDefault="007901B3" w:rsidP="00C4045F">
            <w:pPr>
              <w:spacing w:after="0" w:line="240" w:lineRule="auto"/>
              <w:jc w:val="right"/>
              <w:rPr>
                <w:rFonts w:ascii="Verdana" w:eastAsia="Times New Roman" w:hAnsi="Verdana" w:cs="Calibri"/>
                <w:color w:val="000000"/>
                <w:kern w:val="0"/>
                <w:sz w:val="20"/>
                <w:szCs w:val="20"/>
                <w:lang w:eastAsia="en-GB"/>
                <w14:ligatures w14:val="none"/>
              </w:rPr>
            </w:pPr>
            <w:r>
              <w:rPr>
                <w:rFonts w:ascii="Verdana" w:eastAsia="Times New Roman" w:hAnsi="Verdana" w:cs="Calibri"/>
                <w:color w:val="000000"/>
                <w:kern w:val="0"/>
                <w:sz w:val="20"/>
                <w:szCs w:val="20"/>
                <w:lang w:eastAsia="en-GB"/>
                <w14:ligatures w14:val="none"/>
              </w:rPr>
              <w:t>0.35</w:t>
            </w:r>
          </w:p>
        </w:tc>
        <w:tc>
          <w:tcPr>
            <w:tcW w:w="1561" w:type="dxa"/>
            <w:shd w:val="clear" w:color="auto" w:fill="auto"/>
            <w:noWrap/>
            <w:vAlign w:val="bottom"/>
            <w:hideMark/>
          </w:tcPr>
          <w:p w14:paraId="20BE87F9" w14:textId="7092C987" w:rsidR="007901B3" w:rsidRPr="00007E00" w:rsidRDefault="007901B3" w:rsidP="00C4045F">
            <w:pPr>
              <w:spacing w:after="0" w:line="240" w:lineRule="auto"/>
              <w:jc w:val="right"/>
              <w:rPr>
                <w:rFonts w:ascii="Verdana" w:eastAsia="Times New Roman" w:hAnsi="Verdana" w:cs="Calibri"/>
                <w:color w:val="000000"/>
                <w:kern w:val="0"/>
                <w:sz w:val="20"/>
                <w:szCs w:val="20"/>
                <w:lang w:eastAsia="en-GB"/>
                <w14:ligatures w14:val="none"/>
              </w:rPr>
            </w:pPr>
            <w:r w:rsidRPr="00007E00">
              <w:rPr>
                <w:rFonts w:ascii="Verdana" w:eastAsia="Times New Roman" w:hAnsi="Verdana" w:cs="Calibri"/>
                <w:color w:val="000000"/>
                <w:kern w:val="0"/>
                <w:sz w:val="20"/>
                <w:szCs w:val="20"/>
                <w:lang w:eastAsia="en-GB"/>
                <w14:ligatures w14:val="none"/>
              </w:rPr>
              <w:t>0</w:t>
            </w:r>
            <w:r>
              <w:rPr>
                <w:rFonts w:ascii="Verdana" w:eastAsia="Times New Roman" w:hAnsi="Verdana" w:cs="Calibri"/>
                <w:color w:val="000000"/>
                <w:kern w:val="0"/>
                <w:sz w:val="20"/>
                <w:szCs w:val="20"/>
                <w:lang w:eastAsia="en-GB"/>
                <w14:ligatures w14:val="none"/>
              </w:rPr>
              <w:t>.36</w:t>
            </w:r>
          </w:p>
        </w:tc>
        <w:tc>
          <w:tcPr>
            <w:tcW w:w="1561" w:type="dxa"/>
            <w:shd w:val="clear" w:color="auto" w:fill="auto"/>
            <w:noWrap/>
            <w:vAlign w:val="bottom"/>
            <w:hideMark/>
          </w:tcPr>
          <w:p w14:paraId="48732051" w14:textId="4E735817" w:rsidR="007901B3" w:rsidRPr="00007E00" w:rsidRDefault="007901B3" w:rsidP="00C4045F">
            <w:pPr>
              <w:spacing w:after="0" w:line="240" w:lineRule="auto"/>
              <w:jc w:val="right"/>
              <w:rPr>
                <w:rFonts w:ascii="Verdana" w:eastAsia="Times New Roman" w:hAnsi="Verdana" w:cs="Calibri"/>
                <w:color w:val="000000"/>
                <w:kern w:val="0"/>
                <w:sz w:val="20"/>
                <w:szCs w:val="20"/>
                <w:lang w:eastAsia="en-GB"/>
                <w14:ligatures w14:val="none"/>
              </w:rPr>
            </w:pPr>
            <w:r w:rsidRPr="00007E00">
              <w:rPr>
                <w:rFonts w:ascii="Verdana" w:eastAsia="Times New Roman" w:hAnsi="Verdana" w:cs="Calibri"/>
                <w:color w:val="000000"/>
                <w:kern w:val="0"/>
                <w:sz w:val="20"/>
                <w:szCs w:val="20"/>
                <w:lang w:eastAsia="en-GB"/>
                <w14:ligatures w14:val="none"/>
              </w:rPr>
              <w:t>0.3</w:t>
            </w:r>
            <w:r>
              <w:rPr>
                <w:rFonts w:ascii="Verdana" w:eastAsia="Times New Roman" w:hAnsi="Verdana" w:cs="Calibri"/>
                <w:color w:val="000000"/>
                <w:kern w:val="0"/>
                <w:sz w:val="20"/>
                <w:szCs w:val="20"/>
                <w:lang w:eastAsia="en-GB"/>
                <w14:ligatures w14:val="none"/>
              </w:rPr>
              <w:t>4</w:t>
            </w:r>
          </w:p>
        </w:tc>
      </w:tr>
      <w:tr w:rsidR="007901B3" w:rsidRPr="00007E00" w14:paraId="7C2AD16B" w14:textId="77777777" w:rsidTr="00C4045F">
        <w:trPr>
          <w:trHeight w:val="300"/>
        </w:trPr>
        <w:tc>
          <w:tcPr>
            <w:tcW w:w="4960" w:type="dxa"/>
            <w:shd w:val="clear" w:color="auto" w:fill="auto"/>
            <w:noWrap/>
            <w:vAlign w:val="bottom"/>
            <w:hideMark/>
          </w:tcPr>
          <w:p w14:paraId="6952B028" w14:textId="25BFC68F" w:rsidR="007901B3" w:rsidRPr="00007E00" w:rsidRDefault="007901B3" w:rsidP="00C4045F">
            <w:pPr>
              <w:spacing w:after="0" w:line="240" w:lineRule="auto"/>
              <w:rPr>
                <w:rFonts w:ascii="Verdana" w:eastAsia="Times New Roman" w:hAnsi="Verdana" w:cs="Calibri"/>
                <w:b/>
                <w:bCs/>
                <w:color w:val="000000"/>
                <w:kern w:val="0"/>
                <w:sz w:val="20"/>
                <w:szCs w:val="20"/>
                <w:lang w:eastAsia="en-GB"/>
                <w14:ligatures w14:val="none"/>
              </w:rPr>
            </w:pPr>
            <w:r>
              <w:rPr>
                <w:rFonts w:ascii="Verdana" w:eastAsia="Times New Roman" w:hAnsi="Verdana" w:cs="Calibri"/>
                <w:b/>
                <w:bCs/>
                <w:color w:val="000000"/>
                <w:kern w:val="0"/>
                <w:sz w:val="20"/>
                <w:szCs w:val="20"/>
                <w:lang w:eastAsia="en-GB"/>
                <w14:ligatures w14:val="none"/>
              </w:rPr>
              <w:t>Free Cash Flow per Share (FCFE)</w:t>
            </w:r>
          </w:p>
        </w:tc>
        <w:tc>
          <w:tcPr>
            <w:tcW w:w="1561" w:type="dxa"/>
            <w:shd w:val="clear" w:color="auto" w:fill="auto"/>
            <w:noWrap/>
            <w:vAlign w:val="bottom"/>
            <w:hideMark/>
          </w:tcPr>
          <w:p w14:paraId="243CED50" w14:textId="1D7B3480" w:rsidR="007901B3" w:rsidRPr="00007E00" w:rsidRDefault="007901B3" w:rsidP="00C4045F">
            <w:pPr>
              <w:spacing w:after="0" w:line="240" w:lineRule="auto"/>
              <w:jc w:val="right"/>
              <w:rPr>
                <w:rFonts w:ascii="Verdana" w:eastAsia="Times New Roman" w:hAnsi="Verdana" w:cs="Calibri"/>
                <w:color w:val="000000"/>
                <w:kern w:val="0"/>
                <w:sz w:val="20"/>
                <w:szCs w:val="20"/>
                <w:lang w:eastAsia="en-GB"/>
                <w14:ligatures w14:val="none"/>
              </w:rPr>
            </w:pPr>
            <w:r>
              <w:rPr>
                <w:rFonts w:ascii="Verdana" w:eastAsia="Times New Roman" w:hAnsi="Verdana" w:cs="Calibri"/>
                <w:color w:val="000000"/>
                <w:kern w:val="0"/>
                <w:sz w:val="20"/>
                <w:szCs w:val="20"/>
                <w:lang w:eastAsia="en-GB"/>
                <w14:ligatures w14:val="none"/>
              </w:rPr>
              <w:t>4.44</w:t>
            </w:r>
          </w:p>
        </w:tc>
        <w:tc>
          <w:tcPr>
            <w:tcW w:w="1561" w:type="dxa"/>
            <w:shd w:val="clear" w:color="auto" w:fill="auto"/>
            <w:noWrap/>
            <w:vAlign w:val="bottom"/>
            <w:hideMark/>
          </w:tcPr>
          <w:p w14:paraId="5068D66D" w14:textId="14A98C34" w:rsidR="007901B3" w:rsidRPr="00007E00" w:rsidRDefault="007901B3" w:rsidP="00C4045F">
            <w:pPr>
              <w:spacing w:after="0" w:line="240" w:lineRule="auto"/>
              <w:jc w:val="right"/>
              <w:rPr>
                <w:rFonts w:ascii="Verdana" w:eastAsia="Times New Roman" w:hAnsi="Verdana" w:cs="Calibri"/>
                <w:color w:val="000000"/>
                <w:kern w:val="0"/>
                <w:sz w:val="20"/>
                <w:szCs w:val="20"/>
                <w:lang w:eastAsia="en-GB"/>
                <w14:ligatures w14:val="none"/>
              </w:rPr>
            </w:pPr>
            <w:r>
              <w:rPr>
                <w:rFonts w:ascii="Verdana" w:eastAsia="Times New Roman" w:hAnsi="Verdana" w:cs="Calibri"/>
                <w:color w:val="000000"/>
                <w:kern w:val="0"/>
                <w:sz w:val="20"/>
                <w:szCs w:val="20"/>
                <w:lang w:eastAsia="en-GB"/>
                <w14:ligatures w14:val="none"/>
              </w:rPr>
              <w:t>2.25</w:t>
            </w:r>
          </w:p>
        </w:tc>
        <w:tc>
          <w:tcPr>
            <w:tcW w:w="1561" w:type="dxa"/>
            <w:shd w:val="clear" w:color="auto" w:fill="auto"/>
            <w:noWrap/>
            <w:vAlign w:val="bottom"/>
            <w:hideMark/>
          </w:tcPr>
          <w:p w14:paraId="60F6EE8F" w14:textId="31484D3C" w:rsidR="007901B3" w:rsidRPr="00007E00" w:rsidRDefault="007901B3" w:rsidP="00C4045F">
            <w:pPr>
              <w:spacing w:after="0" w:line="240" w:lineRule="auto"/>
              <w:jc w:val="right"/>
              <w:rPr>
                <w:rFonts w:ascii="Verdana" w:eastAsia="Times New Roman" w:hAnsi="Verdana" w:cs="Calibri"/>
                <w:color w:val="000000"/>
                <w:kern w:val="0"/>
                <w:sz w:val="20"/>
                <w:szCs w:val="20"/>
                <w:lang w:eastAsia="en-GB"/>
                <w14:ligatures w14:val="none"/>
              </w:rPr>
            </w:pPr>
            <w:r>
              <w:rPr>
                <w:rFonts w:ascii="Verdana" w:eastAsia="Times New Roman" w:hAnsi="Verdana" w:cs="Calibri"/>
                <w:color w:val="000000"/>
                <w:kern w:val="0"/>
                <w:sz w:val="20"/>
                <w:szCs w:val="20"/>
                <w:lang w:eastAsia="en-GB"/>
                <w14:ligatures w14:val="none"/>
              </w:rPr>
              <w:t>0.002</w:t>
            </w:r>
          </w:p>
        </w:tc>
      </w:tr>
    </w:tbl>
    <w:p w14:paraId="6F304844" w14:textId="77777777" w:rsidR="007901B3" w:rsidRPr="007901B3" w:rsidRDefault="007901B3" w:rsidP="007901B3">
      <w:pPr>
        <w:spacing w:line="360" w:lineRule="auto"/>
        <w:jc w:val="both"/>
        <w:rPr>
          <w:rFonts w:ascii="Verdana" w:hAnsi="Verdana"/>
          <w:b/>
          <w:bCs/>
          <w:szCs w:val="24"/>
          <w:u w:val="single"/>
        </w:rPr>
      </w:pPr>
    </w:p>
    <w:p w14:paraId="3A6DCDA6" w14:textId="14B29F1A" w:rsidR="000C6AAD" w:rsidRPr="001C498D" w:rsidRDefault="000C6AAD" w:rsidP="001C498D">
      <w:pPr>
        <w:spacing w:line="360" w:lineRule="auto"/>
        <w:jc w:val="both"/>
        <w:rPr>
          <w:rFonts w:ascii="Verdana" w:hAnsi="Verdana"/>
          <w:szCs w:val="24"/>
        </w:rPr>
      </w:pPr>
      <w:r w:rsidRPr="001C498D">
        <w:rPr>
          <w:rFonts w:ascii="Verdana" w:hAnsi="Verdana"/>
          <w:szCs w:val="24"/>
        </w:rPr>
        <w:t xml:space="preserve">Apple’s financial structure shows notable trends in its debt management. The increasing debt-to-equity ratio indicates a shift toward leveraging debt for financing operations, which could suggest a rise in financial risk. </w:t>
      </w:r>
      <w:r w:rsidRPr="001C498D">
        <w:rPr>
          <w:rFonts w:ascii="Verdana" w:hAnsi="Verdana"/>
          <w:szCs w:val="24"/>
        </w:rPr>
        <w:t>Moreover</w:t>
      </w:r>
      <w:r w:rsidRPr="001C498D">
        <w:rPr>
          <w:rFonts w:ascii="Verdana" w:hAnsi="Verdana"/>
          <w:szCs w:val="24"/>
        </w:rPr>
        <w:t>, the debt-to-assets ratio remained stable</w:t>
      </w:r>
      <w:r w:rsidRPr="001C498D">
        <w:rPr>
          <w:rFonts w:ascii="Verdana" w:hAnsi="Verdana"/>
          <w:szCs w:val="24"/>
        </w:rPr>
        <w:t xml:space="preserve">. It reflects </w:t>
      </w:r>
      <w:r w:rsidRPr="001C498D">
        <w:rPr>
          <w:rFonts w:ascii="Verdana" w:hAnsi="Verdana"/>
          <w:szCs w:val="24"/>
        </w:rPr>
        <w:t>that the company has kept its debt level consistent relative to its total assets. However, the significant decline in free cash flow per share in 2022 raises potential concerns about liquidity, despite the company's strong profitability.</w:t>
      </w:r>
    </w:p>
    <w:p w14:paraId="40366D34" w14:textId="16B0FB1C" w:rsidR="000C6AAD" w:rsidRDefault="001C498D" w:rsidP="001C498D">
      <w:pPr>
        <w:pStyle w:val="ListParagraph"/>
        <w:numPr>
          <w:ilvl w:val="0"/>
          <w:numId w:val="1"/>
        </w:numPr>
        <w:spacing w:line="360" w:lineRule="auto"/>
        <w:jc w:val="both"/>
        <w:rPr>
          <w:rFonts w:ascii="Verdana" w:hAnsi="Verdana"/>
          <w:b/>
          <w:bCs/>
          <w:szCs w:val="24"/>
          <w:u w:val="single"/>
        </w:rPr>
      </w:pPr>
      <w:r w:rsidRPr="00007E00">
        <w:rPr>
          <w:rFonts w:ascii="Verdana" w:hAnsi="Verdana"/>
          <w:b/>
          <w:bCs/>
          <w:szCs w:val="24"/>
          <w:u w:val="single"/>
        </w:rPr>
        <w:t>Asset Utilisation</w:t>
      </w: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1561"/>
        <w:gridCol w:w="1561"/>
        <w:gridCol w:w="1561"/>
      </w:tblGrid>
      <w:tr w:rsidR="007901B3" w:rsidRPr="00007E00" w14:paraId="11169E1E" w14:textId="77777777" w:rsidTr="00C4045F">
        <w:trPr>
          <w:trHeight w:val="300"/>
        </w:trPr>
        <w:tc>
          <w:tcPr>
            <w:tcW w:w="4960" w:type="dxa"/>
            <w:shd w:val="clear" w:color="auto" w:fill="auto"/>
            <w:noWrap/>
            <w:vAlign w:val="bottom"/>
          </w:tcPr>
          <w:p w14:paraId="37C48D67" w14:textId="77777777" w:rsidR="007901B3" w:rsidRPr="007901B3" w:rsidRDefault="007901B3" w:rsidP="00C4045F">
            <w:pPr>
              <w:spacing w:after="0" w:line="240" w:lineRule="auto"/>
              <w:rPr>
                <w:rFonts w:ascii="Verdana" w:eastAsia="Times New Roman" w:hAnsi="Verdana" w:cs="Calibri"/>
                <w:b/>
                <w:bCs/>
                <w:color w:val="000000"/>
                <w:kern w:val="0"/>
                <w:sz w:val="20"/>
                <w:szCs w:val="20"/>
                <w:lang w:eastAsia="en-GB"/>
                <w14:ligatures w14:val="none"/>
              </w:rPr>
            </w:pPr>
            <w:r w:rsidRPr="007901B3">
              <w:rPr>
                <w:rFonts w:ascii="Verdana" w:eastAsia="Times New Roman" w:hAnsi="Verdana" w:cs="Calibri"/>
                <w:b/>
                <w:bCs/>
                <w:color w:val="000000"/>
                <w:kern w:val="0"/>
                <w:sz w:val="20"/>
                <w:szCs w:val="20"/>
                <w:lang w:eastAsia="en-GB"/>
                <w14:ligatures w14:val="none"/>
              </w:rPr>
              <w:lastRenderedPageBreak/>
              <w:t>Ratio</w:t>
            </w:r>
          </w:p>
        </w:tc>
        <w:tc>
          <w:tcPr>
            <w:tcW w:w="1561" w:type="dxa"/>
            <w:shd w:val="clear" w:color="auto" w:fill="auto"/>
            <w:noWrap/>
            <w:vAlign w:val="bottom"/>
          </w:tcPr>
          <w:p w14:paraId="0A716D48" w14:textId="77777777" w:rsidR="007901B3" w:rsidRPr="007901B3" w:rsidRDefault="007901B3" w:rsidP="00C4045F">
            <w:pPr>
              <w:spacing w:after="0" w:line="240" w:lineRule="auto"/>
              <w:jc w:val="right"/>
              <w:rPr>
                <w:rFonts w:ascii="Verdana" w:eastAsia="Times New Roman" w:hAnsi="Verdana" w:cs="Calibri"/>
                <w:b/>
                <w:bCs/>
                <w:color w:val="000000"/>
                <w:kern w:val="0"/>
                <w:sz w:val="20"/>
                <w:szCs w:val="20"/>
                <w:lang w:eastAsia="en-GB"/>
                <w14:ligatures w14:val="none"/>
              </w:rPr>
            </w:pPr>
            <w:r w:rsidRPr="007901B3">
              <w:rPr>
                <w:rFonts w:ascii="Verdana" w:eastAsia="Times New Roman" w:hAnsi="Verdana" w:cs="Calibri"/>
                <w:b/>
                <w:bCs/>
                <w:color w:val="000000"/>
                <w:kern w:val="0"/>
                <w:sz w:val="20"/>
                <w:szCs w:val="20"/>
                <w:lang w:eastAsia="en-GB"/>
                <w14:ligatures w14:val="none"/>
              </w:rPr>
              <w:t>2020</w:t>
            </w:r>
          </w:p>
        </w:tc>
        <w:tc>
          <w:tcPr>
            <w:tcW w:w="1561" w:type="dxa"/>
            <w:shd w:val="clear" w:color="auto" w:fill="auto"/>
            <w:noWrap/>
            <w:vAlign w:val="bottom"/>
          </w:tcPr>
          <w:p w14:paraId="3C7A13DC" w14:textId="77777777" w:rsidR="007901B3" w:rsidRPr="007901B3" w:rsidRDefault="007901B3" w:rsidP="00C4045F">
            <w:pPr>
              <w:spacing w:after="0" w:line="240" w:lineRule="auto"/>
              <w:jc w:val="right"/>
              <w:rPr>
                <w:rFonts w:ascii="Verdana" w:eastAsia="Times New Roman" w:hAnsi="Verdana" w:cs="Calibri"/>
                <w:b/>
                <w:bCs/>
                <w:color w:val="000000"/>
                <w:kern w:val="0"/>
                <w:sz w:val="20"/>
                <w:szCs w:val="20"/>
                <w:lang w:eastAsia="en-GB"/>
                <w14:ligatures w14:val="none"/>
              </w:rPr>
            </w:pPr>
            <w:r w:rsidRPr="007901B3">
              <w:rPr>
                <w:rFonts w:ascii="Verdana" w:eastAsia="Times New Roman" w:hAnsi="Verdana" w:cs="Calibri"/>
                <w:b/>
                <w:bCs/>
                <w:color w:val="000000"/>
                <w:kern w:val="0"/>
                <w:sz w:val="20"/>
                <w:szCs w:val="20"/>
                <w:lang w:eastAsia="en-GB"/>
                <w14:ligatures w14:val="none"/>
              </w:rPr>
              <w:t>2021</w:t>
            </w:r>
          </w:p>
        </w:tc>
        <w:tc>
          <w:tcPr>
            <w:tcW w:w="1561" w:type="dxa"/>
            <w:shd w:val="clear" w:color="auto" w:fill="auto"/>
            <w:noWrap/>
            <w:vAlign w:val="bottom"/>
          </w:tcPr>
          <w:p w14:paraId="3258BB4F" w14:textId="77777777" w:rsidR="007901B3" w:rsidRPr="007901B3" w:rsidRDefault="007901B3" w:rsidP="00C4045F">
            <w:pPr>
              <w:spacing w:after="0" w:line="240" w:lineRule="auto"/>
              <w:jc w:val="right"/>
              <w:rPr>
                <w:rFonts w:ascii="Verdana" w:eastAsia="Times New Roman" w:hAnsi="Verdana" w:cs="Calibri"/>
                <w:b/>
                <w:bCs/>
                <w:color w:val="000000"/>
                <w:kern w:val="0"/>
                <w:sz w:val="20"/>
                <w:szCs w:val="20"/>
                <w:lang w:eastAsia="en-GB"/>
                <w14:ligatures w14:val="none"/>
              </w:rPr>
            </w:pPr>
            <w:r w:rsidRPr="007901B3">
              <w:rPr>
                <w:rFonts w:ascii="Verdana" w:eastAsia="Times New Roman" w:hAnsi="Verdana" w:cs="Calibri"/>
                <w:b/>
                <w:bCs/>
                <w:color w:val="000000"/>
                <w:kern w:val="0"/>
                <w:sz w:val="20"/>
                <w:szCs w:val="20"/>
                <w:lang w:eastAsia="en-GB"/>
                <w14:ligatures w14:val="none"/>
              </w:rPr>
              <w:t>2022</w:t>
            </w:r>
          </w:p>
        </w:tc>
      </w:tr>
      <w:tr w:rsidR="007901B3" w:rsidRPr="00007E00" w14:paraId="66AEE869" w14:textId="77777777" w:rsidTr="00C4045F">
        <w:trPr>
          <w:trHeight w:val="300"/>
        </w:trPr>
        <w:tc>
          <w:tcPr>
            <w:tcW w:w="4960" w:type="dxa"/>
            <w:shd w:val="clear" w:color="auto" w:fill="auto"/>
            <w:noWrap/>
            <w:vAlign w:val="bottom"/>
            <w:hideMark/>
          </w:tcPr>
          <w:p w14:paraId="2BBCA543" w14:textId="4C902812" w:rsidR="007901B3" w:rsidRPr="00007E00" w:rsidRDefault="00F3063B" w:rsidP="00C4045F">
            <w:pPr>
              <w:spacing w:after="0" w:line="240" w:lineRule="auto"/>
              <w:rPr>
                <w:rFonts w:ascii="Verdana" w:eastAsia="Times New Roman" w:hAnsi="Verdana" w:cs="Calibri"/>
                <w:b/>
                <w:bCs/>
                <w:color w:val="000000"/>
                <w:kern w:val="0"/>
                <w:sz w:val="20"/>
                <w:szCs w:val="20"/>
                <w:lang w:eastAsia="en-GB"/>
                <w14:ligatures w14:val="none"/>
              </w:rPr>
            </w:pPr>
            <w:r>
              <w:rPr>
                <w:rFonts w:ascii="Verdana" w:eastAsia="Times New Roman" w:hAnsi="Verdana" w:cs="Calibri"/>
                <w:b/>
                <w:bCs/>
                <w:color w:val="000000"/>
                <w:kern w:val="0"/>
                <w:sz w:val="20"/>
                <w:szCs w:val="20"/>
                <w:lang w:eastAsia="en-GB"/>
                <w14:ligatures w14:val="none"/>
              </w:rPr>
              <w:t>Total Asset Turnover</w:t>
            </w:r>
          </w:p>
        </w:tc>
        <w:tc>
          <w:tcPr>
            <w:tcW w:w="1561" w:type="dxa"/>
            <w:shd w:val="clear" w:color="auto" w:fill="auto"/>
            <w:noWrap/>
            <w:vAlign w:val="bottom"/>
            <w:hideMark/>
          </w:tcPr>
          <w:p w14:paraId="7F1CD64D" w14:textId="10DDC0A1" w:rsidR="007901B3" w:rsidRPr="00007E00" w:rsidRDefault="007901B3" w:rsidP="00C4045F">
            <w:pPr>
              <w:spacing w:after="0" w:line="240" w:lineRule="auto"/>
              <w:jc w:val="right"/>
              <w:rPr>
                <w:rFonts w:ascii="Verdana" w:eastAsia="Times New Roman" w:hAnsi="Verdana" w:cs="Calibri"/>
                <w:color w:val="000000"/>
                <w:kern w:val="0"/>
                <w:sz w:val="20"/>
                <w:szCs w:val="20"/>
                <w:lang w:eastAsia="en-GB"/>
                <w14:ligatures w14:val="none"/>
              </w:rPr>
            </w:pPr>
            <w:r w:rsidRPr="00007E00">
              <w:rPr>
                <w:rFonts w:ascii="Verdana" w:eastAsia="Times New Roman" w:hAnsi="Verdana" w:cs="Calibri"/>
                <w:color w:val="000000"/>
                <w:kern w:val="0"/>
                <w:sz w:val="20"/>
                <w:szCs w:val="20"/>
                <w:lang w:eastAsia="en-GB"/>
                <w14:ligatures w14:val="none"/>
              </w:rPr>
              <w:t>0</w:t>
            </w:r>
            <w:r w:rsidR="00F3063B">
              <w:rPr>
                <w:rFonts w:ascii="Verdana" w:eastAsia="Times New Roman" w:hAnsi="Verdana" w:cs="Calibri"/>
                <w:color w:val="000000"/>
                <w:kern w:val="0"/>
                <w:sz w:val="20"/>
                <w:szCs w:val="20"/>
                <w:lang w:eastAsia="en-GB"/>
                <w14:ligatures w14:val="none"/>
              </w:rPr>
              <w:t>.85</w:t>
            </w:r>
          </w:p>
        </w:tc>
        <w:tc>
          <w:tcPr>
            <w:tcW w:w="1561" w:type="dxa"/>
            <w:shd w:val="clear" w:color="auto" w:fill="auto"/>
            <w:noWrap/>
            <w:vAlign w:val="bottom"/>
            <w:hideMark/>
          </w:tcPr>
          <w:p w14:paraId="10563572" w14:textId="52D93B4C" w:rsidR="007901B3" w:rsidRPr="00007E00" w:rsidRDefault="00F3063B" w:rsidP="00C4045F">
            <w:pPr>
              <w:spacing w:after="0" w:line="240" w:lineRule="auto"/>
              <w:jc w:val="right"/>
              <w:rPr>
                <w:rFonts w:ascii="Verdana" w:eastAsia="Times New Roman" w:hAnsi="Verdana" w:cs="Calibri"/>
                <w:color w:val="000000"/>
                <w:kern w:val="0"/>
                <w:sz w:val="20"/>
                <w:szCs w:val="20"/>
                <w:lang w:eastAsia="en-GB"/>
                <w14:ligatures w14:val="none"/>
              </w:rPr>
            </w:pPr>
            <w:r>
              <w:rPr>
                <w:rFonts w:ascii="Verdana" w:eastAsia="Times New Roman" w:hAnsi="Verdana" w:cs="Calibri"/>
                <w:color w:val="000000"/>
                <w:kern w:val="0"/>
                <w:sz w:val="20"/>
                <w:szCs w:val="20"/>
                <w:lang w:eastAsia="en-GB"/>
                <w14:ligatures w14:val="none"/>
              </w:rPr>
              <w:t>1.12</w:t>
            </w:r>
          </w:p>
        </w:tc>
        <w:tc>
          <w:tcPr>
            <w:tcW w:w="1561" w:type="dxa"/>
            <w:shd w:val="clear" w:color="auto" w:fill="auto"/>
            <w:noWrap/>
            <w:vAlign w:val="bottom"/>
            <w:hideMark/>
          </w:tcPr>
          <w:p w14:paraId="564D186D" w14:textId="15817D16" w:rsidR="007901B3" w:rsidRPr="00007E00" w:rsidRDefault="00F3063B" w:rsidP="00C4045F">
            <w:pPr>
              <w:spacing w:after="0" w:line="240" w:lineRule="auto"/>
              <w:jc w:val="right"/>
              <w:rPr>
                <w:rFonts w:ascii="Verdana" w:eastAsia="Times New Roman" w:hAnsi="Verdana" w:cs="Calibri"/>
                <w:color w:val="000000"/>
                <w:kern w:val="0"/>
                <w:sz w:val="20"/>
                <w:szCs w:val="20"/>
                <w:lang w:eastAsia="en-GB"/>
                <w14:ligatures w14:val="none"/>
              </w:rPr>
            </w:pPr>
            <w:r>
              <w:rPr>
                <w:rFonts w:ascii="Verdana" w:eastAsia="Times New Roman" w:hAnsi="Verdana" w:cs="Calibri"/>
                <w:color w:val="000000"/>
                <w:kern w:val="0"/>
                <w:sz w:val="20"/>
                <w:szCs w:val="20"/>
                <w:lang w:eastAsia="en-GB"/>
                <w14:ligatures w14:val="none"/>
              </w:rPr>
              <w:t>1.12</w:t>
            </w:r>
          </w:p>
        </w:tc>
      </w:tr>
      <w:tr w:rsidR="007901B3" w:rsidRPr="00007E00" w14:paraId="4A8FDD7A" w14:textId="77777777" w:rsidTr="00C4045F">
        <w:trPr>
          <w:trHeight w:val="300"/>
        </w:trPr>
        <w:tc>
          <w:tcPr>
            <w:tcW w:w="4960" w:type="dxa"/>
            <w:shd w:val="clear" w:color="auto" w:fill="auto"/>
            <w:noWrap/>
            <w:vAlign w:val="bottom"/>
            <w:hideMark/>
          </w:tcPr>
          <w:p w14:paraId="5F16E3AD" w14:textId="306A928F" w:rsidR="007901B3" w:rsidRPr="00007E00" w:rsidRDefault="00F3063B" w:rsidP="00C4045F">
            <w:pPr>
              <w:spacing w:after="0" w:line="240" w:lineRule="auto"/>
              <w:rPr>
                <w:rFonts w:ascii="Verdana" w:eastAsia="Times New Roman" w:hAnsi="Verdana" w:cs="Calibri"/>
                <w:b/>
                <w:bCs/>
                <w:color w:val="000000"/>
                <w:kern w:val="0"/>
                <w:sz w:val="20"/>
                <w:szCs w:val="20"/>
                <w:lang w:eastAsia="en-GB"/>
                <w14:ligatures w14:val="none"/>
              </w:rPr>
            </w:pPr>
            <w:r>
              <w:rPr>
                <w:rFonts w:ascii="Verdana" w:eastAsia="Times New Roman" w:hAnsi="Verdana" w:cs="Calibri"/>
                <w:b/>
                <w:bCs/>
                <w:color w:val="000000"/>
                <w:kern w:val="0"/>
                <w:sz w:val="20"/>
                <w:szCs w:val="20"/>
                <w:lang w:eastAsia="en-GB"/>
                <w14:ligatures w14:val="none"/>
              </w:rPr>
              <w:t>Fixed Asset Turnover</w:t>
            </w:r>
          </w:p>
        </w:tc>
        <w:tc>
          <w:tcPr>
            <w:tcW w:w="1561" w:type="dxa"/>
            <w:shd w:val="clear" w:color="auto" w:fill="auto"/>
            <w:noWrap/>
            <w:vAlign w:val="bottom"/>
            <w:hideMark/>
          </w:tcPr>
          <w:p w14:paraId="0C295465" w14:textId="610C949B" w:rsidR="007901B3" w:rsidRPr="00007E00" w:rsidRDefault="00F3063B" w:rsidP="00C4045F">
            <w:pPr>
              <w:spacing w:after="0" w:line="240" w:lineRule="auto"/>
              <w:jc w:val="right"/>
              <w:rPr>
                <w:rFonts w:ascii="Verdana" w:eastAsia="Times New Roman" w:hAnsi="Verdana" w:cs="Calibri"/>
                <w:color w:val="000000"/>
                <w:kern w:val="0"/>
                <w:sz w:val="20"/>
                <w:szCs w:val="20"/>
                <w:lang w:eastAsia="en-GB"/>
                <w14:ligatures w14:val="none"/>
              </w:rPr>
            </w:pPr>
            <w:r>
              <w:rPr>
                <w:rFonts w:ascii="Verdana" w:eastAsia="Times New Roman" w:hAnsi="Verdana" w:cs="Calibri"/>
                <w:color w:val="000000"/>
                <w:kern w:val="0"/>
                <w:sz w:val="20"/>
                <w:szCs w:val="20"/>
                <w:lang w:eastAsia="en-GB"/>
                <w14:ligatures w14:val="none"/>
              </w:rPr>
              <w:t>7.85</w:t>
            </w:r>
          </w:p>
        </w:tc>
        <w:tc>
          <w:tcPr>
            <w:tcW w:w="1561" w:type="dxa"/>
            <w:shd w:val="clear" w:color="auto" w:fill="auto"/>
            <w:noWrap/>
            <w:vAlign w:val="bottom"/>
            <w:hideMark/>
          </w:tcPr>
          <w:p w14:paraId="2897536D" w14:textId="3A921129" w:rsidR="007901B3" w:rsidRPr="00007E00" w:rsidRDefault="00F3063B" w:rsidP="00C4045F">
            <w:pPr>
              <w:spacing w:after="0" w:line="240" w:lineRule="auto"/>
              <w:jc w:val="right"/>
              <w:rPr>
                <w:rFonts w:ascii="Verdana" w:eastAsia="Times New Roman" w:hAnsi="Verdana" w:cs="Calibri"/>
                <w:color w:val="000000"/>
                <w:kern w:val="0"/>
                <w:sz w:val="20"/>
                <w:szCs w:val="20"/>
                <w:lang w:eastAsia="en-GB"/>
                <w14:ligatures w14:val="none"/>
              </w:rPr>
            </w:pPr>
            <w:r>
              <w:rPr>
                <w:rFonts w:ascii="Verdana" w:eastAsia="Times New Roman" w:hAnsi="Verdana" w:cs="Calibri"/>
                <w:color w:val="000000"/>
                <w:kern w:val="0"/>
                <w:sz w:val="20"/>
                <w:szCs w:val="20"/>
                <w:lang w:eastAsia="en-GB"/>
                <w14:ligatures w14:val="none"/>
              </w:rPr>
              <w:t>9.73</w:t>
            </w:r>
          </w:p>
        </w:tc>
        <w:tc>
          <w:tcPr>
            <w:tcW w:w="1561" w:type="dxa"/>
            <w:shd w:val="clear" w:color="auto" w:fill="auto"/>
            <w:noWrap/>
            <w:vAlign w:val="bottom"/>
            <w:hideMark/>
          </w:tcPr>
          <w:p w14:paraId="506840EE" w14:textId="19BFFC46" w:rsidR="007901B3" w:rsidRPr="00007E00" w:rsidRDefault="00F3063B" w:rsidP="00C4045F">
            <w:pPr>
              <w:spacing w:after="0" w:line="240" w:lineRule="auto"/>
              <w:jc w:val="right"/>
              <w:rPr>
                <w:rFonts w:ascii="Verdana" w:eastAsia="Times New Roman" w:hAnsi="Verdana" w:cs="Calibri"/>
                <w:color w:val="000000"/>
                <w:kern w:val="0"/>
                <w:sz w:val="20"/>
                <w:szCs w:val="20"/>
                <w:lang w:eastAsia="en-GB"/>
                <w14:ligatures w14:val="none"/>
              </w:rPr>
            </w:pPr>
            <w:r>
              <w:rPr>
                <w:rFonts w:ascii="Verdana" w:eastAsia="Times New Roman" w:hAnsi="Verdana" w:cs="Calibri"/>
                <w:color w:val="000000"/>
                <w:kern w:val="0"/>
                <w:sz w:val="20"/>
                <w:szCs w:val="20"/>
                <w:lang w:eastAsia="en-GB"/>
                <w14:ligatures w14:val="none"/>
              </w:rPr>
              <w:t>9.36</w:t>
            </w:r>
          </w:p>
        </w:tc>
      </w:tr>
      <w:tr w:rsidR="007901B3" w:rsidRPr="00007E00" w14:paraId="782B0CDA" w14:textId="77777777" w:rsidTr="00C4045F">
        <w:trPr>
          <w:trHeight w:val="300"/>
        </w:trPr>
        <w:tc>
          <w:tcPr>
            <w:tcW w:w="4960" w:type="dxa"/>
            <w:shd w:val="clear" w:color="auto" w:fill="auto"/>
            <w:noWrap/>
            <w:vAlign w:val="bottom"/>
            <w:hideMark/>
          </w:tcPr>
          <w:p w14:paraId="0C306432" w14:textId="43C45C60" w:rsidR="007901B3" w:rsidRPr="00007E00" w:rsidRDefault="00F3063B" w:rsidP="00C4045F">
            <w:pPr>
              <w:spacing w:after="0" w:line="240" w:lineRule="auto"/>
              <w:rPr>
                <w:rFonts w:ascii="Verdana" w:eastAsia="Times New Roman" w:hAnsi="Verdana" w:cs="Calibri"/>
                <w:b/>
                <w:bCs/>
                <w:color w:val="000000"/>
                <w:kern w:val="0"/>
                <w:sz w:val="20"/>
                <w:szCs w:val="20"/>
                <w:lang w:eastAsia="en-GB"/>
                <w14:ligatures w14:val="none"/>
              </w:rPr>
            </w:pPr>
            <w:r>
              <w:rPr>
                <w:rFonts w:ascii="Verdana" w:eastAsia="Times New Roman" w:hAnsi="Verdana" w:cs="Calibri"/>
                <w:b/>
                <w:bCs/>
                <w:color w:val="000000"/>
                <w:kern w:val="0"/>
                <w:sz w:val="20"/>
                <w:szCs w:val="20"/>
                <w:lang w:eastAsia="en-GB"/>
                <w14:ligatures w14:val="none"/>
              </w:rPr>
              <w:t>Return on Assets (ROA)</w:t>
            </w:r>
          </w:p>
        </w:tc>
        <w:tc>
          <w:tcPr>
            <w:tcW w:w="1561" w:type="dxa"/>
            <w:shd w:val="clear" w:color="auto" w:fill="auto"/>
            <w:noWrap/>
            <w:vAlign w:val="bottom"/>
            <w:hideMark/>
          </w:tcPr>
          <w:p w14:paraId="37808198" w14:textId="2F437F38" w:rsidR="007901B3" w:rsidRPr="00007E00" w:rsidRDefault="007901B3" w:rsidP="00C4045F">
            <w:pPr>
              <w:spacing w:after="0" w:line="240" w:lineRule="auto"/>
              <w:jc w:val="right"/>
              <w:rPr>
                <w:rFonts w:ascii="Verdana" w:eastAsia="Times New Roman" w:hAnsi="Verdana" w:cs="Calibri"/>
                <w:color w:val="000000"/>
                <w:kern w:val="0"/>
                <w:sz w:val="20"/>
                <w:szCs w:val="20"/>
                <w:lang w:eastAsia="en-GB"/>
                <w14:ligatures w14:val="none"/>
              </w:rPr>
            </w:pPr>
            <w:r w:rsidRPr="00007E00">
              <w:rPr>
                <w:rFonts w:ascii="Verdana" w:hAnsi="Verdana" w:cs="Calibri"/>
                <w:color w:val="000000"/>
                <w:sz w:val="20"/>
                <w:szCs w:val="20"/>
              </w:rPr>
              <w:t>0.</w:t>
            </w:r>
            <w:r w:rsidR="00F3063B">
              <w:rPr>
                <w:rFonts w:ascii="Verdana" w:hAnsi="Verdana" w:cs="Calibri"/>
                <w:color w:val="000000"/>
                <w:sz w:val="20"/>
                <w:szCs w:val="20"/>
              </w:rPr>
              <w:t>27</w:t>
            </w:r>
          </w:p>
        </w:tc>
        <w:tc>
          <w:tcPr>
            <w:tcW w:w="1561" w:type="dxa"/>
            <w:shd w:val="clear" w:color="auto" w:fill="auto"/>
            <w:noWrap/>
            <w:vAlign w:val="bottom"/>
            <w:hideMark/>
          </w:tcPr>
          <w:p w14:paraId="57F87D3C" w14:textId="20FC06D0" w:rsidR="007901B3" w:rsidRPr="00007E00" w:rsidRDefault="00F3063B" w:rsidP="00C4045F">
            <w:pPr>
              <w:spacing w:after="0" w:line="240" w:lineRule="auto"/>
              <w:jc w:val="right"/>
              <w:rPr>
                <w:rFonts w:ascii="Verdana" w:eastAsia="Times New Roman" w:hAnsi="Verdana" w:cs="Calibri"/>
                <w:color w:val="000000"/>
                <w:kern w:val="0"/>
                <w:sz w:val="20"/>
                <w:szCs w:val="20"/>
                <w:lang w:eastAsia="en-GB"/>
                <w14:ligatures w14:val="none"/>
              </w:rPr>
            </w:pPr>
            <w:r>
              <w:rPr>
                <w:rFonts w:ascii="Verdana" w:eastAsia="Times New Roman" w:hAnsi="Verdana" w:cs="Calibri"/>
                <w:color w:val="000000"/>
                <w:kern w:val="0"/>
                <w:sz w:val="20"/>
                <w:szCs w:val="20"/>
                <w:lang w:eastAsia="en-GB"/>
                <w14:ligatures w14:val="none"/>
              </w:rPr>
              <w:t>0.27</w:t>
            </w:r>
          </w:p>
        </w:tc>
        <w:tc>
          <w:tcPr>
            <w:tcW w:w="1561" w:type="dxa"/>
            <w:shd w:val="clear" w:color="auto" w:fill="auto"/>
            <w:noWrap/>
            <w:vAlign w:val="bottom"/>
            <w:hideMark/>
          </w:tcPr>
          <w:p w14:paraId="72E9388A" w14:textId="22FD2AA2" w:rsidR="007901B3" w:rsidRPr="00007E00" w:rsidRDefault="007901B3" w:rsidP="00C4045F">
            <w:pPr>
              <w:spacing w:after="0" w:line="240" w:lineRule="auto"/>
              <w:jc w:val="right"/>
              <w:rPr>
                <w:rFonts w:ascii="Verdana" w:eastAsia="Times New Roman" w:hAnsi="Verdana" w:cs="Calibri"/>
                <w:color w:val="000000"/>
                <w:kern w:val="0"/>
                <w:sz w:val="20"/>
                <w:szCs w:val="20"/>
                <w:lang w:eastAsia="en-GB"/>
                <w14:ligatures w14:val="none"/>
              </w:rPr>
            </w:pPr>
            <w:r w:rsidRPr="00007E00">
              <w:rPr>
                <w:rFonts w:ascii="Verdana" w:hAnsi="Verdana" w:cs="Calibri"/>
                <w:color w:val="000000"/>
                <w:sz w:val="20"/>
                <w:szCs w:val="20"/>
              </w:rPr>
              <w:t>0.</w:t>
            </w:r>
            <w:r w:rsidR="00F3063B">
              <w:rPr>
                <w:rFonts w:ascii="Verdana" w:hAnsi="Verdana" w:cs="Calibri"/>
                <w:color w:val="000000"/>
                <w:sz w:val="20"/>
                <w:szCs w:val="20"/>
              </w:rPr>
              <w:t>29</w:t>
            </w:r>
          </w:p>
        </w:tc>
      </w:tr>
    </w:tbl>
    <w:p w14:paraId="67528D2D" w14:textId="77777777" w:rsidR="007901B3" w:rsidRPr="007901B3" w:rsidRDefault="007901B3" w:rsidP="007901B3">
      <w:pPr>
        <w:spacing w:line="360" w:lineRule="auto"/>
        <w:jc w:val="both"/>
        <w:rPr>
          <w:rFonts w:ascii="Verdana" w:hAnsi="Verdana"/>
          <w:b/>
          <w:bCs/>
          <w:szCs w:val="24"/>
          <w:u w:val="single"/>
        </w:rPr>
      </w:pPr>
    </w:p>
    <w:p w14:paraId="19BBFDC5" w14:textId="569675CE" w:rsidR="001C498D" w:rsidRPr="001C498D" w:rsidRDefault="001C498D" w:rsidP="001C498D">
      <w:pPr>
        <w:spacing w:line="360" w:lineRule="auto"/>
        <w:jc w:val="both"/>
        <w:rPr>
          <w:rFonts w:ascii="Verdana" w:hAnsi="Verdana"/>
          <w:szCs w:val="24"/>
        </w:rPr>
      </w:pPr>
      <w:r w:rsidRPr="001C498D">
        <w:rPr>
          <w:rFonts w:ascii="Verdana" w:hAnsi="Verdana"/>
          <w:szCs w:val="24"/>
        </w:rPr>
        <w:t xml:space="preserve">Apple’s asset utilization metrics </w:t>
      </w:r>
      <w:r w:rsidRPr="001C498D">
        <w:rPr>
          <w:rFonts w:ascii="Verdana" w:hAnsi="Verdana"/>
          <w:szCs w:val="24"/>
        </w:rPr>
        <w:t>demonstrates</w:t>
      </w:r>
      <w:r w:rsidRPr="001C498D">
        <w:rPr>
          <w:rFonts w:ascii="Verdana" w:hAnsi="Verdana"/>
          <w:szCs w:val="24"/>
        </w:rPr>
        <w:t xml:space="preserve"> positive trends. The total asset turnover has increased over the years, reflecting improve</w:t>
      </w:r>
      <w:r w:rsidRPr="001C498D">
        <w:rPr>
          <w:rFonts w:ascii="Verdana" w:hAnsi="Verdana"/>
          <w:szCs w:val="24"/>
        </w:rPr>
        <w:t>ment in</w:t>
      </w:r>
      <w:r w:rsidRPr="001C498D">
        <w:rPr>
          <w:rFonts w:ascii="Verdana" w:hAnsi="Verdana"/>
          <w:szCs w:val="24"/>
        </w:rPr>
        <w:t xml:space="preserve"> efficiency in generating revenue from its total assets. Similarly, the fixed asset turnover has steadily risen, indicating that Apple is making better use of its physical assets. The slight improvement in return on assets (ROA) further highlights that Apple is generating higher returns from its assets.</w:t>
      </w:r>
    </w:p>
    <w:p w14:paraId="079AACE5" w14:textId="77777777" w:rsidR="001C498D" w:rsidRDefault="001C498D" w:rsidP="001C498D">
      <w:pPr>
        <w:pStyle w:val="ListParagraph"/>
        <w:numPr>
          <w:ilvl w:val="0"/>
          <w:numId w:val="1"/>
        </w:numPr>
        <w:spacing w:line="360" w:lineRule="auto"/>
        <w:jc w:val="both"/>
        <w:rPr>
          <w:rFonts w:ascii="Verdana" w:hAnsi="Verdana"/>
          <w:b/>
          <w:bCs/>
          <w:szCs w:val="24"/>
          <w:u w:val="single"/>
        </w:rPr>
      </w:pPr>
      <w:r w:rsidRPr="00007E00">
        <w:rPr>
          <w:rFonts w:ascii="Verdana" w:hAnsi="Verdana"/>
          <w:b/>
          <w:bCs/>
          <w:szCs w:val="24"/>
          <w:u w:val="single"/>
        </w:rPr>
        <w:t>Investor and Market Ratios</w:t>
      </w: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1561"/>
        <w:gridCol w:w="1561"/>
        <w:gridCol w:w="1561"/>
      </w:tblGrid>
      <w:tr w:rsidR="00F3063B" w:rsidRPr="00007E00" w14:paraId="64C43187" w14:textId="77777777" w:rsidTr="00C4045F">
        <w:trPr>
          <w:trHeight w:val="300"/>
        </w:trPr>
        <w:tc>
          <w:tcPr>
            <w:tcW w:w="4960" w:type="dxa"/>
            <w:shd w:val="clear" w:color="auto" w:fill="auto"/>
            <w:noWrap/>
            <w:vAlign w:val="bottom"/>
          </w:tcPr>
          <w:p w14:paraId="0EA7B88D" w14:textId="77777777" w:rsidR="00F3063B" w:rsidRPr="007901B3" w:rsidRDefault="00F3063B" w:rsidP="00C4045F">
            <w:pPr>
              <w:spacing w:after="0" w:line="240" w:lineRule="auto"/>
              <w:rPr>
                <w:rFonts w:ascii="Verdana" w:eastAsia="Times New Roman" w:hAnsi="Verdana" w:cs="Calibri"/>
                <w:b/>
                <w:bCs/>
                <w:color w:val="000000"/>
                <w:kern w:val="0"/>
                <w:sz w:val="20"/>
                <w:szCs w:val="20"/>
                <w:lang w:eastAsia="en-GB"/>
                <w14:ligatures w14:val="none"/>
              </w:rPr>
            </w:pPr>
            <w:r w:rsidRPr="007901B3">
              <w:rPr>
                <w:rFonts w:ascii="Verdana" w:eastAsia="Times New Roman" w:hAnsi="Verdana" w:cs="Calibri"/>
                <w:b/>
                <w:bCs/>
                <w:color w:val="000000"/>
                <w:kern w:val="0"/>
                <w:sz w:val="20"/>
                <w:szCs w:val="20"/>
                <w:lang w:eastAsia="en-GB"/>
                <w14:ligatures w14:val="none"/>
              </w:rPr>
              <w:t>Ratio</w:t>
            </w:r>
          </w:p>
        </w:tc>
        <w:tc>
          <w:tcPr>
            <w:tcW w:w="1561" w:type="dxa"/>
            <w:shd w:val="clear" w:color="auto" w:fill="auto"/>
            <w:noWrap/>
            <w:vAlign w:val="bottom"/>
          </w:tcPr>
          <w:p w14:paraId="535FBDDB" w14:textId="77777777" w:rsidR="00F3063B" w:rsidRPr="007901B3" w:rsidRDefault="00F3063B" w:rsidP="00C4045F">
            <w:pPr>
              <w:spacing w:after="0" w:line="240" w:lineRule="auto"/>
              <w:jc w:val="right"/>
              <w:rPr>
                <w:rFonts w:ascii="Verdana" w:eastAsia="Times New Roman" w:hAnsi="Verdana" w:cs="Calibri"/>
                <w:b/>
                <w:bCs/>
                <w:color w:val="000000"/>
                <w:kern w:val="0"/>
                <w:sz w:val="20"/>
                <w:szCs w:val="20"/>
                <w:lang w:eastAsia="en-GB"/>
                <w14:ligatures w14:val="none"/>
              </w:rPr>
            </w:pPr>
            <w:r w:rsidRPr="007901B3">
              <w:rPr>
                <w:rFonts w:ascii="Verdana" w:eastAsia="Times New Roman" w:hAnsi="Verdana" w:cs="Calibri"/>
                <w:b/>
                <w:bCs/>
                <w:color w:val="000000"/>
                <w:kern w:val="0"/>
                <w:sz w:val="20"/>
                <w:szCs w:val="20"/>
                <w:lang w:eastAsia="en-GB"/>
                <w14:ligatures w14:val="none"/>
              </w:rPr>
              <w:t>2020</w:t>
            </w:r>
          </w:p>
        </w:tc>
        <w:tc>
          <w:tcPr>
            <w:tcW w:w="1561" w:type="dxa"/>
            <w:shd w:val="clear" w:color="auto" w:fill="auto"/>
            <w:noWrap/>
            <w:vAlign w:val="bottom"/>
          </w:tcPr>
          <w:p w14:paraId="1B036316" w14:textId="77777777" w:rsidR="00F3063B" w:rsidRPr="007901B3" w:rsidRDefault="00F3063B" w:rsidP="00C4045F">
            <w:pPr>
              <w:spacing w:after="0" w:line="240" w:lineRule="auto"/>
              <w:jc w:val="right"/>
              <w:rPr>
                <w:rFonts w:ascii="Verdana" w:eastAsia="Times New Roman" w:hAnsi="Verdana" w:cs="Calibri"/>
                <w:b/>
                <w:bCs/>
                <w:color w:val="000000"/>
                <w:kern w:val="0"/>
                <w:sz w:val="20"/>
                <w:szCs w:val="20"/>
                <w:lang w:eastAsia="en-GB"/>
                <w14:ligatures w14:val="none"/>
              </w:rPr>
            </w:pPr>
            <w:r w:rsidRPr="007901B3">
              <w:rPr>
                <w:rFonts w:ascii="Verdana" w:eastAsia="Times New Roman" w:hAnsi="Verdana" w:cs="Calibri"/>
                <w:b/>
                <w:bCs/>
                <w:color w:val="000000"/>
                <w:kern w:val="0"/>
                <w:sz w:val="20"/>
                <w:szCs w:val="20"/>
                <w:lang w:eastAsia="en-GB"/>
                <w14:ligatures w14:val="none"/>
              </w:rPr>
              <w:t>2021</w:t>
            </w:r>
          </w:p>
        </w:tc>
        <w:tc>
          <w:tcPr>
            <w:tcW w:w="1561" w:type="dxa"/>
            <w:shd w:val="clear" w:color="auto" w:fill="auto"/>
            <w:noWrap/>
            <w:vAlign w:val="bottom"/>
          </w:tcPr>
          <w:p w14:paraId="6BFD0560" w14:textId="77777777" w:rsidR="00F3063B" w:rsidRPr="007901B3" w:rsidRDefault="00F3063B" w:rsidP="00C4045F">
            <w:pPr>
              <w:spacing w:after="0" w:line="240" w:lineRule="auto"/>
              <w:jc w:val="right"/>
              <w:rPr>
                <w:rFonts w:ascii="Verdana" w:eastAsia="Times New Roman" w:hAnsi="Verdana" w:cs="Calibri"/>
                <w:b/>
                <w:bCs/>
                <w:color w:val="000000"/>
                <w:kern w:val="0"/>
                <w:sz w:val="20"/>
                <w:szCs w:val="20"/>
                <w:lang w:eastAsia="en-GB"/>
                <w14:ligatures w14:val="none"/>
              </w:rPr>
            </w:pPr>
            <w:r w:rsidRPr="007901B3">
              <w:rPr>
                <w:rFonts w:ascii="Verdana" w:eastAsia="Times New Roman" w:hAnsi="Verdana" w:cs="Calibri"/>
                <w:b/>
                <w:bCs/>
                <w:color w:val="000000"/>
                <w:kern w:val="0"/>
                <w:sz w:val="20"/>
                <w:szCs w:val="20"/>
                <w:lang w:eastAsia="en-GB"/>
                <w14:ligatures w14:val="none"/>
              </w:rPr>
              <w:t>2022</w:t>
            </w:r>
          </w:p>
        </w:tc>
      </w:tr>
      <w:tr w:rsidR="00F3063B" w:rsidRPr="00007E00" w14:paraId="1FE2D013" w14:textId="77777777" w:rsidTr="00C4045F">
        <w:trPr>
          <w:trHeight w:val="300"/>
        </w:trPr>
        <w:tc>
          <w:tcPr>
            <w:tcW w:w="4960" w:type="dxa"/>
            <w:shd w:val="clear" w:color="auto" w:fill="auto"/>
            <w:noWrap/>
            <w:vAlign w:val="bottom"/>
            <w:hideMark/>
          </w:tcPr>
          <w:p w14:paraId="55ACF969" w14:textId="07A6CEDD" w:rsidR="00F3063B" w:rsidRPr="00007E00" w:rsidRDefault="00F3063B" w:rsidP="00C4045F">
            <w:pPr>
              <w:spacing w:after="0" w:line="240" w:lineRule="auto"/>
              <w:rPr>
                <w:rFonts w:ascii="Verdana" w:eastAsia="Times New Roman" w:hAnsi="Verdana" w:cs="Calibri"/>
                <w:b/>
                <w:bCs/>
                <w:color w:val="000000"/>
                <w:kern w:val="0"/>
                <w:sz w:val="20"/>
                <w:szCs w:val="20"/>
                <w:lang w:eastAsia="en-GB"/>
                <w14:ligatures w14:val="none"/>
              </w:rPr>
            </w:pPr>
            <w:r>
              <w:rPr>
                <w:rFonts w:ascii="Verdana" w:eastAsia="Times New Roman" w:hAnsi="Verdana" w:cs="Calibri"/>
                <w:b/>
                <w:bCs/>
                <w:color w:val="000000"/>
                <w:kern w:val="0"/>
                <w:sz w:val="20"/>
                <w:szCs w:val="20"/>
                <w:lang w:eastAsia="en-GB"/>
                <w14:ligatures w14:val="none"/>
              </w:rPr>
              <w:t>Price to Earning (P/E)</w:t>
            </w:r>
          </w:p>
        </w:tc>
        <w:tc>
          <w:tcPr>
            <w:tcW w:w="1561" w:type="dxa"/>
            <w:shd w:val="clear" w:color="auto" w:fill="auto"/>
            <w:noWrap/>
            <w:vAlign w:val="bottom"/>
            <w:hideMark/>
          </w:tcPr>
          <w:p w14:paraId="67E9042A" w14:textId="386EA18F" w:rsidR="00F3063B" w:rsidRPr="00007E00" w:rsidRDefault="00F3063B" w:rsidP="00C4045F">
            <w:pPr>
              <w:spacing w:after="0" w:line="240" w:lineRule="auto"/>
              <w:jc w:val="right"/>
              <w:rPr>
                <w:rFonts w:ascii="Verdana" w:eastAsia="Times New Roman" w:hAnsi="Verdana" w:cs="Calibri"/>
                <w:color w:val="000000"/>
                <w:kern w:val="0"/>
                <w:sz w:val="20"/>
                <w:szCs w:val="20"/>
                <w:lang w:eastAsia="en-GB"/>
                <w14:ligatures w14:val="none"/>
              </w:rPr>
            </w:pPr>
            <w:r>
              <w:rPr>
                <w:rFonts w:ascii="Verdana" w:eastAsia="Times New Roman" w:hAnsi="Verdana" w:cs="Calibri"/>
                <w:color w:val="000000"/>
                <w:kern w:val="0"/>
                <w:sz w:val="20"/>
                <w:szCs w:val="20"/>
                <w:lang w:eastAsia="en-GB"/>
                <w14:ligatures w14:val="none"/>
              </w:rPr>
              <w:t>38.77</w:t>
            </w:r>
          </w:p>
        </w:tc>
        <w:tc>
          <w:tcPr>
            <w:tcW w:w="1561" w:type="dxa"/>
            <w:shd w:val="clear" w:color="auto" w:fill="auto"/>
            <w:noWrap/>
            <w:vAlign w:val="bottom"/>
            <w:hideMark/>
          </w:tcPr>
          <w:p w14:paraId="7151A2FC" w14:textId="7C300419" w:rsidR="00F3063B" w:rsidRPr="00007E00" w:rsidRDefault="00F3063B" w:rsidP="00C4045F">
            <w:pPr>
              <w:spacing w:after="0" w:line="240" w:lineRule="auto"/>
              <w:jc w:val="right"/>
              <w:rPr>
                <w:rFonts w:ascii="Verdana" w:eastAsia="Times New Roman" w:hAnsi="Verdana" w:cs="Calibri"/>
                <w:color w:val="000000"/>
                <w:kern w:val="0"/>
                <w:sz w:val="20"/>
                <w:szCs w:val="20"/>
                <w:lang w:eastAsia="en-GB"/>
                <w14:ligatures w14:val="none"/>
              </w:rPr>
            </w:pPr>
            <w:r>
              <w:rPr>
                <w:rFonts w:ascii="Verdana" w:eastAsia="Times New Roman" w:hAnsi="Verdana" w:cs="Calibri"/>
                <w:color w:val="000000"/>
                <w:kern w:val="0"/>
                <w:sz w:val="20"/>
                <w:szCs w:val="20"/>
                <w:lang w:eastAsia="en-GB"/>
                <w14:ligatures w14:val="none"/>
              </w:rPr>
              <w:t>35.79</w:t>
            </w:r>
          </w:p>
        </w:tc>
        <w:tc>
          <w:tcPr>
            <w:tcW w:w="1561" w:type="dxa"/>
            <w:shd w:val="clear" w:color="auto" w:fill="auto"/>
            <w:noWrap/>
            <w:vAlign w:val="bottom"/>
            <w:hideMark/>
          </w:tcPr>
          <w:p w14:paraId="63E694AE" w14:textId="76499F5C" w:rsidR="00F3063B" w:rsidRPr="00007E00" w:rsidRDefault="00F3063B" w:rsidP="00C4045F">
            <w:pPr>
              <w:spacing w:after="0" w:line="240" w:lineRule="auto"/>
              <w:jc w:val="right"/>
              <w:rPr>
                <w:rFonts w:ascii="Verdana" w:eastAsia="Times New Roman" w:hAnsi="Verdana" w:cs="Calibri"/>
                <w:color w:val="000000"/>
                <w:kern w:val="0"/>
                <w:sz w:val="20"/>
                <w:szCs w:val="20"/>
                <w:lang w:eastAsia="en-GB"/>
                <w14:ligatures w14:val="none"/>
              </w:rPr>
            </w:pPr>
            <w:r>
              <w:rPr>
                <w:rFonts w:ascii="Verdana" w:eastAsia="Times New Roman" w:hAnsi="Verdana" w:cs="Calibri"/>
                <w:color w:val="000000"/>
                <w:kern w:val="0"/>
                <w:sz w:val="20"/>
                <w:szCs w:val="20"/>
                <w:lang w:eastAsia="en-GB"/>
                <w14:ligatures w14:val="none"/>
              </w:rPr>
              <w:t>60.42</w:t>
            </w:r>
          </w:p>
        </w:tc>
      </w:tr>
      <w:tr w:rsidR="00F3063B" w:rsidRPr="00007E00" w14:paraId="15759D62" w14:textId="77777777" w:rsidTr="00C4045F">
        <w:trPr>
          <w:trHeight w:val="300"/>
        </w:trPr>
        <w:tc>
          <w:tcPr>
            <w:tcW w:w="4960" w:type="dxa"/>
            <w:shd w:val="clear" w:color="auto" w:fill="auto"/>
            <w:noWrap/>
            <w:vAlign w:val="bottom"/>
            <w:hideMark/>
          </w:tcPr>
          <w:p w14:paraId="5B551BDA" w14:textId="64122E16" w:rsidR="00F3063B" w:rsidRPr="00007E00" w:rsidRDefault="00F3063B" w:rsidP="00C4045F">
            <w:pPr>
              <w:spacing w:after="0" w:line="240" w:lineRule="auto"/>
              <w:rPr>
                <w:rFonts w:ascii="Verdana" w:eastAsia="Times New Roman" w:hAnsi="Verdana" w:cs="Calibri"/>
                <w:b/>
                <w:bCs/>
                <w:color w:val="000000"/>
                <w:kern w:val="0"/>
                <w:sz w:val="20"/>
                <w:szCs w:val="20"/>
                <w:lang w:eastAsia="en-GB"/>
                <w14:ligatures w14:val="none"/>
              </w:rPr>
            </w:pPr>
            <w:r>
              <w:rPr>
                <w:rFonts w:ascii="Verdana" w:eastAsia="Times New Roman" w:hAnsi="Verdana" w:cs="Calibri"/>
                <w:b/>
                <w:bCs/>
                <w:color w:val="000000"/>
                <w:kern w:val="0"/>
                <w:sz w:val="20"/>
                <w:szCs w:val="20"/>
                <w:lang w:eastAsia="en-GB"/>
                <w14:ligatures w14:val="none"/>
              </w:rPr>
              <w:t>Price Book Value (PBV)</w:t>
            </w:r>
          </w:p>
        </w:tc>
        <w:tc>
          <w:tcPr>
            <w:tcW w:w="1561" w:type="dxa"/>
            <w:shd w:val="clear" w:color="auto" w:fill="auto"/>
            <w:noWrap/>
            <w:vAlign w:val="bottom"/>
            <w:hideMark/>
          </w:tcPr>
          <w:p w14:paraId="6B1A67D0" w14:textId="2B98ACF1" w:rsidR="00F3063B" w:rsidRPr="00007E00" w:rsidRDefault="00F3063B" w:rsidP="00C4045F">
            <w:pPr>
              <w:spacing w:after="0" w:line="240" w:lineRule="auto"/>
              <w:jc w:val="right"/>
              <w:rPr>
                <w:rFonts w:ascii="Verdana" w:eastAsia="Times New Roman" w:hAnsi="Verdana" w:cs="Calibri"/>
                <w:color w:val="000000"/>
                <w:kern w:val="0"/>
                <w:sz w:val="20"/>
                <w:szCs w:val="20"/>
                <w:lang w:eastAsia="en-GB"/>
                <w14:ligatures w14:val="none"/>
              </w:rPr>
            </w:pPr>
            <w:r>
              <w:rPr>
                <w:rFonts w:ascii="Verdana" w:eastAsia="Times New Roman" w:hAnsi="Verdana" w:cs="Calibri"/>
                <w:color w:val="000000"/>
                <w:kern w:val="0"/>
                <w:sz w:val="20"/>
                <w:szCs w:val="20"/>
                <w:lang w:eastAsia="en-GB"/>
                <w14:ligatures w14:val="none"/>
              </w:rPr>
              <w:t>10.93</w:t>
            </w:r>
          </w:p>
        </w:tc>
        <w:tc>
          <w:tcPr>
            <w:tcW w:w="1561" w:type="dxa"/>
            <w:shd w:val="clear" w:color="auto" w:fill="auto"/>
            <w:noWrap/>
            <w:vAlign w:val="bottom"/>
            <w:hideMark/>
          </w:tcPr>
          <w:p w14:paraId="6F0D8CCC" w14:textId="72EC03A3" w:rsidR="00F3063B" w:rsidRPr="00007E00" w:rsidRDefault="00F3063B" w:rsidP="00C4045F">
            <w:pPr>
              <w:spacing w:after="0" w:line="240" w:lineRule="auto"/>
              <w:jc w:val="right"/>
              <w:rPr>
                <w:rFonts w:ascii="Verdana" w:eastAsia="Times New Roman" w:hAnsi="Verdana" w:cs="Calibri"/>
                <w:color w:val="000000"/>
                <w:kern w:val="0"/>
                <w:sz w:val="20"/>
                <w:szCs w:val="20"/>
                <w:lang w:eastAsia="en-GB"/>
                <w14:ligatures w14:val="none"/>
              </w:rPr>
            </w:pPr>
            <w:r>
              <w:rPr>
                <w:rFonts w:ascii="Verdana" w:eastAsia="Times New Roman" w:hAnsi="Verdana" w:cs="Calibri"/>
                <w:color w:val="000000"/>
                <w:kern w:val="0"/>
                <w:sz w:val="20"/>
                <w:szCs w:val="20"/>
                <w:lang w:eastAsia="en-GB"/>
                <w14:ligatures w14:val="none"/>
              </w:rPr>
              <w:t>8.56</w:t>
            </w:r>
          </w:p>
        </w:tc>
        <w:tc>
          <w:tcPr>
            <w:tcW w:w="1561" w:type="dxa"/>
            <w:shd w:val="clear" w:color="auto" w:fill="auto"/>
            <w:noWrap/>
            <w:vAlign w:val="bottom"/>
            <w:hideMark/>
          </w:tcPr>
          <w:p w14:paraId="75DF6013" w14:textId="2A6388A5" w:rsidR="00F3063B" w:rsidRPr="00007E00" w:rsidRDefault="00F3063B" w:rsidP="00C4045F">
            <w:pPr>
              <w:spacing w:after="0" w:line="240" w:lineRule="auto"/>
              <w:jc w:val="right"/>
              <w:rPr>
                <w:rFonts w:ascii="Verdana" w:eastAsia="Times New Roman" w:hAnsi="Verdana" w:cs="Calibri"/>
                <w:color w:val="000000"/>
                <w:kern w:val="0"/>
                <w:sz w:val="20"/>
                <w:szCs w:val="20"/>
                <w:lang w:eastAsia="en-GB"/>
                <w14:ligatures w14:val="none"/>
              </w:rPr>
            </w:pPr>
            <w:r>
              <w:rPr>
                <w:rFonts w:ascii="Verdana" w:eastAsia="Times New Roman" w:hAnsi="Verdana" w:cs="Calibri"/>
                <w:color w:val="000000"/>
                <w:kern w:val="0"/>
                <w:sz w:val="20"/>
                <w:szCs w:val="20"/>
                <w:lang w:eastAsia="en-GB"/>
                <w14:ligatures w14:val="none"/>
              </w:rPr>
              <w:t>9.81</w:t>
            </w:r>
          </w:p>
        </w:tc>
      </w:tr>
      <w:tr w:rsidR="00F3063B" w:rsidRPr="00007E00" w14:paraId="3D764AFD" w14:textId="77777777" w:rsidTr="00C4045F">
        <w:trPr>
          <w:trHeight w:val="300"/>
        </w:trPr>
        <w:tc>
          <w:tcPr>
            <w:tcW w:w="4960" w:type="dxa"/>
            <w:shd w:val="clear" w:color="auto" w:fill="auto"/>
            <w:noWrap/>
            <w:vAlign w:val="bottom"/>
            <w:hideMark/>
          </w:tcPr>
          <w:p w14:paraId="5C238268" w14:textId="5595B421" w:rsidR="00F3063B" w:rsidRPr="00007E00" w:rsidRDefault="00F3063B" w:rsidP="00C4045F">
            <w:pPr>
              <w:spacing w:after="0" w:line="240" w:lineRule="auto"/>
              <w:rPr>
                <w:rFonts w:ascii="Verdana" w:eastAsia="Times New Roman" w:hAnsi="Verdana" w:cs="Calibri"/>
                <w:b/>
                <w:bCs/>
                <w:color w:val="000000"/>
                <w:kern w:val="0"/>
                <w:sz w:val="20"/>
                <w:szCs w:val="20"/>
                <w:lang w:eastAsia="en-GB"/>
                <w14:ligatures w14:val="none"/>
              </w:rPr>
            </w:pPr>
            <w:r>
              <w:rPr>
                <w:rFonts w:ascii="Verdana" w:eastAsia="Times New Roman" w:hAnsi="Verdana" w:cs="Calibri"/>
                <w:b/>
                <w:bCs/>
                <w:color w:val="000000"/>
                <w:kern w:val="0"/>
                <w:sz w:val="20"/>
                <w:szCs w:val="20"/>
                <w:lang w:eastAsia="en-GB"/>
                <w14:ligatures w14:val="none"/>
              </w:rPr>
              <w:t>Enterprise Value (EV)</w:t>
            </w:r>
          </w:p>
        </w:tc>
        <w:tc>
          <w:tcPr>
            <w:tcW w:w="1561" w:type="dxa"/>
            <w:shd w:val="clear" w:color="auto" w:fill="auto"/>
            <w:noWrap/>
            <w:vAlign w:val="bottom"/>
            <w:hideMark/>
          </w:tcPr>
          <w:p w14:paraId="594EA666" w14:textId="449CB8F7" w:rsidR="00F3063B" w:rsidRPr="00007E00" w:rsidRDefault="00F3063B" w:rsidP="00F3063B">
            <w:pPr>
              <w:spacing w:after="0" w:line="240" w:lineRule="auto"/>
              <w:jc w:val="right"/>
              <w:rPr>
                <w:rFonts w:ascii="Verdana" w:eastAsia="Times New Roman" w:hAnsi="Verdana" w:cs="Calibri"/>
                <w:color w:val="000000"/>
                <w:kern w:val="0"/>
                <w:sz w:val="20"/>
                <w:szCs w:val="20"/>
                <w:lang w:eastAsia="en-GB"/>
                <w14:ligatures w14:val="none"/>
              </w:rPr>
            </w:pPr>
            <w:r>
              <w:rPr>
                <w:rFonts w:ascii="Verdana" w:eastAsia="Times New Roman" w:hAnsi="Verdana" w:cs="Calibri"/>
                <w:color w:val="000000"/>
                <w:kern w:val="0"/>
                <w:sz w:val="20"/>
                <w:szCs w:val="20"/>
                <w:lang w:eastAsia="en-GB"/>
                <w14:ligatures w14:val="none"/>
              </w:rPr>
              <w:t>392859506</w:t>
            </w:r>
          </w:p>
        </w:tc>
        <w:tc>
          <w:tcPr>
            <w:tcW w:w="1561" w:type="dxa"/>
            <w:shd w:val="clear" w:color="auto" w:fill="auto"/>
            <w:noWrap/>
            <w:vAlign w:val="bottom"/>
            <w:hideMark/>
          </w:tcPr>
          <w:p w14:paraId="39526FFF" w14:textId="2ABC84BD" w:rsidR="00F3063B" w:rsidRPr="00007E00" w:rsidRDefault="00F3063B" w:rsidP="00C4045F">
            <w:pPr>
              <w:spacing w:after="0" w:line="240" w:lineRule="auto"/>
              <w:jc w:val="right"/>
              <w:rPr>
                <w:rFonts w:ascii="Verdana" w:eastAsia="Times New Roman" w:hAnsi="Verdana" w:cs="Calibri"/>
                <w:color w:val="000000"/>
                <w:kern w:val="0"/>
                <w:sz w:val="20"/>
                <w:szCs w:val="20"/>
                <w:lang w:eastAsia="en-GB"/>
                <w14:ligatures w14:val="none"/>
              </w:rPr>
            </w:pPr>
            <w:r>
              <w:rPr>
                <w:rFonts w:ascii="Verdana" w:eastAsia="Times New Roman" w:hAnsi="Verdana" w:cs="Calibri"/>
                <w:color w:val="000000"/>
                <w:kern w:val="0"/>
                <w:sz w:val="20"/>
                <w:szCs w:val="20"/>
                <w:lang w:eastAsia="en-GB"/>
                <w14:ligatures w14:val="none"/>
              </w:rPr>
              <w:t>368584797</w:t>
            </w:r>
          </w:p>
        </w:tc>
        <w:tc>
          <w:tcPr>
            <w:tcW w:w="1561" w:type="dxa"/>
            <w:shd w:val="clear" w:color="auto" w:fill="auto"/>
            <w:noWrap/>
            <w:vAlign w:val="bottom"/>
            <w:hideMark/>
          </w:tcPr>
          <w:p w14:paraId="2A9F546B" w14:textId="4502D734" w:rsidR="00F3063B" w:rsidRPr="00007E00" w:rsidRDefault="00F3063B" w:rsidP="00C4045F">
            <w:pPr>
              <w:spacing w:after="0" w:line="240" w:lineRule="auto"/>
              <w:jc w:val="right"/>
              <w:rPr>
                <w:rFonts w:ascii="Verdana" w:eastAsia="Times New Roman" w:hAnsi="Verdana" w:cs="Calibri"/>
                <w:color w:val="000000"/>
                <w:kern w:val="0"/>
                <w:sz w:val="20"/>
                <w:szCs w:val="20"/>
                <w:lang w:eastAsia="en-GB"/>
                <w14:ligatures w14:val="none"/>
              </w:rPr>
            </w:pPr>
            <w:r>
              <w:rPr>
                <w:rFonts w:ascii="Verdana" w:eastAsia="Times New Roman" w:hAnsi="Verdana" w:cs="Calibri"/>
                <w:color w:val="000000"/>
                <w:kern w:val="0"/>
                <w:sz w:val="20"/>
                <w:szCs w:val="20"/>
                <w:lang w:eastAsia="en-GB"/>
                <w14:ligatures w14:val="none"/>
              </w:rPr>
              <w:t>357878773</w:t>
            </w:r>
          </w:p>
        </w:tc>
      </w:tr>
    </w:tbl>
    <w:p w14:paraId="11A7F3A5" w14:textId="77777777" w:rsidR="00F3063B" w:rsidRPr="00F3063B" w:rsidRDefault="00F3063B" w:rsidP="00F3063B">
      <w:pPr>
        <w:spacing w:line="360" w:lineRule="auto"/>
        <w:jc w:val="both"/>
        <w:rPr>
          <w:rFonts w:ascii="Verdana" w:hAnsi="Verdana"/>
          <w:b/>
          <w:bCs/>
          <w:szCs w:val="24"/>
          <w:u w:val="single"/>
        </w:rPr>
      </w:pPr>
    </w:p>
    <w:p w14:paraId="6127196A" w14:textId="325B0197" w:rsidR="001C498D" w:rsidRDefault="001C498D" w:rsidP="001C498D">
      <w:pPr>
        <w:spacing w:line="360" w:lineRule="auto"/>
        <w:jc w:val="both"/>
        <w:rPr>
          <w:rFonts w:ascii="Verdana" w:hAnsi="Verdana"/>
          <w:szCs w:val="24"/>
        </w:rPr>
      </w:pPr>
      <w:r w:rsidRPr="001C498D">
        <w:rPr>
          <w:rFonts w:ascii="Verdana" w:hAnsi="Verdana"/>
          <w:szCs w:val="24"/>
        </w:rPr>
        <w:t xml:space="preserve">Apple's market ratios reveal strong investor confidence, though with some mixed signals. The significant rise in the Price-to-Earnings (P/E) ratio from 35.79 in 2021 to 60.42 in 2022 suggests heightened investor expectations for future earnings growth. While this increase may point to potential overvaluation, it also underscores confidence in Apple’s continued expansion. The slight </w:t>
      </w:r>
      <w:r w:rsidR="00F2462E">
        <w:rPr>
          <w:rFonts w:ascii="Verdana" w:hAnsi="Verdana"/>
          <w:szCs w:val="24"/>
        </w:rPr>
        <w:t>increase</w:t>
      </w:r>
      <w:r w:rsidRPr="001C498D">
        <w:rPr>
          <w:rFonts w:ascii="Verdana" w:hAnsi="Verdana"/>
          <w:szCs w:val="24"/>
        </w:rPr>
        <w:t xml:space="preserve"> in Price-to-Book Value (PBV) indicates that the market is willing to pay a premium for Apple’s tangible assets, further reflecting strong investor </w:t>
      </w:r>
      <w:r w:rsidR="00F2462E">
        <w:rPr>
          <w:rFonts w:ascii="Verdana" w:hAnsi="Verdana"/>
          <w:szCs w:val="24"/>
        </w:rPr>
        <w:t>confidence</w:t>
      </w:r>
      <w:r w:rsidRPr="001C498D">
        <w:rPr>
          <w:rFonts w:ascii="Verdana" w:hAnsi="Verdana"/>
          <w:szCs w:val="24"/>
        </w:rPr>
        <w:t xml:space="preserve">. However, the decline in Enterprise Value (EV) over the three-year period suggests a slight decrease in Apple's overall market valuation, although its EV remains </w:t>
      </w:r>
      <w:r w:rsidR="00F2462E">
        <w:rPr>
          <w:rFonts w:ascii="Verdana" w:hAnsi="Verdana"/>
          <w:szCs w:val="24"/>
        </w:rPr>
        <w:t>remarkably</w:t>
      </w:r>
      <w:r w:rsidRPr="001C498D">
        <w:rPr>
          <w:rFonts w:ascii="Verdana" w:hAnsi="Verdana"/>
          <w:szCs w:val="24"/>
        </w:rPr>
        <w:t xml:space="preserve"> high, </w:t>
      </w:r>
      <w:r w:rsidRPr="001C498D">
        <w:rPr>
          <w:rFonts w:ascii="Verdana" w:hAnsi="Verdana"/>
          <w:szCs w:val="24"/>
        </w:rPr>
        <w:t>signalling</w:t>
      </w:r>
      <w:r w:rsidRPr="001C498D">
        <w:rPr>
          <w:rFonts w:ascii="Verdana" w:hAnsi="Verdana"/>
          <w:szCs w:val="24"/>
        </w:rPr>
        <w:t xml:space="preserve"> its sustained dominance in the tech industry.</w:t>
      </w:r>
    </w:p>
    <w:p w14:paraId="1931E4CD" w14:textId="69224B93" w:rsidR="00193AB1" w:rsidRPr="00007E00" w:rsidRDefault="00193AB1" w:rsidP="001C498D">
      <w:pPr>
        <w:spacing w:line="360" w:lineRule="auto"/>
        <w:jc w:val="both"/>
        <w:rPr>
          <w:rFonts w:ascii="Verdana" w:hAnsi="Verdana"/>
          <w:b/>
          <w:bCs/>
          <w:szCs w:val="24"/>
          <w:u w:val="single"/>
        </w:rPr>
      </w:pPr>
      <w:r w:rsidRPr="00007E00">
        <w:rPr>
          <w:rFonts w:ascii="Verdana" w:hAnsi="Verdana"/>
          <w:b/>
          <w:bCs/>
          <w:szCs w:val="24"/>
          <w:u w:val="single"/>
        </w:rPr>
        <w:t>Conclusion</w:t>
      </w:r>
    </w:p>
    <w:p w14:paraId="0FD79907" w14:textId="652D6DA2" w:rsidR="00193AB1" w:rsidRPr="00193AB1" w:rsidRDefault="00193AB1" w:rsidP="00193AB1">
      <w:pPr>
        <w:spacing w:line="360" w:lineRule="auto"/>
        <w:jc w:val="both"/>
        <w:rPr>
          <w:rFonts w:ascii="Verdana" w:hAnsi="Verdana"/>
          <w:szCs w:val="24"/>
        </w:rPr>
      </w:pPr>
      <w:r w:rsidRPr="00193AB1">
        <w:rPr>
          <w:rFonts w:ascii="Verdana" w:hAnsi="Verdana"/>
          <w:szCs w:val="24"/>
        </w:rPr>
        <w:t xml:space="preserve">Apple Inc. continues to be a highly profitable and financially strong company, marked by solid liquidity, operational efficiency, and a substantial market valuation. Nonetheless, some concerns have emerged, especially </w:t>
      </w:r>
      <w:r w:rsidRPr="00193AB1">
        <w:rPr>
          <w:rFonts w:ascii="Verdana" w:hAnsi="Verdana"/>
          <w:szCs w:val="24"/>
        </w:rPr>
        <w:lastRenderedPageBreak/>
        <w:t>regarding</w:t>
      </w:r>
      <w:r w:rsidRPr="00193AB1">
        <w:rPr>
          <w:rFonts w:ascii="Verdana" w:hAnsi="Verdana"/>
          <w:szCs w:val="24"/>
        </w:rPr>
        <w:t xml:space="preserve"> its growing debt, decreasing free cash flow per share, and significantly rising P/E ratio.</w:t>
      </w:r>
    </w:p>
    <w:p w14:paraId="5D166820" w14:textId="64556C33" w:rsidR="00193AB1" w:rsidRPr="00193AB1" w:rsidRDefault="00193AB1" w:rsidP="00193AB1">
      <w:pPr>
        <w:spacing w:line="360" w:lineRule="auto"/>
        <w:jc w:val="both"/>
        <w:rPr>
          <w:rFonts w:ascii="Verdana" w:hAnsi="Verdana"/>
          <w:szCs w:val="24"/>
        </w:rPr>
      </w:pPr>
      <w:r w:rsidRPr="00193AB1">
        <w:rPr>
          <w:rFonts w:ascii="Verdana" w:hAnsi="Verdana"/>
          <w:szCs w:val="24"/>
        </w:rPr>
        <w:t xml:space="preserve">Although Apple’s financial performance remains excellent and it maintains its status as an industry leader, potential investors should proceed with caution. The increase in debt and fluctuations in free cash flow suggest a need for careful observation. </w:t>
      </w:r>
      <w:r w:rsidR="00007E00">
        <w:rPr>
          <w:rFonts w:ascii="Verdana" w:hAnsi="Verdana"/>
          <w:szCs w:val="24"/>
        </w:rPr>
        <w:t>It is</w:t>
      </w:r>
      <w:r w:rsidRPr="00193AB1">
        <w:rPr>
          <w:rFonts w:ascii="Verdana" w:hAnsi="Verdana"/>
          <w:szCs w:val="24"/>
        </w:rPr>
        <w:t xml:space="preserve"> recommend</w:t>
      </w:r>
      <w:r w:rsidR="00007E00">
        <w:rPr>
          <w:rFonts w:ascii="Verdana" w:hAnsi="Verdana"/>
          <w:szCs w:val="24"/>
        </w:rPr>
        <w:t>ed</w:t>
      </w:r>
      <w:r w:rsidRPr="00193AB1">
        <w:rPr>
          <w:rFonts w:ascii="Verdana" w:hAnsi="Verdana"/>
          <w:szCs w:val="24"/>
        </w:rPr>
        <w:t xml:space="preserve"> that stakeholders </w:t>
      </w:r>
      <w:r w:rsidR="00007E00">
        <w:rPr>
          <w:rFonts w:ascii="Verdana" w:hAnsi="Verdana"/>
          <w:szCs w:val="24"/>
        </w:rPr>
        <w:t xml:space="preserve">monitor closely </w:t>
      </w:r>
      <w:r w:rsidRPr="00193AB1">
        <w:rPr>
          <w:rFonts w:ascii="Verdana" w:hAnsi="Verdana"/>
          <w:szCs w:val="24"/>
        </w:rPr>
        <w:t xml:space="preserve">on these factors, particularly Apple’s cash flow and debt management </w:t>
      </w:r>
      <w:r w:rsidR="00007E00">
        <w:rPr>
          <w:rFonts w:ascii="Verdana" w:hAnsi="Verdana"/>
          <w:szCs w:val="24"/>
        </w:rPr>
        <w:t>strategies</w:t>
      </w:r>
      <w:r w:rsidRPr="00193AB1">
        <w:rPr>
          <w:rFonts w:ascii="Verdana" w:hAnsi="Verdana"/>
          <w:szCs w:val="24"/>
        </w:rPr>
        <w:t>, to determine any potential impact on the company's future stability.</w:t>
      </w:r>
    </w:p>
    <w:p w14:paraId="7B1F8664" w14:textId="77777777" w:rsidR="00193AB1" w:rsidRPr="001C498D" w:rsidRDefault="00193AB1" w:rsidP="001C498D">
      <w:pPr>
        <w:spacing w:line="360" w:lineRule="auto"/>
        <w:jc w:val="both"/>
        <w:rPr>
          <w:rFonts w:ascii="Verdana" w:hAnsi="Verdana"/>
          <w:szCs w:val="24"/>
        </w:rPr>
      </w:pPr>
    </w:p>
    <w:sectPr w:rsidR="00193AB1" w:rsidRPr="001C49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61666C"/>
    <w:multiLevelType w:val="hybridMultilevel"/>
    <w:tmpl w:val="39340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2560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AD"/>
    <w:rsid w:val="00007E00"/>
    <w:rsid w:val="000C6AAD"/>
    <w:rsid w:val="00193AB1"/>
    <w:rsid w:val="001C498D"/>
    <w:rsid w:val="007901B3"/>
    <w:rsid w:val="009F13BA"/>
    <w:rsid w:val="00F2462E"/>
    <w:rsid w:val="00F3063B"/>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ecimalSymbol w:val="."/>
  <w:listSeparator w:val=","/>
  <w14:docId w14:val="3D31F086"/>
  <w15:chartTrackingRefBased/>
  <w15:docId w15:val="{7DADA3A0-5407-784D-97AE-C5A1942D2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30"/>
        <w:lang w:val="en-GB" w:eastAsia="en-US"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ngsana New"/>
    </w:rPr>
  </w:style>
  <w:style w:type="paragraph" w:styleId="Heading1">
    <w:name w:val="heading 1"/>
    <w:basedOn w:val="Normal"/>
    <w:next w:val="Normal"/>
    <w:link w:val="Heading1Char"/>
    <w:uiPriority w:val="9"/>
    <w:qFormat/>
    <w:rsid w:val="000C6AAD"/>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0C6AAD"/>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0C6AAD"/>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0C6A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6A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6A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6A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6A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6A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AAD"/>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0C6AAD"/>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0C6AAD"/>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0C6A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6A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6A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6A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6A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6AAD"/>
    <w:rPr>
      <w:rFonts w:eastAsiaTheme="majorEastAsia" w:cstheme="majorBidi"/>
      <w:color w:val="272727" w:themeColor="text1" w:themeTint="D8"/>
    </w:rPr>
  </w:style>
  <w:style w:type="paragraph" w:styleId="Title">
    <w:name w:val="Title"/>
    <w:basedOn w:val="Normal"/>
    <w:next w:val="Normal"/>
    <w:link w:val="TitleChar"/>
    <w:uiPriority w:val="10"/>
    <w:qFormat/>
    <w:rsid w:val="000C6AAD"/>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0C6AAD"/>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0C6AAD"/>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0C6AAD"/>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0C6AAD"/>
    <w:pPr>
      <w:spacing w:before="160"/>
      <w:jc w:val="center"/>
    </w:pPr>
    <w:rPr>
      <w:i/>
      <w:iCs/>
      <w:color w:val="404040" w:themeColor="text1" w:themeTint="BF"/>
    </w:rPr>
  </w:style>
  <w:style w:type="character" w:customStyle="1" w:styleId="QuoteChar">
    <w:name w:val="Quote Char"/>
    <w:basedOn w:val="DefaultParagraphFont"/>
    <w:link w:val="Quote"/>
    <w:uiPriority w:val="29"/>
    <w:rsid w:val="000C6AAD"/>
    <w:rPr>
      <w:rFonts w:cs="Angsana New"/>
      <w:i/>
      <w:iCs/>
      <w:color w:val="404040" w:themeColor="text1" w:themeTint="BF"/>
    </w:rPr>
  </w:style>
  <w:style w:type="paragraph" w:styleId="ListParagraph">
    <w:name w:val="List Paragraph"/>
    <w:basedOn w:val="Normal"/>
    <w:uiPriority w:val="34"/>
    <w:qFormat/>
    <w:rsid w:val="000C6AAD"/>
    <w:pPr>
      <w:ind w:left="720"/>
      <w:contextualSpacing/>
    </w:pPr>
  </w:style>
  <w:style w:type="character" w:styleId="IntenseEmphasis">
    <w:name w:val="Intense Emphasis"/>
    <w:basedOn w:val="DefaultParagraphFont"/>
    <w:uiPriority w:val="21"/>
    <w:qFormat/>
    <w:rsid w:val="000C6AAD"/>
    <w:rPr>
      <w:i/>
      <w:iCs/>
      <w:color w:val="0F4761" w:themeColor="accent1" w:themeShade="BF"/>
    </w:rPr>
  </w:style>
  <w:style w:type="paragraph" w:styleId="IntenseQuote">
    <w:name w:val="Intense Quote"/>
    <w:basedOn w:val="Normal"/>
    <w:next w:val="Normal"/>
    <w:link w:val="IntenseQuoteChar"/>
    <w:uiPriority w:val="30"/>
    <w:qFormat/>
    <w:rsid w:val="000C6A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6AAD"/>
    <w:rPr>
      <w:rFonts w:cs="Angsana New"/>
      <w:i/>
      <w:iCs/>
      <w:color w:val="0F4761" w:themeColor="accent1" w:themeShade="BF"/>
    </w:rPr>
  </w:style>
  <w:style w:type="character" w:styleId="IntenseReference">
    <w:name w:val="Intense Reference"/>
    <w:basedOn w:val="DefaultParagraphFont"/>
    <w:uiPriority w:val="32"/>
    <w:qFormat/>
    <w:rsid w:val="000C6AAD"/>
    <w:rPr>
      <w:b/>
      <w:bCs/>
      <w:smallCaps/>
      <w:color w:val="0F4761" w:themeColor="accent1" w:themeShade="BF"/>
      <w:spacing w:val="5"/>
    </w:rPr>
  </w:style>
  <w:style w:type="paragraph" w:styleId="NormalWeb">
    <w:name w:val="Normal (Web)"/>
    <w:basedOn w:val="Normal"/>
    <w:uiPriority w:val="99"/>
    <w:semiHidden/>
    <w:unhideWhenUsed/>
    <w:rsid w:val="000C6AAD"/>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90828">
      <w:bodyDiv w:val="1"/>
      <w:marLeft w:val="0"/>
      <w:marRight w:val="0"/>
      <w:marTop w:val="0"/>
      <w:marBottom w:val="0"/>
      <w:divBdr>
        <w:top w:val="none" w:sz="0" w:space="0" w:color="auto"/>
        <w:left w:val="none" w:sz="0" w:space="0" w:color="auto"/>
        <w:bottom w:val="none" w:sz="0" w:space="0" w:color="auto"/>
        <w:right w:val="none" w:sz="0" w:space="0" w:color="auto"/>
      </w:divBdr>
    </w:div>
    <w:div w:id="145364757">
      <w:bodyDiv w:val="1"/>
      <w:marLeft w:val="0"/>
      <w:marRight w:val="0"/>
      <w:marTop w:val="0"/>
      <w:marBottom w:val="0"/>
      <w:divBdr>
        <w:top w:val="none" w:sz="0" w:space="0" w:color="auto"/>
        <w:left w:val="none" w:sz="0" w:space="0" w:color="auto"/>
        <w:bottom w:val="none" w:sz="0" w:space="0" w:color="auto"/>
        <w:right w:val="none" w:sz="0" w:space="0" w:color="auto"/>
      </w:divBdr>
    </w:div>
    <w:div w:id="537089939">
      <w:bodyDiv w:val="1"/>
      <w:marLeft w:val="0"/>
      <w:marRight w:val="0"/>
      <w:marTop w:val="0"/>
      <w:marBottom w:val="0"/>
      <w:divBdr>
        <w:top w:val="none" w:sz="0" w:space="0" w:color="auto"/>
        <w:left w:val="none" w:sz="0" w:space="0" w:color="auto"/>
        <w:bottom w:val="none" w:sz="0" w:space="0" w:color="auto"/>
        <w:right w:val="none" w:sz="0" w:space="0" w:color="auto"/>
      </w:divBdr>
      <w:divsChild>
        <w:div w:id="165100966">
          <w:marLeft w:val="0"/>
          <w:marRight w:val="0"/>
          <w:marTop w:val="0"/>
          <w:marBottom w:val="0"/>
          <w:divBdr>
            <w:top w:val="none" w:sz="0" w:space="0" w:color="auto"/>
            <w:left w:val="none" w:sz="0" w:space="0" w:color="auto"/>
            <w:bottom w:val="none" w:sz="0" w:space="0" w:color="auto"/>
            <w:right w:val="none" w:sz="0" w:space="0" w:color="auto"/>
          </w:divBdr>
          <w:divsChild>
            <w:div w:id="582760709">
              <w:marLeft w:val="0"/>
              <w:marRight w:val="0"/>
              <w:marTop w:val="0"/>
              <w:marBottom w:val="0"/>
              <w:divBdr>
                <w:top w:val="none" w:sz="0" w:space="0" w:color="auto"/>
                <w:left w:val="none" w:sz="0" w:space="0" w:color="auto"/>
                <w:bottom w:val="none" w:sz="0" w:space="0" w:color="auto"/>
                <w:right w:val="none" w:sz="0" w:space="0" w:color="auto"/>
              </w:divBdr>
              <w:divsChild>
                <w:div w:id="1718698299">
                  <w:marLeft w:val="0"/>
                  <w:marRight w:val="0"/>
                  <w:marTop w:val="0"/>
                  <w:marBottom w:val="0"/>
                  <w:divBdr>
                    <w:top w:val="none" w:sz="0" w:space="0" w:color="auto"/>
                    <w:left w:val="none" w:sz="0" w:space="0" w:color="auto"/>
                    <w:bottom w:val="none" w:sz="0" w:space="0" w:color="auto"/>
                    <w:right w:val="none" w:sz="0" w:space="0" w:color="auto"/>
                  </w:divBdr>
                  <w:divsChild>
                    <w:div w:id="1873153631">
                      <w:marLeft w:val="0"/>
                      <w:marRight w:val="0"/>
                      <w:marTop w:val="0"/>
                      <w:marBottom w:val="0"/>
                      <w:divBdr>
                        <w:top w:val="none" w:sz="0" w:space="0" w:color="auto"/>
                        <w:left w:val="none" w:sz="0" w:space="0" w:color="auto"/>
                        <w:bottom w:val="none" w:sz="0" w:space="0" w:color="auto"/>
                        <w:right w:val="none" w:sz="0" w:space="0" w:color="auto"/>
                      </w:divBdr>
                      <w:divsChild>
                        <w:div w:id="994141107">
                          <w:marLeft w:val="0"/>
                          <w:marRight w:val="0"/>
                          <w:marTop w:val="0"/>
                          <w:marBottom w:val="0"/>
                          <w:divBdr>
                            <w:top w:val="none" w:sz="0" w:space="0" w:color="auto"/>
                            <w:left w:val="none" w:sz="0" w:space="0" w:color="auto"/>
                            <w:bottom w:val="none" w:sz="0" w:space="0" w:color="auto"/>
                            <w:right w:val="none" w:sz="0" w:space="0" w:color="auto"/>
                          </w:divBdr>
                          <w:divsChild>
                            <w:div w:id="122768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063147">
      <w:bodyDiv w:val="1"/>
      <w:marLeft w:val="0"/>
      <w:marRight w:val="0"/>
      <w:marTop w:val="0"/>
      <w:marBottom w:val="0"/>
      <w:divBdr>
        <w:top w:val="none" w:sz="0" w:space="0" w:color="auto"/>
        <w:left w:val="none" w:sz="0" w:space="0" w:color="auto"/>
        <w:bottom w:val="none" w:sz="0" w:space="0" w:color="auto"/>
        <w:right w:val="none" w:sz="0" w:space="0" w:color="auto"/>
      </w:divBdr>
    </w:div>
    <w:div w:id="711073009">
      <w:bodyDiv w:val="1"/>
      <w:marLeft w:val="0"/>
      <w:marRight w:val="0"/>
      <w:marTop w:val="0"/>
      <w:marBottom w:val="0"/>
      <w:divBdr>
        <w:top w:val="none" w:sz="0" w:space="0" w:color="auto"/>
        <w:left w:val="none" w:sz="0" w:space="0" w:color="auto"/>
        <w:bottom w:val="none" w:sz="0" w:space="0" w:color="auto"/>
        <w:right w:val="none" w:sz="0" w:space="0" w:color="auto"/>
      </w:divBdr>
    </w:div>
    <w:div w:id="1076900110">
      <w:bodyDiv w:val="1"/>
      <w:marLeft w:val="0"/>
      <w:marRight w:val="0"/>
      <w:marTop w:val="0"/>
      <w:marBottom w:val="0"/>
      <w:divBdr>
        <w:top w:val="none" w:sz="0" w:space="0" w:color="auto"/>
        <w:left w:val="none" w:sz="0" w:space="0" w:color="auto"/>
        <w:bottom w:val="none" w:sz="0" w:space="0" w:color="auto"/>
        <w:right w:val="none" w:sz="0" w:space="0" w:color="auto"/>
      </w:divBdr>
      <w:divsChild>
        <w:div w:id="2121945312">
          <w:marLeft w:val="0"/>
          <w:marRight w:val="0"/>
          <w:marTop w:val="0"/>
          <w:marBottom w:val="0"/>
          <w:divBdr>
            <w:top w:val="none" w:sz="0" w:space="0" w:color="auto"/>
            <w:left w:val="none" w:sz="0" w:space="0" w:color="auto"/>
            <w:bottom w:val="none" w:sz="0" w:space="0" w:color="auto"/>
            <w:right w:val="none" w:sz="0" w:space="0" w:color="auto"/>
          </w:divBdr>
          <w:divsChild>
            <w:div w:id="1630479052">
              <w:marLeft w:val="0"/>
              <w:marRight w:val="0"/>
              <w:marTop w:val="0"/>
              <w:marBottom w:val="0"/>
              <w:divBdr>
                <w:top w:val="none" w:sz="0" w:space="0" w:color="auto"/>
                <w:left w:val="none" w:sz="0" w:space="0" w:color="auto"/>
                <w:bottom w:val="none" w:sz="0" w:space="0" w:color="auto"/>
                <w:right w:val="none" w:sz="0" w:space="0" w:color="auto"/>
              </w:divBdr>
              <w:divsChild>
                <w:div w:id="1119375351">
                  <w:marLeft w:val="0"/>
                  <w:marRight w:val="0"/>
                  <w:marTop w:val="0"/>
                  <w:marBottom w:val="0"/>
                  <w:divBdr>
                    <w:top w:val="none" w:sz="0" w:space="0" w:color="auto"/>
                    <w:left w:val="none" w:sz="0" w:space="0" w:color="auto"/>
                    <w:bottom w:val="none" w:sz="0" w:space="0" w:color="auto"/>
                    <w:right w:val="none" w:sz="0" w:space="0" w:color="auto"/>
                  </w:divBdr>
                  <w:divsChild>
                    <w:div w:id="172646872">
                      <w:marLeft w:val="0"/>
                      <w:marRight w:val="0"/>
                      <w:marTop w:val="0"/>
                      <w:marBottom w:val="0"/>
                      <w:divBdr>
                        <w:top w:val="none" w:sz="0" w:space="0" w:color="auto"/>
                        <w:left w:val="none" w:sz="0" w:space="0" w:color="auto"/>
                        <w:bottom w:val="none" w:sz="0" w:space="0" w:color="auto"/>
                        <w:right w:val="none" w:sz="0" w:space="0" w:color="auto"/>
                      </w:divBdr>
                      <w:divsChild>
                        <w:div w:id="2033611094">
                          <w:marLeft w:val="0"/>
                          <w:marRight w:val="0"/>
                          <w:marTop w:val="0"/>
                          <w:marBottom w:val="0"/>
                          <w:divBdr>
                            <w:top w:val="none" w:sz="0" w:space="0" w:color="auto"/>
                            <w:left w:val="none" w:sz="0" w:space="0" w:color="auto"/>
                            <w:bottom w:val="none" w:sz="0" w:space="0" w:color="auto"/>
                            <w:right w:val="none" w:sz="0" w:space="0" w:color="auto"/>
                          </w:divBdr>
                          <w:divsChild>
                            <w:div w:id="229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721446">
      <w:bodyDiv w:val="1"/>
      <w:marLeft w:val="0"/>
      <w:marRight w:val="0"/>
      <w:marTop w:val="0"/>
      <w:marBottom w:val="0"/>
      <w:divBdr>
        <w:top w:val="none" w:sz="0" w:space="0" w:color="auto"/>
        <w:left w:val="none" w:sz="0" w:space="0" w:color="auto"/>
        <w:bottom w:val="none" w:sz="0" w:space="0" w:color="auto"/>
        <w:right w:val="none" w:sz="0" w:space="0" w:color="auto"/>
      </w:divBdr>
    </w:div>
    <w:div w:id="1664626306">
      <w:bodyDiv w:val="1"/>
      <w:marLeft w:val="0"/>
      <w:marRight w:val="0"/>
      <w:marTop w:val="0"/>
      <w:marBottom w:val="0"/>
      <w:divBdr>
        <w:top w:val="none" w:sz="0" w:space="0" w:color="auto"/>
        <w:left w:val="none" w:sz="0" w:space="0" w:color="auto"/>
        <w:bottom w:val="none" w:sz="0" w:space="0" w:color="auto"/>
        <w:right w:val="none" w:sz="0" w:space="0" w:color="auto"/>
      </w:divBdr>
    </w:div>
    <w:div w:id="1829130636">
      <w:bodyDiv w:val="1"/>
      <w:marLeft w:val="0"/>
      <w:marRight w:val="0"/>
      <w:marTop w:val="0"/>
      <w:marBottom w:val="0"/>
      <w:divBdr>
        <w:top w:val="none" w:sz="0" w:space="0" w:color="auto"/>
        <w:left w:val="none" w:sz="0" w:space="0" w:color="auto"/>
        <w:bottom w:val="none" w:sz="0" w:space="0" w:color="auto"/>
        <w:right w:val="none" w:sz="0" w:space="0" w:color="auto"/>
      </w:divBdr>
    </w:div>
    <w:div w:id="1850871923">
      <w:bodyDiv w:val="1"/>
      <w:marLeft w:val="0"/>
      <w:marRight w:val="0"/>
      <w:marTop w:val="0"/>
      <w:marBottom w:val="0"/>
      <w:divBdr>
        <w:top w:val="none" w:sz="0" w:space="0" w:color="auto"/>
        <w:left w:val="none" w:sz="0" w:space="0" w:color="auto"/>
        <w:bottom w:val="none" w:sz="0" w:space="0" w:color="auto"/>
        <w:right w:val="none" w:sz="0" w:space="0" w:color="auto"/>
      </w:divBdr>
    </w:div>
    <w:div w:id="191754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767</TotalTime>
  <Pages>4</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Phadungyot, Parnward (Student)</dc:creator>
  <cp:keywords/>
  <dc:description/>
  <cp:lastModifiedBy>Phadungyot, Parnward (Student)</cp:lastModifiedBy>
  <cp:revision>1</cp:revision>
  <dcterms:created xsi:type="dcterms:W3CDTF">2024-11-12T23:39:00Z</dcterms:created>
  <dcterms:modified xsi:type="dcterms:W3CDTF">2024-11-13T14:38:00Z</dcterms:modified>
</cp:coreProperties>
</file>