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74C" w:rsidRDefault="00EF762A" w:rsidP="00EF762A">
      <w:pPr>
        <w:jc w:val="center"/>
        <w:rPr>
          <w:rFonts w:ascii="Times New Roman" w:hAnsi="Times New Roman" w:cs="Times New Roman"/>
          <w:b/>
          <w:sz w:val="32"/>
          <w:szCs w:val="32"/>
        </w:rPr>
      </w:pPr>
      <w:r w:rsidRPr="00EF762A">
        <w:rPr>
          <w:rFonts w:ascii="Times New Roman" w:hAnsi="Times New Roman" w:cs="Times New Roman"/>
          <w:b/>
          <w:sz w:val="32"/>
          <w:szCs w:val="32"/>
        </w:rPr>
        <w:t>Financial Analysis of Amazon.com, Inc. for Fiscal Years 2021 and 2022</w:t>
      </w:r>
      <w:bookmarkStart w:id="0" w:name="_GoBack"/>
      <w:bookmarkEnd w:id="0"/>
    </w:p>
    <w:p w:rsidR="00EF762A" w:rsidRDefault="00EF762A" w:rsidP="00EF762A">
      <w:pPr>
        <w:jc w:val="both"/>
        <w:rPr>
          <w:rFonts w:ascii="Times New Roman" w:hAnsi="Times New Roman" w:cs="Times New Roman"/>
          <w:b/>
        </w:rPr>
      </w:pPr>
      <w:r>
        <w:rPr>
          <w:rFonts w:ascii="Times New Roman" w:hAnsi="Times New Roman" w:cs="Times New Roman"/>
          <w:b/>
        </w:rPr>
        <w:t>Introduction</w:t>
      </w:r>
    </w:p>
    <w:p w:rsidR="00EF762A" w:rsidRPr="00EF762A" w:rsidRDefault="00EF762A" w:rsidP="00EF762A">
      <w:pPr>
        <w:jc w:val="both"/>
        <w:rPr>
          <w:rFonts w:ascii="Times New Roman" w:hAnsi="Times New Roman" w:cs="Times New Roman"/>
        </w:rPr>
      </w:pPr>
      <w:r w:rsidRPr="00EF762A">
        <w:rPr>
          <w:rFonts w:ascii="Times New Roman" w:hAnsi="Times New Roman" w:cs="Times New Roman"/>
        </w:rPr>
        <w:t>This report analyzes the financial performance of Amazon.com, Inc. for the years ending December 31, 2021, and December 31, 2022. We examine key financial metrics, including liquidity, profitability, solvency, asset utilization, and investor ratios, to understand the company's financial health and operational</w:t>
      </w:r>
      <w:r>
        <w:rPr>
          <w:rFonts w:ascii="Times New Roman" w:hAnsi="Times New Roman" w:cs="Times New Roman"/>
        </w:rPr>
        <w:t xml:space="preserve"> efficiency during this period.</w:t>
      </w:r>
    </w:p>
    <w:p w:rsidR="00EF762A" w:rsidRPr="00EF762A" w:rsidRDefault="007343A5" w:rsidP="00EF762A">
      <w:pPr>
        <w:jc w:val="both"/>
        <w:rPr>
          <w:rFonts w:ascii="Times New Roman" w:hAnsi="Times New Roman" w:cs="Times New Roman"/>
          <w:b/>
        </w:rPr>
      </w:pPr>
      <w:r>
        <w:rPr>
          <w:rFonts w:ascii="Times New Roman" w:hAnsi="Times New Roman" w:cs="Times New Roman"/>
          <w:noProof/>
        </w:rPr>
        <w:drawing>
          <wp:anchor distT="0" distB="0" distL="114300" distR="114300" simplePos="0" relativeHeight="251658240" behindDoc="0" locked="0" layoutInCell="1" allowOverlap="1" wp14:anchorId="2240A3AB" wp14:editId="24D3AE44">
            <wp:simplePos x="0" y="0"/>
            <wp:positionH relativeFrom="page">
              <wp:posOffset>3892550</wp:posOffset>
            </wp:positionH>
            <wp:positionV relativeFrom="paragraph">
              <wp:posOffset>72390</wp:posOffset>
            </wp:positionV>
            <wp:extent cx="3174365" cy="2660015"/>
            <wp:effectExtent l="0" t="0" r="6985" b="6985"/>
            <wp:wrapThrough wrapText="bothSides">
              <wp:wrapPolygon edited="0">
                <wp:start x="0" y="0"/>
                <wp:lineTo x="0" y="21502"/>
                <wp:lineTo x="21518" y="21502"/>
                <wp:lineTo x="215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quidity_ratios.png"/>
                    <pic:cNvPicPr/>
                  </pic:nvPicPr>
                  <pic:blipFill>
                    <a:blip r:embed="rId5">
                      <a:extLst>
                        <a:ext uri="{28A0092B-C50C-407E-A947-70E740481C1C}">
                          <a14:useLocalDpi xmlns:a14="http://schemas.microsoft.com/office/drawing/2010/main" val="0"/>
                        </a:ext>
                      </a:extLst>
                    </a:blip>
                    <a:stretch>
                      <a:fillRect/>
                    </a:stretch>
                  </pic:blipFill>
                  <pic:spPr>
                    <a:xfrm>
                      <a:off x="0" y="0"/>
                      <a:ext cx="3174365" cy="2660015"/>
                    </a:xfrm>
                    <a:prstGeom prst="rect">
                      <a:avLst/>
                    </a:prstGeom>
                  </pic:spPr>
                </pic:pic>
              </a:graphicData>
            </a:graphic>
            <wp14:sizeRelH relativeFrom="margin">
              <wp14:pctWidth>0</wp14:pctWidth>
            </wp14:sizeRelH>
            <wp14:sizeRelV relativeFrom="margin">
              <wp14:pctHeight>0</wp14:pctHeight>
            </wp14:sizeRelV>
          </wp:anchor>
        </w:drawing>
      </w:r>
      <w:r w:rsidR="00EF762A" w:rsidRPr="00EF762A">
        <w:rPr>
          <w:rFonts w:ascii="Times New Roman" w:hAnsi="Times New Roman" w:cs="Times New Roman"/>
          <w:b/>
        </w:rPr>
        <w:t>Liquidity Analysis</w:t>
      </w:r>
    </w:p>
    <w:p w:rsidR="00EF762A" w:rsidRPr="00EF762A" w:rsidRDefault="00EF762A" w:rsidP="00EF762A">
      <w:pPr>
        <w:jc w:val="both"/>
        <w:rPr>
          <w:rFonts w:ascii="Times New Roman" w:hAnsi="Times New Roman" w:cs="Times New Roman"/>
        </w:rPr>
      </w:pPr>
      <w:r w:rsidRPr="00EF762A">
        <w:rPr>
          <w:rFonts w:ascii="Times New Roman" w:hAnsi="Times New Roman" w:cs="Times New Roman"/>
        </w:rPr>
        <w:t>Liquidity ratios indicate a company's ability to meet its short-term obligations. Important l</w:t>
      </w:r>
      <w:r>
        <w:rPr>
          <w:rFonts w:ascii="Times New Roman" w:hAnsi="Times New Roman" w:cs="Times New Roman"/>
        </w:rPr>
        <w:t>iquidity ratios for Amazon are:</w:t>
      </w:r>
    </w:p>
    <w:p w:rsidR="00EF762A" w:rsidRPr="00EF762A" w:rsidRDefault="00EF762A" w:rsidP="00EF762A">
      <w:pPr>
        <w:pStyle w:val="ListParagraph"/>
        <w:numPr>
          <w:ilvl w:val="0"/>
          <w:numId w:val="1"/>
        </w:numPr>
        <w:jc w:val="both"/>
        <w:rPr>
          <w:rFonts w:ascii="Times New Roman" w:hAnsi="Times New Roman" w:cs="Times New Roman"/>
        </w:rPr>
      </w:pPr>
      <w:r w:rsidRPr="00EF762A">
        <w:rPr>
          <w:rFonts w:ascii="Times New Roman" w:hAnsi="Times New Roman" w:cs="Times New Roman"/>
        </w:rPr>
        <w:t>Current Ratio: Decreased from 1.14 in 2021 to 0.94 in 2022.</w:t>
      </w:r>
    </w:p>
    <w:p w:rsidR="00EF762A" w:rsidRPr="00EF762A" w:rsidRDefault="00EF762A" w:rsidP="00EF762A">
      <w:pPr>
        <w:pStyle w:val="ListParagraph"/>
        <w:numPr>
          <w:ilvl w:val="0"/>
          <w:numId w:val="1"/>
        </w:numPr>
        <w:jc w:val="both"/>
        <w:rPr>
          <w:rFonts w:ascii="Times New Roman" w:hAnsi="Times New Roman" w:cs="Times New Roman"/>
        </w:rPr>
      </w:pPr>
      <w:r w:rsidRPr="00EF762A">
        <w:rPr>
          <w:rFonts w:ascii="Times New Roman" w:hAnsi="Times New Roman" w:cs="Times New Roman"/>
        </w:rPr>
        <w:t>Quick Ratio: Dropped from 0.91 to 0.72.</w:t>
      </w:r>
    </w:p>
    <w:p w:rsidR="00EF762A" w:rsidRPr="00EF762A" w:rsidRDefault="00EF762A" w:rsidP="00EF762A">
      <w:pPr>
        <w:pStyle w:val="ListParagraph"/>
        <w:numPr>
          <w:ilvl w:val="0"/>
          <w:numId w:val="1"/>
        </w:numPr>
        <w:jc w:val="both"/>
        <w:rPr>
          <w:rFonts w:ascii="Times New Roman" w:hAnsi="Times New Roman" w:cs="Times New Roman"/>
        </w:rPr>
      </w:pPr>
      <w:r w:rsidRPr="00EF762A">
        <w:rPr>
          <w:rFonts w:ascii="Times New Roman" w:hAnsi="Times New Roman" w:cs="Times New Roman"/>
        </w:rPr>
        <w:t>Cash Ratio: Increased from 0.25 to 0.35.</w:t>
      </w:r>
    </w:p>
    <w:p w:rsidR="00EF762A" w:rsidRPr="00EF762A" w:rsidRDefault="00EF762A" w:rsidP="00EF762A">
      <w:pPr>
        <w:jc w:val="both"/>
        <w:rPr>
          <w:rFonts w:ascii="Times New Roman" w:hAnsi="Times New Roman" w:cs="Times New Roman"/>
        </w:rPr>
      </w:pPr>
      <w:r w:rsidRPr="00EF762A">
        <w:rPr>
          <w:rFonts w:ascii="Times New Roman" w:hAnsi="Times New Roman" w:cs="Times New Roman"/>
        </w:rPr>
        <w:t>In 2022, both the current ratio and quick ratio fell below 1, suggesting that current assets are less than current liabilities. This may raise concerns about Amazon's ability to cover short-term debts without additional financing. However, the increase in the cash ratio indicates that the company has more cash available rel</w:t>
      </w:r>
      <w:r>
        <w:rPr>
          <w:rFonts w:ascii="Times New Roman" w:hAnsi="Times New Roman" w:cs="Times New Roman"/>
        </w:rPr>
        <w:t>ative to immediate liabilities.</w:t>
      </w:r>
    </w:p>
    <w:p w:rsidR="00EF762A" w:rsidRPr="00EF762A" w:rsidRDefault="00EF762A" w:rsidP="00EF762A">
      <w:pPr>
        <w:jc w:val="both"/>
        <w:rPr>
          <w:rFonts w:ascii="Times New Roman" w:hAnsi="Times New Roman" w:cs="Times New Roman"/>
        </w:rPr>
      </w:pPr>
      <w:r w:rsidRPr="00EF762A">
        <w:rPr>
          <w:rFonts w:ascii="Times New Roman" w:hAnsi="Times New Roman" w:cs="Times New Roman"/>
        </w:rPr>
        <w:t>The defensive interval declined from 143.02 days to 124.20 days, meaning Amazon has fewer days of operational expenses covered by liquid assets. Inventory days slightly decreased from 29.53 to 28.13 days, showing improved inventory turnover. The net trading cycle improved from -16.08 days to -6.88 days, remaining negative, which is favorable as it indicates that Amazon collects cash from customer</w:t>
      </w:r>
      <w:r>
        <w:rPr>
          <w:rFonts w:ascii="Times New Roman" w:hAnsi="Times New Roman" w:cs="Times New Roman"/>
        </w:rPr>
        <w:t>s before paying suppliers.</w:t>
      </w:r>
    </w:p>
    <w:p w:rsidR="00EF762A" w:rsidRPr="00EF762A" w:rsidRDefault="00EF762A" w:rsidP="00EF762A">
      <w:pPr>
        <w:jc w:val="both"/>
        <w:rPr>
          <w:rFonts w:ascii="Times New Roman" w:hAnsi="Times New Roman" w:cs="Times New Roman"/>
        </w:rPr>
      </w:pPr>
      <w:r w:rsidRPr="00EF762A">
        <w:rPr>
          <w:rFonts w:ascii="Times New Roman" w:hAnsi="Times New Roman" w:cs="Times New Roman"/>
        </w:rPr>
        <w:t>The working capital turned negative in 2022, shifting from $19,314 million to -$8,602 million. As a percentage of sales, it moved from 4.11% to -1.67%. Negative working capital can be efficient in some industries but may also pose liquidity risks if not managed properly.</w:t>
      </w:r>
    </w:p>
    <w:p w:rsidR="00F37117" w:rsidRPr="00F37117" w:rsidRDefault="00F37117" w:rsidP="00F37117">
      <w:pPr>
        <w:jc w:val="both"/>
        <w:rPr>
          <w:rFonts w:ascii="Times New Roman" w:hAnsi="Times New Roman" w:cs="Times New Roman"/>
          <w:b/>
        </w:rPr>
      </w:pPr>
      <w:r w:rsidRPr="00F37117">
        <w:rPr>
          <w:rFonts w:ascii="Times New Roman" w:hAnsi="Times New Roman" w:cs="Times New Roman"/>
          <w:b/>
        </w:rPr>
        <w:t>Profitability Analysis</w:t>
      </w:r>
    </w:p>
    <w:p w:rsidR="00F37117" w:rsidRPr="00F37117" w:rsidRDefault="00F37117" w:rsidP="00F37117">
      <w:pPr>
        <w:jc w:val="both"/>
        <w:rPr>
          <w:rFonts w:ascii="Times New Roman" w:hAnsi="Times New Roman" w:cs="Times New Roman"/>
        </w:rPr>
      </w:pPr>
      <w:r w:rsidRPr="00F37117">
        <w:rPr>
          <w:rFonts w:ascii="Times New Roman" w:hAnsi="Times New Roman" w:cs="Times New Roman"/>
        </w:rPr>
        <w:t>Profitability ratios assess a company's ability to generate earning</w:t>
      </w:r>
      <w:r>
        <w:rPr>
          <w:rFonts w:ascii="Times New Roman" w:hAnsi="Times New Roman" w:cs="Times New Roman"/>
        </w:rPr>
        <w:t>s relative to sales and assets.</w:t>
      </w:r>
    </w:p>
    <w:p w:rsidR="00F37117" w:rsidRPr="00F37117" w:rsidRDefault="007343A5" w:rsidP="00F37117">
      <w:pPr>
        <w:pStyle w:val="ListParagraph"/>
        <w:numPr>
          <w:ilvl w:val="0"/>
          <w:numId w:val="2"/>
        </w:num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3AC3196A" wp14:editId="69B2D0D2">
            <wp:simplePos x="0" y="0"/>
            <wp:positionH relativeFrom="margin">
              <wp:align>left</wp:align>
            </wp:positionH>
            <wp:positionV relativeFrom="paragraph">
              <wp:posOffset>7909</wp:posOffset>
            </wp:positionV>
            <wp:extent cx="3387090" cy="2950845"/>
            <wp:effectExtent l="0" t="0" r="3810" b="1905"/>
            <wp:wrapThrough wrapText="bothSides">
              <wp:wrapPolygon edited="0">
                <wp:start x="0" y="0"/>
                <wp:lineTo x="0" y="21474"/>
                <wp:lineTo x="21503" y="21474"/>
                <wp:lineTo x="2150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itability_margins.png"/>
                    <pic:cNvPicPr/>
                  </pic:nvPicPr>
                  <pic:blipFill>
                    <a:blip r:embed="rId6">
                      <a:extLst>
                        <a:ext uri="{28A0092B-C50C-407E-A947-70E740481C1C}">
                          <a14:useLocalDpi xmlns:a14="http://schemas.microsoft.com/office/drawing/2010/main" val="0"/>
                        </a:ext>
                      </a:extLst>
                    </a:blip>
                    <a:stretch>
                      <a:fillRect/>
                    </a:stretch>
                  </pic:blipFill>
                  <pic:spPr>
                    <a:xfrm>
                      <a:off x="0" y="0"/>
                      <a:ext cx="3387090" cy="2950845"/>
                    </a:xfrm>
                    <a:prstGeom prst="rect">
                      <a:avLst/>
                    </a:prstGeom>
                  </pic:spPr>
                </pic:pic>
              </a:graphicData>
            </a:graphic>
            <wp14:sizeRelH relativeFrom="margin">
              <wp14:pctWidth>0</wp14:pctWidth>
            </wp14:sizeRelH>
            <wp14:sizeRelV relativeFrom="margin">
              <wp14:pctHeight>0</wp14:pctHeight>
            </wp14:sizeRelV>
          </wp:anchor>
        </w:drawing>
      </w:r>
      <w:r w:rsidR="00F37117" w:rsidRPr="00F37117">
        <w:rPr>
          <w:rFonts w:ascii="Times New Roman" w:hAnsi="Times New Roman" w:cs="Times New Roman"/>
        </w:rPr>
        <w:t>Gross Margin: Slightly decreased from 14.11% in 2021 to 13.16% in 2022.</w:t>
      </w:r>
    </w:p>
    <w:p w:rsidR="00F37117" w:rsidRPr="00F37117" w:rsidRDefault="00F37117" w:rsidP="00F37117">
      <w:pPr>
        <w:pStyle w:val="ListParagraph"/>
        <w:numPr>
          <w:ilvl w:val="0"/>
          <w:numId w:val="2"/>
        </w:numPr>
        <w:jc w:val="both"/>
        <w:rPr>
          <w:rFonts w:ascii="Times New Roman" w:hAnsi="Times New Roman" w:cs="Times New Roman"/>
        </w:rPr>
      </w:pPr>
      <w:r w:rsidRPr="00F37117">
        <w:rPr>
          <w:rFonts w:ascii="Times New Roman" w:hAnsi="Times New Roman" w:cs="Times New Roman"/>
        </w:rPr>
        <w:t>EBITDA Margin: Reduced from 12.62% to 10.54%.</w:t>
      </w:r>
    </w:p>
    <w:p w:rsidR="00F37117" w:rsidRPr="00F37117" w:rsidRDefault="00F37117" w:rsidP="00F37117">
      <w:pPr>
        <w:pStyle w:val="ListParagraph"/>
        <w:numPr>
          <w:ilvl w:val="0"/>
          <w:numId w:val="2"/>
        </w:numPr>
        <w:jc w:val="both"/>
        <w:rPr>
          <w:rFonts w:ascii="Times New Roman" w:hAnsi="Times New Roman" w:cs="Times New Roman"/>
        </w:rPr>
      </w:pPr>
      <w:r w:rsidRPr="00F37117">
        <w:rPr>
          <w:rFonts w:ascii="Times New Roman" w:hAnsi="Times New Roman" w:cs="Times New Roman"/>
        </w:rPr>
        <w:t>EBIT Margin: Declined from 5.30% to 2.38%.</w:t>
      </w:r>
    </w:p>
    <w:p w:rsidR="00F37117" w:rsidRPr="00F37117" w:rsidRDefault="00F37117" w:rsidP="00F37117">
      <w:pPr>
        <w:pStyle w:val="ListParagraph"/>
        <w:numPr>
          <w:ilvl w:val="0"/>
          <w:numId w:val="2"/>
        </w:numPr>
        <w:jc w:val="both"/>
        <w:rPr>
          <w:rFonts w:ascii="Times New Roman" w:hAnsi="Times New Roman" w:cs="Times New Roman"/>
        </w:rPr>
      </w:pPr>
      <w:r w:rsidRPr="00F37117">
        <w:rPr>
          <w:rFonts w:ascii="Times New Roman" w:hAnsi="Times New Roman" w:cs="Times New Roman"/>
        </w:rPr>
        <w:t>Net Margin: Dropped from 7.10% to -0.53%.</w:t>
      </w:r>
    </w:p>
    <w:p w:rsidR="00F37117" w:rsidRPr="00F37117" w:rsidRDefault="00F37117" w:rsidP="00F37117">
      <w:pPr>
        <w:jc w:val="both"/>
        <w:rPr>
          <w:rFonts w:ascii="Times New Roman" w:hAnsi="Times New Roman" w:cs="Times New Roman"/>
        </w:rPr>
      </w:pPr>
      <w:r w:rsidRPr="00F37117">
        <w:rPr>
          <w:rFonts w:ascii="Times New Roman" w:hAnsi="Times New Roman" w:cs="Times New Roman"/>
        </w:rPr>
        <w:t>The decrease in margins suggests that Amazon faced increased costs or reduced pricing power in 2022. The negative net margin indicates a net loss for the year, possibly due to higher operating expenses or strategic investments that</w:t>
      </w:r>
      <w:r>
        <w:rPr>
          <w:rFonts w:ascii="Times New Roman" w:hAnsi="Times New Roman" w:cs="Times New Roman"/>
        </w:rPr>
        <w:t xml:space="preserve"> have not yet produced returns.</w:t>
      </w:r>
    </w:p>
    <w:p w:rsidR="00F37117" w:rsidRPr="00F37117" w:rsidRDefault="00F37117" w:rsidP="00F37117">
      <w:pPr>
        <w:jc w:val="both"/>
        <w:rPr>
          <w:rFonts w:ascii="Times New Roman" w:hAnsi="Times New Roman" w:cs="Times New Roman"/>
        </w:rPr>
      </w:pPr>
      <w:r w:rsidRPr="00F37117">
        <w:rPr>
          <w:rFonts w:ascii="Times New Roman" w:hAnsi="Times New Roman" w:cs="Times New Roman"/>
        </w:rPr>
        <w:t>EBITDA decreased from $59,312 million to $54,169 million, and EBIT declined from $24,879 million to $12,248 million, reflecting lower o</w:t>
      </w:r>
      <w:r>
        <w:rPr>
          <w:rFonts w:ascii="Times New Roman" w:hAnsi="Times New Roman" w:cs="Times New Roman"/>
        </w:rPr>
        <w:t>perating profitability.</w:t>
      </w:r>
    </w:p>
    <w:p w:rsidR="007343A5" w:rsidRDefault="007343A5" w:rsidP="00F37117">
      <w:pPr>
        <w:jc w:val="both"/>
        <w:rPr>
          <w:rFonts w:ascii="Times New Roman" w:hAnsi="Times New Roman" w:cs="Times New Roman"/>
          <w:b/>
        </w:rPr>
      </w:pPr>
    </w:p>
    <w:p w:rsidR="007343A5" w:rsidRDefault="007343A5" w:rsidP="00F37117">
      <w:pPr>
        <w:jc w:val="both"/>
        <w:rPr>
          <w:rFonts w:ascii="Times New Roman" w:hAnsi="Times New Roman" w:cs="Times New Roman"/>
          <w:b/>
        </w:rPr>
      </w:pPr>
    </w:p>
    <w:p w:rsidR="00F37117" w:rsidRPr="00F37117" w:rsidRDefault="007343A5" w:rsidP="00F37117">
      <w:pPr>
        <w:jc w:val="both"/>
        <w:rPr>
          <w:rFonts w:ascii="Times New Roman" w:hAnsi="Times New Roman" w:cs="Times New Roman"/>
          <w:b/>
        </w:rPr>
      </w:pPr>
      <w:r>
        <w:rPr>
          <w:rFonts w:ascii="Times New Roman" w:hAnsi="Times New Roman" w:cs="Times New Roman"/>
          <w:b/>
          <w:noProof/>
        </w:rPr>
        <w:lastRenderedPageBreak/>
        <w:drawing>
          <wp:anchor distT="0" distB="0" distL="114300" distR="114300" simplePos="0" relativeHeight="251660288" behindDoc="0" locked="0" layoutInCell="1" allowOverlap="1" wp14:anchorId="054943C7" wp14:editId="66B9CF5B">
            <wp:simplePos x="0" y="0"/>
            <wp:positionH relativeFrom="margin">
              <wp:align>right</wp:align>
            </wp:positionH>
            <wp:positionV relativeFrom="paragraph">
              <wp:posOffset>62230</wp:posOffset>
            </wp:positionV>
            <wp:extent cx="3285490" cy="3048000"/>
            <wp:effectExtent l="0" t="0" r="0" b="0"/>
            <wp:wrapThrough wrapText="bothSides">
              <wp:wrapPolygon edited="0">
                <wp:start x="0" y="0"/>
                <wp:lineTo x="0" y="21465"/>
                <wp:lineTo x="21416" y="21465"/>
                <wp:lineTo x="214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vency_metrics_comparison.png"/>
                    <pic:cNvPicPr/>
                  </pic:nvPicPr>
                  <pic:blipFill>
                    <a:blip r:embed="rId7">
                      <a:extLst>
                        <a:ext uri="{28A0092B-C50C-407E-A947-70E740481C1C}">
                          <a14:useLocalDpi xmlns:a14="http://schemas.microsoft.com/office/drawing/2010/main" val="0"/>
                        </a:ext>
                      </a:extLst>
                    </a:blip>
                    <a:stretch>
                      <a:fillRect/>
                    </a:stretch>
                  </pic:blipFill>
                  <pic:spPr>
                    <a:xfrm>
                      <a:off x="0" y="0"/>
                      <a:ext cx="3285490" cy="3048000"/>
                    </a:xfrm>
                    <a:prstGeom prst="rect">
                      <a:avLst/>
                    </a:prstGeom>
                  </pic:spPr>
                </pic:pic>
              </a:graphicData>
            </a:graphic>
            <wp14:sizeRelH relativeFrom="margin">
              <wp14:pctWidth>0</wp14:pctWidth>
            </wp14:sizeRelH>
            <wp14:sizeRelV relativeFrom="margin">
              <wp14:pctHeight>0</wp14:pctHeight>
            </wp14:sizeRelV>
          </wp:anchor>
        </w:drawing>
      </w:r>
      <w:r w:rsidR="00F37117" w:rsidRPr="00F37117">
        <w:rPr>
          <w:rFonts w:ascii="Times New Roman" w:hAnsi="Times New Roman" w:cs="Times New Roman"/>
          <w:b/>
        </w:rPr>
        <w:t>Solvency and Debt Management</w:t>
      </w:r>
    </w:p>
    <w:p w:rsidR="00F37117" w:rsidRPr="00F37117" w:rsidRDefault="00F37117" w:rsidP="00F37117">
      <w:pPr>
        <w:jc w:val="both"/>
        <w:rPr>
          <w:rFonts w:ascii="Times New Roman" w:hAnsi="Times New Roman" w:cs="Times New Roman"/>
        </w:rPr>
      </w:pPr>
      <w:r w:rsidRPr="00F37117">
        <w:rPr>
          <w:rFonts w:ascii="Times New Roman" w:hAnsi="Times New Roman" w:cs="Times New Roman"/>
        </w:rPr>
        <w:t>Solvency ratios measure a company's ability</w:t>
      </w:r>
      <w:r>
        <w:rPr>
          <w:rFonts w:ascii="Times New Roman" w:hAnsi="Times New Roman" w:cs="Times New Roman"/>
        </w:rPr>
        <w:t xml:space="preserve"> to meet long-term obligations.</w:t>
      </w:r>
    </w:p>
    <w:p w:rsidR="00F37117" w:rsidRPr="00F37117" w:rsidRDefault="00F37117" w:rsidP="00F37117">
      <w:pPr>
        <w:pStyle w:val="ListParagraph"/>
        <w:numPr>
          <w:ilvl w:val="0"/>
          <w:numId w:val="3"/>
        </w:numPr>
        <w:jc w:val="both"/>
        <w:rPr>
          <w:rFonts w:ascii="Times New Roman" w:hAnsi="Times New Roman" w:cs="Times New Roman"/>
        </w:rPr>
      </w:pPr>
      <w:r w:rsidRPr="00F37117">
        <w:rPr>
          <w:rFonts w:ascii="Times New Roman" w:hAnsi="Times New Roman" w:cs="Times New Roman"/>
        </w:rPr>
        <w:t>Debt to Equity Ratio: Increased from 0.35 to 0.46.</w:t>
      </w:r>
    </w:p>
    <w:p w:rsidR="00F37117" w:rsidRPr="00F37117" w:rsidRDefault="00F37117" w:rsidP="00F37117">
      <w:pPr>
        <w:pStyle w:val="ListParagraph"/>
        <w:numPr>
          <w:ilvl w:val="0"/>
          <w:numId w:val="3"/>
        </w:numPr>
        <w:jc w:val="both"/>
        <w:rPr>
          <w:rFonts w:ascii="Times New Roman" w:hAnsi="Times New Roman" w:cs="Times New Roman"/>
        </w:rPr>
      </w:pPr>
      <w:r w:rsidRPr="00F37117">
        <w:rPr>
          <w:rFonts w:ascii="Times New Roman" w:hAnsi="Times New Roman" w:cs="Times New Roman"/>
        </w:rPr>
        <w:t>Debt to Total Assets: Rose from 0.12 to 0.15.</w:t>
      </w:r>
    </w:p>
    <w:p w:rsidR="00F37117" w:rsidRPr="00F37117" w:rsidRDefault="00F37117" w:rsidP="00F37117">
      <w:pPr>
        <w:pStyle w:val="ListParagraph"/>
        <w:numPr>
          <w:ilvl w:val="0"/>
          <w:numId w:val="3"/>
        </w:numPr>
        <w:jc w:val="both"/>
        <w:rPr>
          <w:rFonts w:ascii="Times New Roman" w:hAnsi="Times New Roman" w:cs="Times New Roman"/>
        </w:rPr>
      </w:pPr>
      <w:r w:rsidRPr="00F37117">
        <w:rPr>
          <w:rFonts w:ascii="Times New Roman" w:hAnsi="Times New Roman" w:cs="Times New Roman"/>
        </w:rPr>
        <w:t>Long-term Debt to Capital: Went up from 0.26 to 0.31.</w:t>
      </w:r>
    </w:p>
    <w:p w:rsidR="00F37117" w:rsidRPr="00F37117" w:rsidRDefault="00F37117" w:rsidP="00F37117">
      <w:pPr>
        <w:jc w:val="both"/>
        <w:rPr>
          <w:rFonts w:ascii="Times New Roman" w:hAnsi="Times New Roman" w:cs="Times New Roman"/>
        </w:rPr>
      </w:pPr>
      <w:r w:rsidRPr="00F37117">
        <w:rPr>
          <w:rFonts w:ascii="Times New Roman" w:hAnsi="Times New Roman" w:cs="Times New Roman"/>
        </w:rPr>
        <w:t xml:space="preserve">These increases indicate that Amazon has taken on more debt relative to equity and assets, which may increase financial risk. The times interest earned ratio decreased from 14.04 to 5.72, suggesting a reduced ability to cover interest </w:t>
      </w:r>
      <w:r>
        <w:rPr>
          <w:rFonts w:ascii="Times New Roman" w:hAnsi="Times New Roman" w:cs="Times New Roman"/>
        </w:rPr>
        <w:t>expenses from operating income.</w:t>
      </w:r>
    </w:p>
    <w:p w:rsidR="00F37117" w:rsidRPr="00F37117" w:rsidRDefault="00F37117" w:rsidP="00F37117">
      <w:pPr>
        <w:jc w:val="both"/>
        <w:rPr>
          <w:rFonts w:ascii="Times New Roman" w:hAnsi="Times New Roman" w:cs="Times New Roman"/>
        </w:rPr>
      </w:pPr>
      <w:r w:rsidRPr="00F37117">
        <w:rPr>
          <w:rFonts w:ascii="Times New Roman" w:hAnsi="Times New Roman" w:cs="Times New Roman"/>
        </w:rPr>
        <w:t>The debt coverage ratio declined from 5.34 to 1.32, indicating less cash flow available to cover debt obligations. Despite these challenges, the free cash flow to equity (FCFE) was $20,873 million in 2022, with an FCFE per share of $2.05, showing that Amazon continues to generate posit</w:t>
      </w:r>
      <w:r>
        <w:rPr>
          <w:rFonts w:ascii="Times New Roman" w:hAnsi="Times New Roman" w:cs="Times New Roman"/>
        </w:rPr>
        <w:t>ive cash flow for shareholders.</w:t>
      </w:r>
    </w:p>
    <w:p w:rsidR="00F37117" w:rsidRPr="00F37117" w:rsidRDefault="007343A5" w:rsidP="00F37117">
      <w:pPr>
        <w:jc w:val="both"/>
        <w:rPr>
          <w:rFonts w:ascii="Times New Roman" w:hAnsi="Times New Roman" w:cs="Times New Roman"/>
          <w:b/>
        </w:rPr>
      </w:pPr>
      <w:r>
        <w:rPr>
          <w:rFonts w:ascii="Times New Roman" w:hAnsi="Times New Roman" w:cs="Times New Roman"/>
          <w:noProof/>
        </w:rPr>
        <w:drawing>
          <wp:anchor distT="0" distB="0" distL="114300" distR="114300" simplePos="0" relativeHeight="251661312" behindDoc="0" locked="0" layoutInCell="1" allowOverlap="1" wp14:anchorId="60C2F0F9" wp14:editId="31A37C77">
            <wp:simplePos x="0" y="0"/>
            <wp:positionH relativeFrom="margin">
              <wp:align>left</wp:align>
            </wp:positionH>
            <wp:positionV relativeFrom="paragraph">
              <wp:posOffset>275590</wp:posOffset>
            </wp:positionV>
            <wp:extent cx="3477895" cy="2978150"/>
            <wp:effectExtent l="0" t="0" r="8255" b="0"/>
            <wp:wrapThrough wrapText="bothSides">
              <wp:wrapPolygon edited="0">
                <wp:start x="0" y="0"/>
                <wp:lineTo x="0" y="21416"/>
                <wp:lineTo x="21533" y="21416"/>
                <wp:lineTo x="215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turn_ratios.png"/>
                    <pic:cNvPicPr/>
                  </pic:nvPicPr>
                  <pic:blipFill>
                    <a:blip r:embed="rId8">
                      <a:extLst>
                        <a:ext uri="{28A0092B-C50C-407E-A947-70E740481C1C}">
                          <a14:useLocalDpi xmlns:a14="http://schemas.microsoft.com/office/drawing/2010/main" val="0"/>
                        </a:ext>
                      </a:extLst>
                    </a:blip>
                    <a:stretch>
                      <a:fillRect/>
                    </a:stretch>
                  </pic:blipFill>
                  <pic:spPr>
                    <a:xfrm>
                      <a:off x="0" y="0"/>
                      <a:ext cx="3477895" cy="2978150"/>
                    </a:xfrm>
                    <a:prstGeom prst="rect">
                      <a:avLst/>
                    </a:prstGeom>
                  </pic:spPr>
                </pic:pic>
              </a:graphicData>
            </a:graphic>
            <wp14:sizeRelH relativeFrom="margin">
              <wp14:pctWidth>0</wp14:pctWidth>
            </wp14:sizeRelH>
            <wp14:sizeRelV relativeFrom="margin">
              <wp14:pctHeight>0</wp14:pctHeight>
            </wp14:sizeRelV>
          </wp:anchor>
        </w:drawing>
      </w:r>
      <w:r w:rsidR="00F37117" w:rsidRPr="00F37117">
        <w:rPr>
          <w:rFonts w:ascii="Times New Roman" w:hAnsi="Times New Roman" w:cs="Times New Roman"/>
          <w:b/>
        </w:rPr>
        <w:t>Asset Utilization</w:t>
      </w:r>
    </w:p>
    <w:p w:rsidR="00F37117" w:rsidRPr="00F37117" w:rsidRDefault="00F37117" w:rsidP="00F37117">
      <w:pPr>
        <w:jc w:val="both"/>
        <w:rPr>
          <w:rFonts w:ascii="Times New Roman" w:hAnsi="Times New Roman" w:cs="Times New Roman"/>
        </w:rPr>
      </w:pPr>
      <w:r w:rsidRPr="00F37117">
        <w:rPr>
          <w:rFonts w:ascii="Times New Roman" w:hAnsi="Times New Roman" w:cs="Times New Roman"/>
        </w:rPr>
        <w:t xml:space="preserve">Asset utilization ratios evaluate how efficiently a company uses </w:t>
      </w:r>
      <w:r>
        <w:rPr>
          <w:rFonts w:ascii="Times New Roman" w:hAnsi="Times New Roman" w:cs="Times New Roman"/>
        </w:rPr>
        <w:t>its assets to generate revenue.</w:t>
      </w:r>
    </w:p>
    <w:p w:rsidR="00F37117" w:rsidRPr="00F37117" w:rsidRDefault="00F37117" w:rsidP="00F37117">
      <w:pPr>
        <w:pStyle w:val="ListParagraph"/>
        <w:numPr>
          <w:ilvl w:val="0"/>
          <w:numId w:val="4"/>
        </w:numPr>
        <w:jc w:val="both"/>
        <w:rPr>
          <w:rFonts w:ascii="Times New Roman" w:hAnsi="Times New Roman" w:cs="Times New Roman"/>
        </w:rPr>
      </w:pPr>
      <w:r w:rsidRPr="00F37117">
        <w:rPr>
          <w:rFonts w:ascii="Times New Roman" w:hAnsi="Times New Roman" w:cs="Times New Roman"/>
        </w:rPr>
        <w:t>Total Asset Turnover: Slightly decreased from 1.12 to 1.11.</w:t>
      </w:r>
    </w:p>
    <w:p w:rsidR="00F37117" w:rsidRPr="00F37117" w:rsidRDefault="00F37117" w:rsidP="00F37117">
      <w:pPr>
        <w:pStyle w:val="ListParagraph"/>
        <w:numPr>
          <w:ilvl w:val="0"/>
          <w:numId w:val="4"/>
        </w:numPr>
        <w:jc w:val="both"/>
        <w:rPr>
          <w:rFonts w:ascii="Times New Roman" w:hAnsi="Times New Roman" w:cs="Times New Roman"/>
        </w:rPr>
      </w:pPr>
      <w:r w:rsidRPr="00F37117">
        <w:rPr>
          <w:rFonts w:ascii="Times New Roman" w:hAnsi="Times New Roman" w:cs="Times New Roman"/>
        </w:rPr>
        <w:t>Fixed Asset Turnover: Declined from 2.93 to 2.75.</w:t>
      </w:r>
    </w:p>
    <w:p w:rsidR="00F37117" w:rsidRPr="00F37117" w:rsidRDefault="00F37117" w:rsidP="00F37117">
      <w:pPr>
        <w:pStyle w:val="ListParagraph"/>
        <w:numPr>
          <w:ilvl w:val="0"/>
          <w:numId w:val="4"/>
        </w:numPr>
        <w:jc w:val="both"/>
        <w:rPr>
          <w:rFonts w:ascii="Times New Roman" w:hAnsi="Times New Roman" w:cs="Times New Roman"/>
        </w:rPr>
      </w:pPr>
      <w:r w:rsidRPr="00F37117">
        <w:rPr>
          <w:rFonts w:ascii="Times New Roman" w:hAnsi="Times New Roman" w:cs="Times New Roman"/>
        </w:rPr>
        <w:t>Inventory Turnover: Improved from 12.36 to 12.97.</w:t>
      </w:r>
    </w:p>
    <w:p w:rsidR="00F37117" w:rsidRPr="00F37117" w:rsidRDefault="00F37117" w:rsidP="00F37117">
      <w:pPr>
        <w:jc w:val="both"/>
        <w:rPr>
          <w:rFonts w:ascii="Times New Roman" w:hAnsi="Times New Roman" w:cs="Times New Roman"/>
        </w:rPr>
      </w:pPr>
      <w:r w:rsidRPr="00F37117">
        <w:rPr>
          <w:rFonts w:ascii="Times New Roman" w:hAnsi="Times New Roman" w:cs="Times New Roman"/>
        </w:rPr>
        <w:t xml:space="preserve">The minor decrease in total asset turnover suggests stable efficiency in using assets to generate sales. The reduction in fixed asset turnover may indicate that recent investments have not yet translated into increased sales. The improved inventory turnover reflects better </w:t>
      </w:r>
      <w:r>
        <w:rPr>
          <w:rFonts w:ascii="Times New Roman" w:hAnsi="Times New Roman" w:cs="Times New Roman"/>
        </w:rPr>
        <w:t>management of inventory levels.</w:t>
      </w:r>
    </w:p>
    <w:p w:rsidR="00F37117" w:rsidRPr="00F37117" w:rsidRDefault="00F37117" w:rsidP="00F37117">
      <w:pPr>
        <w:jc w:val="both"/>
        <w:rPr>
          <w:rFonts w:ascii="Times New Roman" w:hAnsi="Times New Roman" w:cs="Times New Roman"/>
        </w:rPr>
      </w:pPr>
      <w:r w:rsidRPr="00F37117">
        <w:rPr>
          <w:rFonts w:ascii="Times New Roman" w:hAnsi="Times New Roman" w:cs="Times New Roman"/>
        </w:rPr>
        <w:t xml:space="preserve">Return on Assets (ROA) fell from 7.93% to -0.59%, indicating that assets are generating less income, and the company experienced a loss </w:t>
      </w:r>
      <w:r>
        <w:rPr>
          <w:rFonts w:ascii="Times New Roman" w:hAnsi="Times New Roman" w:cs="Times New Roman"/>
        </w:rPr>
        <w:t>relative to its assets in 2022.</w:t>
      </w:r>
    </w:p>
    <w:p w:rsidR="00F37117" w:rsidRPr="00F37117" w:rsidRDefault="00F37117" w:rsidP="00F37117">
      <w:pPr>
        <w:jc w:val="both"/>
        <w:rPr>
          <w:rFonts w:ascii="Times New Roman" w:hAnsi="Times New Roman" w:cs="Times New Roman"/>
          <w:b/>
        </w:rPr>
      </w:pPr>
      <w:r w:rsidRPr="00F37117">
        <w:rPr>
          <w:rFonts w:ascii="Times New Roman" w:hAnsi="Times New Roman" w:cs="Times New Roman"/>
          <w:b/>
        </w:rPr>
        <w:t>Investor and Market Ratios</w:t>
      </w:r>
    </w:p>
    <w:p w:rsidR="00F37117" w:rsidRPr="00F37117" w:rsidRDefault="00F37117" w:rsidP="00F37117">
      <w:pPr>
        <w:jc w:val="both"/>
        <w:rPr>
          <w:rFonts w:ascii="Times New Roman" w:hAnsi="Times New Roman" w:cs="Times New Roman"/>
        </w:rPr>
      </w:pPr>
      <w:r w:rsidRPr="00F37117">
        <w:rPr>
          <w:rFonts w:ascii="Times New Roman" w:hAnsi="Times New Roman" w:cs="Times New Roman"/>
        </w:rPr>
        <w:t xml:space="preserve">These ratios provide insights into the company's valuation and returns </w:t>
      </w:r>
      <w:r>
        <w:rPr>
          <w:rFonts w:ascii="Times New Roman" w:hAnsi="Times New Roman" w:cs="Times New Roman"/>
        </w:rPr>
        <w:t>from an investor's perspective.</w:t>
      </w:r>
    </w:p>
    <w:p w:rsidR="00F37117" w:rsidRPr="00F37117" w:rsidRDefault="00F37117" w:rsidP="00F37117">
      <w:pPr>
        <w:pStyle w:val="ListParagraph"/>
        <w:numPr>
          <w:ilvl w:val="0"/>
          <w:numId w:val="5"/>
        </w:numPr>
        <w:jc w:val="both"/>
        <w:rPr>
          <w:rFonts w:ascii="Times New Roman" w:hAnsi="Times New Roman" w:cs="Times New Roman"/>
        </w:rPr>
      </w:pPr>
      <w:r w:rsidRPr="00F37117">
        <w:rPr>
          <w:rFonts w:ascii="Times New Roman" w:hAnsi="Times New Roman" w:cs="Times New Roman"/>
        </w:rPr>
        <w:t>Price to Earnings (P/E) Ratio: Changed from 51.45 to -314.43 due to negative earnings.</w:t>
      </w:r>
    </w:p>
    <w:p w:rsidR="00F37117" w:rsidRPr="00F37117" w:rsidRDefault="00F37117" w:rsidP="00F37117">
      <w:pPr>
        <w:pStyle w:val="ListParagraph"/>
        <w:numPr>
          <w:ilvl w:val="0"/>
          <w:numId w:val="5"/>
        </w:numPr>
        <w:jc w:val="both"/>
        <w:rPr>
          <w:rFonts w:ascii="Times New Roman" w:hAnsi="Times New Roman" w:cs="Times New Roman"/>
        </w:rPr>
      </w:pPr>
      <w:r w:rsidRPr="00F37117">
        <w:rPr>
          <w:rFonts w:ascii="Times New Roman" w:hAnsi="Times New Roman" w:cs="Times New Roman"/>
        </w:rPr>
        <w:t>Earnings per Share (EPS): Decreased from $3.24 to -$0.27.</w:t>
      </w:r>
    </w:p>
    <w:p w:rsidR="00F37117" w:rsidRPr="00F37117" w:rsidRDefault="00F37117" w:rsidP="00F37117">
      <w:pPr>
        <w:pStyle w:val="ListParagraph"/>
        <w:numPr>
          <w:ilvl w:val="0"/>
          <w:numId w:val="5"/>
        </w:numPr>
        <w:jc w:val="both"/>
        <w:rPr>
          <w:rFonts w:ascii="Times New Roman" w:hAnsi="Times New Roman" w:cs="Times New Roman"/>
        </w:rPr>
      </w:pPr>
      <w:r w:rsidRPr="00F37117">
        <w:rPr>
          <w:rFonts w:ascii="Times New Roman" w:hAnsi="Times New Roman" w:cs="Times New Roman"/>
        </w:rPr>
        <w:t>Price to Book Value (P/BV): Improved from 12.42 to 5.86.</w:t>
      </w:r>
    </w:p>
    <w:p w:rsidR="00F37117" w:rsidRPr="00F37117" w:rsidRDefault="00F37117" w:rsidP="00F37117">
      <w:pPr>
        <w:pStyle w:val="ListParagraph"/>
        <w:numPr>
          <w:ilvl w:val="0"/>
          <w:numId w:val="5"/>
        </w:numPr>
        <w:jc w:val="both"/>
        <w:rPr>
          <w:rFonts w:ascii="Times New Roman" w:hAnsi="Times New Roman" w:cs="Times New Roman"/>
        </w:rPr>
      </w:pPr>
      <w:r w:rsidRPr="00F37117">
        <w:rPr>
          <w:rFonts w:ascii="Times New Roman" w:hAnsi="Times New Roman" w:cs="Times New Roman"/>
        </w:rPr>
        <w:t>Book Value per Share (BVPS): Increased from $13.43 to $14.33.</w:t>
      </w:r>
    </w:p>
    <w:p w:rsidR="00F37117" w:rsidRPr="00F37117" w:rsidRDefault="00F37117" w:rsidP="00F37117">
      <w:pPr>
        <w:jc w:val="both"/>
        <w:rPr>
          <w:rFonts w:ascii="Times New Roman" w:hAnsi="Times New Roman" w:cs="Times New Roman"/>
        </w:rPr>
      </w:pPr>
      <w:r w:rsidRPr="00F37117">
        <w:rPr>
          <w:rFonts w:ascii="Times New Roman" w:hAnsi="Times New Roman" w:cs="Times New Roman"/>
        </w:rPr>
        <w:t>The negative EPS and P/E ratio reflect the net loss in 2022. The lower P/BV ratio may make the stock more attractive to value investors. Return on Equity (ROE) dropped significantly from 24.13% to -1.86%, indicating a loss to shareholders. Return on Capital Employed (ROCE) also decreased from 8.94% to 3.99%, showing reduced efficiency in generating</w:t>
      </w:r>
      <w:r>
        <w:rPr>
          <w:rFonts w:ascii="Times New Roman" w:hAnsi="Times New Roman" w:cs="Times New Roman"/>
        </w:rPr>
        <w:t xml:space="preserve"> profits from capital employed.</w:t>
      </w:r>
    </w:p>
    <w:p w:rsidR="00F37117" w:rsidRPr="00F37117" w:rsidRDefault="00F37117" w:rsidP="00F37117">
      <w:pPr>
        <w:jc w:val="both"/>
        <w:rPr>
          <w:rFonts w:ascii="Times New Roman" w:hAnsi="Times New Roman" w:cs="Times New Roman"/>
        </w:rPr>
      </w:pPr>
      <w:r w:rsidRPr="00F37117">
        <w:rPr>
          <w:rFonts w:ascii="Times New Roman" w:hAnsi="Times New Roman" w:cs="Times New Roman"/>
        </w:rPr>
        <w:lastRenderedPageBreak/>
        <w:t>The Enterprise Value to EBITDA (EV/EB</w:t>
      </w:r>
      <w:r w:rsidR="007343A5">
        <w:rPr>
          <w:rFonts w:ascii="Times New Roman" w:hAnsi="Times New Roman" w:cs="Times New Roman"/>
        </w:rPr>
        <w:t>ITDA) ratio improved from 29.15 to 16.05</w:t>
      </w:r>
      <w:r w:rsidRPr="00F37117">
        <w:rPr>
          <w:rFonts w:ascii="Times New Roman" w:hAnsi="Times New Roman" w:cs="Times New Roman"/>
        </w:rPr>
        <w:t>, suggesting that the company's valuation relative to EB</w:t>
      </w:r>
      <w:r>
        <w:rPr>
          <w:rFonts w:ascii="Times New Roman" w:hAnsi="Times New Roman" w:cs="Times New Roman"/>
        </w:rPr>
        <w:t>ITDA has become more favorable.</w:t>
      </w:r>
    </w:p>
    <w:p w:rsidR="00F37117" w:rsidRPr="00F37117" w:rsidRDefault="00F37117" w:rsidP="00F37117">
      <w:pPr>
        <w:jc w:val="both"/>
        <w:rPr>
          <w:rFonts w:ascii="Times New Roman" w:hAnsi="Times New Roman" w:cs="Times New Roman"/>
          <w:b/>
        </w:rPr>
      </w:pPr>
      <w:r w:rsidRPr="00F37117">
        <w:rPr>
          <w:rFonts w:ascii="Times New Roman" w:hAnsi="Times New Roman" w:cs="Times New Roman"/>
          <w:b/>
        </w:rPr>
        <w:t>Growth Rates</w:t>
      </w:r>
    </w:p>
    <w:p w:rsidR="00F37117" w:rsidRPr="00F37117" w:rsidRDefault="00F37117" w:rsidP="00F37117">
      <w:pPr>
        <w:pStyle w:val="ListParagraph"/>
        <w:numPr>
          <w:ilvl w:val="0"/>
          <w:numId w:val="6"/>
        </w:numPr>
        <w:jc w:val="both"/>
        <w:rPr>
          <w:rFonts w:ascii="Times New Roman" w:hAnsi="Times New Roman" w:cs="Times New Roman"/>
        </w:rPr>
      </w:pPr>
      <w:r w:rsidRPr="00F37117">
        <w:rPr>
          <w:rFonts w:ascii="Times New Roman" w:hAnsi="Times New Roman" w:cs="Times New Roman"/>
        </w:rPr>
        <w:t>Product Sales Growth: Minimal increase of 0.46%.</w:t>
      </w:r>
    </w:p>
    <w:p w:rsidR="00F37117" w:rsidRPr="00F37117" w:rsidRDefault="00F37117" w:rsidP="00F37117">
      <w:pPr>
        <w:pStyle w:val="ListParagraph"/>
        <w:numPr>
          <w:ilvl w:val="0"/>
          <w:numId w:val="6"/>
        </w:numPr>
        <w:jc w:val="both"/>
        <w:rPr>
          <w:rFonts w:ascii="Times New Roman" w:hAnsi="Times New Roman" w:cs="Times New Roman"/>
        </w:rPr>
      </w:pPr>
      <w:r w:rsidRPr="00F37117">
        <w:rPr>
          <w:rFonts w:ascii="Times New Roman" w:hAnsi="Times New Roman" w:cs="Times New Roman"/>
        </w:rPr>
        <w:t>Services Sales Growth: Strong growth of 18.88%.</w:t>
      </w:r>
    </w:p>
    <w:p w:rsidR="00F37117" w:rsidRPr="00F37117" w:rsidRDefault="00F37117" w:rsidP="00F37117">
      <w:pPr>
        <w:pStyle w:val="ListParagraph"/>
        <w:numPr>
          <w:ilvl w:val="0"/>
          <w:numId w:val="6"/>
        </w:numPr>
        <w:jc w:val="both"/>
        <w:rPr>
          <w:rFonts w:ascii="Times New Roman" w:hAnsi="Times New Roman" w:cs="Times New Roman"/>
        </w:rPr>
      </w:pPr>
      <w:r w:rsidRPr="00F37117">
        <w:rPr>
          <w:rFonts w:ascii="Times New Roman" w:hAnsi="Times New Roman" w:cs="Times New Roman"/>
        </w:rPr>
        <w:t>Total Net Sales Growth: Increased by 9.40%.</w:t>
      </w:r>
    </w:p>
    <w:p w:rsidR="00F37117" w:rsidRPr="00F37117" w:rsidRDefault="00F37117" w:rsidP="00F37117">
      <w:pPr>
        <w:pStyle w:val="ListParagraph"/>
        <w:numPr>
          <w:ilvl w:val="0"/>
          <w:numId w:val="6"/>
        </w:numPr>
        <w:jc w:val="both"/>
        <w:rPr>
          <w:rFonts w:ascii="Times New Roman" w:hAnsi="Times New Roman" w:cs="Times New Roman"/>
        </w:rPr>
      </w:pPr>
      <w:r w:rsidRPr="00F37117">
        <w:rPr>
          <w:rFonts w:ascii="Times New Roman" w:hAnsi="Times New Roman" w:cs="Times New Roman"/>
        </w:rPr>
        <w:t>Gross Profit Growth: Modest increase of 2.00%.</w:t>
      </w:r>
    </w:p>
    <w:p w:rsidR="00F37117" w:rsidRPr="00F37117" w:rsidRDefault="00F37117" w:rsidP="00F37117">
      <w:pPr>
        <w:pStyle w:val="ListParagraph"/>
        <w:numPr>
          <w:ilvl w:val="0"/>
          <w:numId w:val="6"/>
        </w:numPr>
        <w:jc w:val="both"/>
        <w:rPr>
          <w:rFonts w:ascii="Times New Roman" w:hAnsi="Times New Roman" w:cs="Times New Roman"/>
        </w:rPr>
      </w:pPr>
      <w:r w:rsidRPr="00F37117">
        <w:rPr>
          <w:rFonts w:ascii="Times New Roman" w:hAnsi="Times New Roman" w:cs="Times New Roman"/>
        </w:rPr>
        <w:t>Fulfillment Costs: Grew by 12.23%.</w:t>
      </w:r>
    </w:p>
    <w:p w:rsidR="00F37117" w:rsidRPr="00F37117" w:rsidRDefault="00F37117" w:rsidP="00F37117">
      <w:pPr>
        <w:pStyle w:val="ListParagraph"/>
        <w:numPr>
          <w:ilvl w:val="0"/>
          <w:numId w:val="6"/>
        </w:numPr>
        <w:jc w:val="both"/>
        <w:rPr>
          <w:rFonts w:ascii="Times New Roman" w:hAnsi="Times New Roman" w:cs="Times New Roman"/>
        </w:rPr>
      </w:pPr>
      <w:r w:rsidRPr="00F37117">
        <w:rPr>
          <w:rFonts w:ascii="Times New Roman" w:hAnsi="Times New Roman" w:cs="Times New Roman"/>
        </w:rPr>
        <w:t>Technology and Content Costs: Increased by 30.62%.</w:t>
      </w:r>
    </w:p>
    <w:p w:rsidR="00F37117" w:rsidRPr="00F37117" w:rsidRDefault="00F37117" w:rsidP="00F37117">
      <w:pPr>
        <w:pStyle w:val="ListParagraph"/>
        <w:numPr>
          <w:ilvl w:val="0"/>
          <w:numId w:val="6"/>
        </w:numPr>
        <w:jc w:val="both"/>
        <w:rPr>
          <w:rFonts w:ascii="Times New Roman" w:hAnsi="Times New Roman" w:cs="Times New Roman"/>
        </w:rPr>
      </w:pPr>
      <w:r w:rsidRPr="00F37117">
        <w:rPr>
          <w:rFonts w:ascii="Times New Roman" w:hAnsi="Times New Roman" w:cs="Times New Roman"/>
        </w:rPr>
        <w:t>SG&amp;A Expenses: Rose by 30.83%.</w:t>
      </w:r>
    </w:p>
    <w:p w:rsidR="00F37117" w:rsidRPr="00F37117" w:rsidRDefault="00F37117" w:rsidP="00F37117">
      <w:pPr>
        <w:jc w:val="both"/>
        <w:rPr>
          <w:rFonts w:ascii="Times New Roman" w:hAnsi="Times New Roman" w:cs="Times New Roman"/>
        </w:rPr>
      </w:pPr>
      <w:r w:rsidRPr="00F37117">
        <w:rPr>
          <w:rFonts w:ascii="Times New Roman" w:hAnsi="Times New Roman" w:cs="Times New Roman"/>
        </w:rPr>
        <w:t>The significant growth in services sales indicates a successful expansion in areas like cloud computing (AWS), subscriptions, and advertising services. However, operating expenses, particularly in technology, content, and SG&amp;A, grew faster than revenues, which neg</w:t>
      </w:r>
      <w:r>
        <w:rPr>
          <w:rFonts w:ascii="Times New Roman" w:hAnsi="Times New Roman" w:cs="Times New Roman"/>
        </w:rPr>
        <w:t>atively affected profitability.</w:t>
      </w:r>
    </w:p>
    <w:p w:rsidR="00F37117" w:rsidRPr="00F37117" w:rsidRDefault="00F37117" w:rsidP="00F37117">
      <w:pPr>
        <w:jc w:val="both"/>
        <w:rPr>
          <w:rFonts w:ascii="Times New Roman" w:hAnsi="Times New Roman" w:cs="Times New Roman"/>
          <w:b/>
        </w:rPr>
      </w:pPr>
      <w:r w:rsidRPr="00F37117">
        <w:rPr>
          <w:rFonts w:ascii="Times New Roman" w:hAnsi="Times New Roman" w:cs="Times New Roman"/>
          <w:b/>
        </w:rPr>
        <w:t>Margins as a Percentage of Net Sales</w:t>
      </w:r>
    </w:p>
    <w:p w:rsidR="00F37117" w:rsidRPr="00F37117" w:rsidRDefault="00F37117" w:rsidP="00F37117">
      <w:pPr>
        <w:pStyle w:val="ListParagraph"/>
        <w:numPr>
          <w:ilvl w:val="0"/>
          <w:numId w:val="7"/>
        </w:numPr>
        <w:jc w:val="both"/>
        <w:rPr>
          <w:rFonts w:ascii="Times New Roman" w:hAnsi="Times New Roman" w:cs="Times New Roman"/>
        </w:rPr>
      </w:pPr>
      <w:r w:rsidRPr="00F37117">
        <w:rPr>
          <w:rFonts w:ascii="Times New Roman" w:hAnsi="Times New Roman" w:cs="Times New Roman"/>
        </w:rPr>
        <w:t>Cost of Goods Sold (COGS) Margin: Increased from 85.89% to 86.84%.</w:t>
      </w:r>
    </w:p>
    <w:p w:rsidR="00F37117" w:rsidRPr="00F37117" w:rsidRDefault="00F37117" w:rsidP="00F37117">
      <w:pPr>
        <w:pStyle w:val="ListParagraph"/>
        <w:numPr>
          <w:ilvl w:val="0"/>
          <w:numId w:val="7"/>
        </w:numPr>
        <w:jc w:val="both"/>
        <w:rPr>
          <w:rFonts w:ascii="Times New Roman" w:hAnsi="Times New Roman" w:cs="Times New Roman"/>
        </w:rPr>
      </w:pPr>
      <w:r w:rsidRPr="00F37117">
        <w:rPr>
          <w:rFonts w:ascii="Times New Roman" w:hAnsi="Times New Roman" w:cs="Times New Roman"/>
        </w:rPr>
        <w:t>Technology and Content Margin: Rose from 11.93% to 14.24%.</w:t>
      </w:r>
    </w:p>
    <w:p w:rsidR="00F37117" w:rsidRPr="00F37117" w:rsidRDefault="00F37117" w:rsidP="00F37117">
      <w:pPr>
        <w:pStyle w:val="ListParagraph"/>
        <w:numPr>
          <w:ilvl w:val="0"/>
          <w:numId w:val="7"/>
        </w:numPr>
        <w:jc w:val="both"/>
        <w:rPr>
          <w:rFonts w:ascii="Times New Roman" w:hAnsi="Times New Roman" w:cs="Times New Roman"/>
        </w:rPr>
      </w:pPr>
      <w:r w:rsidRPr="00F37117">
        <w:rPr>
          <w:rFonts w:ascii="Times New Roman" w:hAnsi="Times New Roman" w:cs="Times New Roman"/>
        </w:rPr>
        <w:t>SG&amp;A Margin: Increased from 8.81% to 10.53%.</w:t>
      </w:r>
    </w:p>
    <w:p w:rsidR="00F37117" w:rsidRPr="00F37117" w:rsidRDefault="00F37117" w:rsidP="00F37117">
      <w:pPr>
        <w:pStyle w:val="ListParagraph"/>
        <w:numPr>
          <w:ilvl w:val="0"/>
          <w:numId w:val="7"/>
        </w:numPr>
        <w:jc w:val="both"/>
        <w:rPr>
          <w:rFonts w:ascii="Times New Roman" w:hAnsi="Times New Roman" w:cs="Times New Roman"/>
        </w:rPr>
      </w:pPr>
      <w:r w:rsidRPr="00F37117">
        <w:rPr>
          <w:rFonts w:ascii="Times New Roman" w:hAnsi="Times New Roman" w:cs="Times New Roman"/>
        </w:rPr>
        <w:t>Operating Income Margin: Decreased from 5.30% to 2.38%.</w:t>
      </w:r>
    </w:p>
    <w:p w:rsidR="00F37117" w:rsidRPr="00F37117" w:rsidRDefault="00F37117" w:rsidP="00F37117">
      <w:pPr>
        <w:pStyle w:val="ListParagraph"/>
        <w:numPr>
          <w:ilvl w:val="0"/>
          <w:numId w:val="7"/>
        </w:numPr>
        <w:jc w:val="both"/>
        <w:rPr>
          <w:rFonts w:ascii="Times New Roman" w:hAnsi="Times New Roman" w:cs="Times New Roman"/>
        </w:rPr>
      </w:pPr>
      <w:r w:rsidRPr="00F37117">
        <w:rPr>
          <w:rFonts w:ascii="Times New Roman" w:hAnsi="Times New Roman" w:cs="Times New Roman"/>
        </w:rPr>
        <w:t>Net Profit Margin: Fell from 7.10% to -0.53%.</w:t>
      </w:r>
    </w:p>
    <w:p w:rsidR="00F37117" w:rsidRPr="00F37117" w:rsidRDefault="00F37117" w:rsidP="00F37117">
      <w:pPr>
        <w:jc w:val="both"/>
        <w:rPr>
          <w:rFonts w:ascii="Times New Roman" w:hAnsi="Times New Roman" w:cs="Times New Roman"/>
        </w:rPr>
      </w:pPr>
      <w:r w:rsidRPr="00F37117">
        <w:rPr>
          <w:rFonts w:ascii="Times New Roman" w:hAnsi="Times New Roman" w:cs="Times New Roman"/>
        </w:rPr>
        <w:t>The higher COGS margin suggests increased cost pressures. Rising technology, content, and SG&amp;A margins indicate higher operating expenses relative to sales, contributing to the decline in op</w:t>
      </w:r>
      <w:r>
        <w:rPr>
          <w:rFonts w:ascii="Times New Roman" w:hAnsi="Times New Roman" w:cs="Times New Roman"/>
        </w:rPr>
        <w:t>erating and net profit margins.</w:t>
      </w:r>
    </w:p>
    <w:p w:rsidR="00F37117" w:rsidRPr="00F37117" w:rsidRDefault="00F37117" w:rsidP="00F37117">
      <w:pPr>
        <w:jc w:val="both"/>
        <w:rPr>
          <w:rFonts w:ascii="Times New Roman" w:hAnsi="Times New Roman" w:cs="Times New Roman"/>
          <w:b/>
        </w:rPr>
      </w:pPr>
      <w:r w:rsidRPr="00F37117">
        <w:rPr>
          <w:rFonts w:ascii="Times New Roman" w:hAnsi="Times New Roman" w:cs="Times New Roman"/>
          <w:b/>
        </w:rPr>
        <w:t>Additional Items</w:t>
      </w:r>
    </w:p>
    <w:p w:rsidR="00F37117" w:rsidRPr="00F37117" w:rsidRDefault="00F37117" w:rsidP="00F37117">
      <w:pPr>
        <w:pStyle w:val="ListParagraph"/>
        <w:numPr>
          <w:ilvl w:val="0"/>
          <w:numId w:val="8"/>
        </w:numPr>
        <w:jc w:val="both"/>
        <w:rPr>
          <w:rFonts w:ascii="Times New Roman" w:hAnsi="Times New Roman" w:cs="Times New Roman"/>
        </w:rPr>
      </w:pPr>
      <w:r w:rsidRPr="00F37117">
        <w:rPr>
          <w:rFonts w:ascii="Times New Roman" w:hAnsi="Times New Roman" w:cs="Times New Roman"/>
        </w:rPr>
        <w:t>Income Tax Rate: Changed from -12.56% to -54.19%, indicating tax benefits, possibly due to net losses.</w:t>
      </w:r>
    </w:p>
    <w:p w:rsidR="00F37117" w:rsidRPr="00F37117" w:rsidRDefault="00F37117" w:rsidP="00F37117">
      <w:pPr>
        <w:pStyle w:val="ListParagraph"/>
        <w:numPr>
          <w:ilvl w:val="0"/>
          <w:numId w:val="8"/>
        </w:numPr>
        <w:jc w:val="both"/>
        <w:rPr>
          <w:rFonts w:ascii="Times New Roman" w:hAnsi="Times New Roman" w:cs="Times New Roman"/>
        </w:rPr>
      </w:pPr>
      <w:r w:rsidRPr="00F37117">
        <w:rPr>
          <w:rFonts w:ascii="Times New Roman" w:hAnsi="Times New Roman" w:cs="Times New Roman"/>
        </w:rPr>
        <w:t>Capital Expenditures (</w:t>
      </w:r>
      <w:proofErr w:type="spellStart"/>
      <w:r w:rsidRPr="00F37117">
        <w:rPr>
          <w:rFonts w:ascii="Times New Roman" w:hAnsi="Times New Roman" w:cs="Times New Roman"/>
        </w:rPr>
        <w:t>CapEx</w:t>
      </w:r>
      <w:proofErr w:type="spellEnd"/>
      <w:r w:rsidRPr="00F37117">
        <w:rPr>
          <w:rFonts w:ascii="Times New Roman" w:hAnsi="Times New Roman" w:cs="Times New Roman"/>
        </w:rPr>
        <w:t>) as a Percentage of Sales: 13.30%.</w:t>
      </w:r>
    </w:p>
    <w:p w:rsidR="00F37117" w:rsidRPr="00F37117" w:rsidRDefault="00F37117" w:rsidP="00F37117">
      <w:pPr>
        <w:pStyle w:val="ListParagraph"/>
        <w:numPr>
          <w:ilvl w:val="0"/>
          <w:numId w:val="8"/>
        </w:numPr>
        <w:jc w:val="both"/>
        <w:rPr>
          <w:rFonts w:ascii="Times New Roman" w:hAnsi="Times New Roman" w:cs="Times New Roman"/>
        </w:rPr>
      </w:pPr>
      <w:proofErr w:type="spellStart"/>
      <w:r w:rsidRPr="00F37117">
        <w:rPr>
          <w:rFonts w:ascii="Times New Roman" w:hAnsi="Times New Roman" w:cs="Times New Roman"/>
        </w:rPr>
        <w:t>CapEx</w:t>
      </w:r>
      <w:proofErr w:type="spellEnd"/>
      <w:r w:rsidRPr="00F37117">
        <w:rPr>
          <w:rFonts w:ascii="Times New Roman" w:hAnsi="Times New Roman" w:cs="Times New Roman"/>
        </w:rPr>
        <w:t xml:space="preserve"> as a Percentage of Fixed Assets: 36.61%.</w:t>
      </w:r>
    </w:p>
    <w:p w:rsidR="00F37117" w:rsidRPr="00F37117" w:rsidRDefault="00F37117" w:rsidP="00F37117">
      <w:pPr>
        <w:jc w:val="both"/>
        <w:rPr>
          <w:rFonts w:ascii="Times New Roman" w:hAnsi="Times New Roman" w:cs="Times New Roman"/>
        </w:rPr>
      </w:pPr>
      <w:r w:rsidRPr="00F37117">
        <w:rPr>
          <w:rFonts w:ascii="Times New Roman" w:hAnsi="Times New Roman" w:cs="Times New Roman"/>
        </w:rPr>
        <w:t xml:space="preserve">The significant </w:t>
      </w:r>
      <w:proofErr w:type="spellStart"/>
      <w:r w:rsidRPr="00F37117">
        <w:rPr>
          <w:rFonts w:ascii="Times New Roman" w:hAnsi="Times New Roman" w:cs="Times New Roman"/>
        </w:rPr>
        <w:t>CapEx</w:t>
      </w:r>
      <w:proofErr w:type="spellEnd"/>
      <w:r w:rsidRPr="00F37117">
        <w:rPr>
          <w:rFonts w:ascii="Times New Roman" w:hAnsi="Times New Roman" w:cs="Times New Roman"/>
        </w:rPr>
        <w:t xml:space="preserve"> reflects ongoing investments in infrastructure and techn</w:t>
      </w:r>
      <w:r>
        <w:rPr>
          <w:rFonts w:ascii="Times New Roman" w:hAnsi="Times New Roman" w:cs="Times New Roman"/>
        </w:rPr>
        <w:t>ology to support future growth.</w:t>
      </w:r>
    </w:p>
    <w:p w:rsidR="00F37117" w:rsidRPr="00F37117" w:rsidRDefault="00F37117" w:rsidP="00F37117">
      <w:pPr>
        <w:jc w:val="both"/>
        <w:rPr>
          <w:rFonts w:ascii="Times New Roman" w:hAnsi="Times New Roman" w:cs="Times New Roman"/>
          <w:b/>
        </w:rPr>
      </w:pPr>
      <w:r w:rsidRPr="00F37117">
        <w:rPr>
          <w:rFonts w:ascii="Times New Roman" w:hAnsi="Times New Roman" w:cs="Times New Roman"/>
          <w:b/>
        </w:rPr>
        <w:t>Conclusion</w:t>
      </w:r>
    </w:p>
    <w:p w:rsidR="00F37117" w:rsidRPr="00F37117" w:rsidRDefault="00F37117" w:rsidP="00F37117">
      <w:pPr>
        <w:jc w:val="both"/>
        <w:rPr>
          <w:rFonts w:ascii="Times New Roman" w:hAnsi="Times New Roman" w:cs="Times New Roman"/>
        </w:rPr>
      </w:pPr>
      <w:r w:rsidRPr="00F37117">
        <w:rPr>
          <w:rFonts w:ascii="Times New Roman" w:hAnsi="Times New Roman" w:cs="Times New Roman"/>
        </w:rPr>
        <w:t xml:space="preserve">The financial analysis of </w:t>
      </w:r>
      <w:r>
        <w:rPr>
          <w:rFonts w:ascii="Times New Roman" w:hAnsi="Times New Roman" w:cs="Times New Roman"/>
        </w:rPr>
        <w:t>Amazon for 2021 and 2022 shows:</w:t>
      </w:r>
    </w:p>
    <w:p w:rsidR="00F37117" w:rsidRPr="007343A5" w:rsidRDefault="00F37117" w:rsidP="007343A5">
      <w:pPr>
        <w:pStyle w:val="ListParagraph"/>
        <w:numPr>
          <w:ilvl w:val="0"/>
          <w:numId w:val="9"/>
        </w:numPr>
        <w:jc w:val="both"/>
        <w:rPr>
          <w:rFonts w:ascii="Times New Roman" w:hAnsi="Times New Roman" w:cs="Times New Roman"/>
        </w:rPr>
      </w:pPr>
      <w:r w:rsidRPr="007343A5">
        <w:rPr>
          <w:rFonts w:ascii="Times New Roman" w:hAnsi="Times New Roman" w:cs="Times New Roman"/>
        </w:rPr>
        <w:t>Liquidity: Decreased ratios suggest potential short-term financial constraints, though the higher cash ratio provides some reassurance.</w:t>
      </w:r>
    </w:p>
    <w:p w:rsidR="00F37117" w:rsidRPr="007343A5" w:rsidRDefault="00F37117" w:rsidP="007343A5">
      <w:pPr>
        <w:pStyle w:val="ListParagraph"/>
        <w:numPr>
          <w:ilvl w:val="0"/>
          <w:numId w:val="9"/>
        </w:numPr>
        <w:jc w:val="both"/>
        <w:rPr>
          <w:rFonts w:ascii="Times New Roman" w:hAnsi="Times New Roman" w:cs="Times New Roman"/>
        </w:rPr>
      </w:pPr>
      <w:r w:rsidRPr="007343A5">
        <w:rPr>
          <w:rFonts w:ascii="Times New Roman" w:hAnsi="Times New Roman" w:cs="Times New Roman"/>
        </w:rPr>
        <w:t>Profitability: Declining margins and a net loss highlight challenges in cost management and profitability, despite revenue growth.</w:t>
      </w:r>
    </w:p>
    <w:p w:rsidR="00F37117" w:rsidRPr="007343A5" w:rsidRDefault="00F37117" w:rsidP="007343A5">
      <w:pPr>
        <w:pStyle w:val="ListParagraph"/>
        <w:numPr>
          <w:ilvl w:val="0"/>
          <w:numId w:val="9"/>
        </w:numPr>
        <w:jc w:val="both"/>
        <w:rPr>
          <w:rFonts w:ascii="Times New Roman" w:hAnsi="Times New Roman" w:cs="Times New Roman"/>
        </w:rPr>
      </w:pPr>
      <w:r w:rsidRPr="007343A5">
        <w:rPr>
          <w:rFonts w:ascii="Times New Roman" w:hAnsi="Times New Roman" w:cs="Times New Roman"/>
        </w:rPr>
        <w:t>Solvency: Increased debt levels and reduced interest coverage ratios point to higher financial risk.</w:t>
      </w:r>
    </w:p>
    <w:p w:rsidR="00F37117" w:rsidRPr="007343A5" w:rsidRDefault="00F37117" w:rsidP="007343A5">
      <w:pPr>
        <w:pStyle w:val="ListParagraph"/>
        <w:numPr>
          <w:ilvl w:val="0"/>
          <w:numId w:val="9"/>
        </w:numPr>
        <w:jc w:val="both"/>
        <w:rPr>
          <w:rFonts w:ascii="Times New Roman" w:hAnsi="Times New Roman" w:cs="Times New Roman"/>
        </w:rPr>
      </w:pPr>
      <w:r w:rsidRPr="007343A5">
        <w:rPr>
          <w:rFonts w:ascii="Times New Roman" w:hAnsi="Times New Roman" w:cs="Times New Roman"/>
        </w:rPr>
        <w:t>Asset Utilization: Efficiency remains relatively stable, with improved inventory turnover but decreased returns on assets.</w:t>
      </w:r>
    </w:p>
    <w:p w:rsidR="00F37117" w:rsidRPr="007343A5" w:rsidRDefault="00F37117" w:rsidP="007343A5">
      <w:pPr>
        <w:pStyle w:val="ListParagraph"/>
        <w:numPr>
          <w:ilvl w:val="0"/>
          <w:numId w:val="9"/>
        </w:numPr>
        <w:jc w:val="both"/>
        <w:rPr>
          <w:rFonts w:ascii="Times New Roman" w:hAnsi="Times New Roman" w:cs="Times New Roman"/>
        </w:rPr>
      </w:pPr>
      <w:r w:rsidRPr="007343A5">
        <w:rPr>
          <w:rFonts w:ascii="Times New Roman" w:hAnsi="Times New Roman" w:cs="Times New Roman"/>
        </w:rPr>
        <w:t>Investor Perspective: Negative earnings have impacted investor ratios, but lower valuations may present opportunities for investors.</w:t>
      </w:r>
    </w:p>
    <w:p w:rsidR="00EF762A" w:rsidRPr="00F37117" w:rsidRDefault="00F37117" w:rsidP="00F37117">
      <w:pPr>
        <w:jc w:val="both"/>
        <w:rPr>
          <w:rFonts w:ascii="Times New Roman" w:hAnsi="Times New Roman" w:cs="Times New Roman"/>
        </w:rPr>
      </w:pPr>
      <w:r w:rsidRPr="00F37117">
        <w:rPr>
          <w:rFonts w:ascii="Times New Roman" w:hAnsi="Times New Roman" w:cs="Times New Roman"/>
        </w:rPr>
        <w:t>Overall, Amazon faced profitability challenges in 2022, possibly due to increased costs, market conditions, or significant investments. While revenue growth, especially in services, remains strong, the company may need to focus on controlling expenses and improving operational efficiency to enhance profitability and shareholder value in the future.</w:t>
      </w:r>
    </w:p>
    <w:sectPr w:rsidR="00EF762A" w:rsidRPr="00F37117" w:rsidSect="00EF76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0527A"/>
    <w:multiLevelType w:val="hybridMultilevel"/>
    <w:tmpl w:val="C4B29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00681E"/>
    <w:multiLevelType w:val="hybridMultilevel"/>
    <w:tmpl w:val="318EA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E81AD5"/>
    <w:multiLevelType w:val="hybridMultilevel"/>
    <w:tmpl w:val="499C3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84347A"/>
    <w:multiLevelType w:val="hybridMultilevel"/>
    <w:tmpl w:val="F334C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DE3B4D"/>
    <w:multiLevelType w:val="hybridMultilevel"/>
    <w:tmpl w:val="5A90A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8A322A"/>
    <w:multiLevelType w:val="hybridMultilevel"/>
    <w:tmpl w:val="5A7A5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D70A31"/>
    <w:multiLevelType w:val="hybridMultilevel"/>
    <w:tmpl w:val="790AF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480307"/>
    <w:multiLevelType w:val="hybridMultilevel"/>
    <w:tmpl w:val="849CB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650080"/>
    <w:multiLevelType w:val="hybridMultilevel"/>
    <w:tmpl w:val="93D27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1"/>
  </w:num>
  <w:num w:numId="6">
    <w:abstractNumId w:val="6"/>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3A"/>
    <w:rsid w:val="00453F3A"/>
    <w:rsid w:val="005276D6"/>
    <w:rsid w:val="007343A5"/>
    <w:rsid w:val="009B4CE6"/>
    <w:rsid w:val="00EF762A"/>
    <w:rsid w:val="00F3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144B"/>
  <w15:chartTrackingRefBased/>
  <w15:docId w15:val="{8D7431AC-8C0F-4A5D-B1CC-7AF4F4E7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Jeevan Teja Araveti</dc:creator>
  <cp:keywords/>
  <dc:description/>
  <cp:lastModifiedBy>Jeevan Teja Araveti</cp:lastModifiedBy>
  <cp:revision>2</cp:revision>
  <dcterms:created xsi:type="dcterms:W3CDTF">2024-10-17T20:15:00Z</dcterms:created>
  <dcterms:modified xsi:type="dcterms:W3CDTF">2024-10-17T21:00:00Z</dcterms:modified>
</cp:coreProperties>
</file>