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3FD1" w:rsidRDefault="00F43FD1" w:rsidP="00F43FD1">
      <w:pPr>
        <w:spacing w:line="360" w:lineRule="auto"/>
        <w:jc w:val="center"/>
        <w:rPr>
          <w:rFonts w:ascii="Times New Roman" w:eastAsia="Times New Roman" w:hAnsi="Times New Roman" w:cs="Times New Roman"/>
          <w:bCs/>
          <w:sz w:val="56"/>
          <w:szCs w:val="56"/>
        </w:rPr>
      </w:pPr>
    </w:p>
    <w:p w:rsidR="00F43FD1" w:rsidRDefault="00F43FD1" w:rsidP="00F43FD1">
      <w:pPr>
        <w:spacing w:line="360" w:lineRule="auto"/>
        <w:jc w:val="center"/>
        <w:rPr>
          <w:rFonts w:ascii="Times New Roman" w:eastAsia="Times New Roman" w:hAnsi="Times New Roman" w:cs="Times New Roman"/>
          <w:bCs/>
          <w:sz w:val="56"/>
          <w:szCs w:val="56"/>
        </w:rPr>
      </w:pPr>
    </w:p>
    <w:p w:rsidR="00F43FD1" w:rsidRDefault="00F43FD1" w:rsidP="00F43FD1">
      <w:pPr>
        <w:spacing w:line="360" w:lineRule="auto"/>
        <w:jc w:val="center"/>
        <w:rPr>
          <w:rFonts w:ascii="Times New Roman" w:eastAsia="Times New Roman" w:hAnsi="Times New Roman" w:cs="Times New Roman"/>
          <w:bCs/>
          <w:sz w:val="56"/>
          <w:szCs w:val="56"/>
        </w:rPr>
      </w:pPr>
    </w:p>
    <w:p w:rsidR="00F43FD1" w:rsidRDefault="00F43FD1" w:rsidP="00F43FD1">
      <w:pPr>
        <w:spacing w:line="360" w:lineRule="auto"/>
        <w:jc w:val="center"/>
        <w:rPr>
          <w:rFonts w:ascii="Times New Roman" w:eastAsia="Times New Roman" w:hAnsi="Times New Roman" w:cs="Times New Roman"/>
          <w:bCs/>
          <w:sz w:val="56"/>
          <w:szCs w:val="56"/>
        </w:rPr>
      </w:pPr>
    </w:p>
    <w:p w:rsidR="00F43FD1" w:rsidRDefault="00F43FD1" w:rsidP="00F43FD1">
      <w:pPr>
        <w:spacing w:line="360" w:lineRule="auto"/>
        <w:jc w:val="center"/>
        <w:rPr>
          <w:rFonts w:ascii="Times New Roman" w:eastAsia="Times New Roman" w:hAnsi="Times New Roman" w:cs="Times New Roman"/>
          <w:b/>
          <w:bCs/>
          <w:sz w:val="56"/>
          <w:szCs w:val="56"/>
        </w:rPr>
      </w:pPr>
      <w:r>
        <w:rPr>
          <w:rFonts w:ascii="Times New Roman" w:eastAsia="Times New Roman" w:hAnsi="Times New Roman" w:cs="Times New Roman"/>
          <w:bCs/>
          <w:sz w:val="56"/>
          <w:szCs w:val="56"/>
        </w:rPr>
        <w:t xml:space="preserve">Task 5: </w:t>
      </w:r>
      <w:r>
        <w:rPr>
          <w:rFonts w:ascii="Times New Roman" w:eastAsia="Times New Roman" w:hAnsi="Times New Roman" w:cs="Times New Roman"/>
          <w:b/>
          <w:bCs/>
          <w:sz w:val="56"/>
          <w:szCs w:val="56"/>
        </w:rPr>
        <w:t xml:space="preserve">Market Research Report on Visa Inc.  </w:t>
      </w:r>
    </w:p>
    <w:p w:rsidR="00F43FD1" w:rsidRDefault="00F43FD1" w:rsidP="00F43FD1">
      <w:pPr>
        <w:spacing w:line="360" w:lineRule="auto"/>
        <w:jc w:val="center"/>
        <w:rPr>
          <w:rFonts w:ascii="Times New Roman" w:eastAsia="Times New Roman" w:hAnsi="Times New Roman" w:cs="Times New Roman"/>
          <w:i/>
          <w:iCs/>
          <w:sz w:val="36"/>
          <w:szCs w:val="36"/>
        </w:rPr>
      </w:pPr>
      <w:r>
        <w:rPr>
          <w:rFonts w:ascii="Times New Roman" w:eastAsia="Times New Roman" w:hAnsi="Times New Roman" w:cs="Times New Roman"/>
          <w:i/>
          <w:iCs/>
          <w:sz w:val="36"/>
          <w:szCs w:val="36"/>
        </w:rPr>
        <w:t>By Jeevan Teja Araveti</w:t>
      </w:r>
    </w:p>
    <w:p w:rsidR="00F43FD1" w:rsidRDefault="00F43FD1" w:rsidP="00F43FD1">
      <w:pPr>
        <w:spacing w:line="360" w:lineRule="auto"/>
        <w:jc w:val="center"/>
        <w:rPr>
          <w:rFonts w:ascii="Times New Roman" w:eastAsia="Times New Roman" w:hAnsi="Times New Roman" w:cs="Times New Roman"/>
          <w:i/>
          <w:iCs/>
          <w:sz w:val="36"/>
          <w:szCs w:val="36"/>
        </w:rPr>
      </w:pPr>
      <w:r>
        <w:rPr>
          <w:rFonts w:ascii="Times New Roman" w:eastAsia="Times New Roman" w:hAnsi="Times New Roman" w:cs="Times New Roman"/>
          <w:i/>
          <w:iCs/>
          <w:sz w:val="36"/>
          <w:szCs w:val="36"/>
        </w:rPr>
        <w:t>Mentor: Paul Martin</w:t>
      </w:r>
    </w:p>
    <w:p w:rsidR="00F43FD1" w:rsidRDefault="00F43FD1">
      <w:pPr>
        <w:spacing w:line="259" w:lineRule="auto"/>
        <w:rPr>
          <w:rFonts w:ascii="Times New Roman" w:hAnsi="Times New Roman" w:cs="Times New Roman"/>
        </w:rPr>
      </w:pPr>
      <w:r>
        <w:rPr>
          <w:rFonts w:ascii="Times New Roman" w:hAnsi="Times New Roman" w:cs="Times New Roman"/>
        </w:rPr>
        <w:br w:type="page"/>
      </w:r>
    </w:p>
    <w:p w:rsidR="00281571" w:rsidRDefault="00281571" w:rsidP="00657CE2">
      <w:pPr>
        <w:spacing w:line="360" w:lineRule="auto"/>
        <w:jc w:val="both"/>
        <w:rPr>
          <w:rFonts w:ascii="Times New Roman" w:hAnsi="Times New Roman" w:cs="Times New Roman"/>
          <w:szCs w:val="24"/>
        </w:rPr>
      </w:pPr>
      <w:r w:rsidRPr="00281571">
        <w:rPr>
          <w:rFonts w:ascii="Times New Roman" w:hAnsi="Times New Roman" w:cs="Times New Roman"/>
          <w:szCs w:val="24"/>
        </w:rPr>
        <w:lastRenderedPageBreak/>
        <w:t>In today’s fast-paced financial landscape, understanding the many forces shaping a company like Visa Inc. (V) is crucial for investors and analysts. This report looks at Visa’s key competitive strengths and weaknesses, identifies opportunities and threats, and explores its external environment through a PESTEL analysis. We also review the company’s closest peers, illustrating how Visa maintains its leading position in the global payments industry.</w:t>
      </w:r>
    </w:p>
    <w:p w:rsidR="00FD34C0" w:rsidRPr="00FD34C0" w:rsidRDefault="00FD34C0" w:rsidP="00657CE2">
      <w:pPr>
        <w:spacing w:line="360" w:lineRule="auto"/>
        <w:jc w:val="both"/>
        <w:rPr>
          <w:rFonts w:ascii="Times New Roman" w:hAnsi="Times New Roman" w:cs="Times New Roman"/>
          <w:b/>
          <w:sz w:val="28"/>
        </w:rPr>
      </w:pPr>
      <w:r w:rsidRPr="00FD34C0">
        <w:rPr>
          <w:rFonts w:ascii="Times New Roman" w:hAnsi="Times New Roman" w:cs="Times New Roman"/>
          <w:b/>
          <w:sz w:val="28"/>
        </w:rPr>
        <w:t>Introduction</w:t>
      </w:r>
    </w:p>
    <w:p w:rsidR="00657CE2" w:rsidRPr="00FB63F1" w:rsidRDefault="00657CE2" w:rsidP="00657CE2">
      <w:pPr>
        <w:spacing w:line="360" w:lineRule="auto"/>
        <w:jc w:val="both"/>
        <w:rPr>
          <w:rFonts w:ascii="Times New Roman" w:hAnsi="Times New Roman" w:cs="Times New Roman"/>
        </w:rPr>
      </w:pPr>
      <w:r w:rsidRPr="00FB63F1">
        <w:rPr>
          <w:rFonts w:ascii="Times New Roman" w:hAnsi="Times New Roman" w:cs="Times New Roman"/>
        </w:rPr>
        <w:t xml:space="preserve">Visa Inc. is a global payments technology company that helps people and businesses move money quickly, securely, and reliably. It began by connecting issuing banks, acquiring banks, cardholders, and merchants—known as the “four-party” model—but now also works with digital banks, wallets, </w:t>
      </w:r>
      <w:proofErr w:type="spellStart"/>
      <w:r w:rsidRPr="00FB63F1">
        <w:rPr>
          <w:rFonts w:ascii="Times New Roman" w:hAnsi="Times New Roman" w:cs="Times New Roman"/>
        </w:rPr>
        <w:t>fintechs</w:t>
      </w:r>
      <w:proofErr w:type="spellEnd"/>
      <w:r w:rsidRPr="00FB63F1">
        <w:rPr>
          <w:rFonts w:ascii="Times New Roman" w:hAnsi="Times New Roman" w:cs="Times New Roman"/>
        </w:rPr>
        <w:t xml:space="preserve">, governments, and NGOs. Through its main platform, </w:t>
      </w:r>
      <w:proofErr w:type="spellStart"/>
      <w:r w:rsidRPr="00FB63F1">
        <w:rPr>
          <w:rFonts w:ascii="Times New Roman" w:hAnsi="Times New Roman" w:cs="Times New Roman"/>
        </w:rPr>
        <w:t>VisaNet</w:t>
      </w:r>
      <w:proofErr w:type="spellEnd"/>
      <w:r w:rsidRPr="00FB63F1">
        <w:rPr>
          <w:rFonts w:ascii="Times New Roman" w:hAnsi="Times New Roman" w:cs="Times New Roman"/>
        </w:rPr>
        <w:t>, the company processed 234 billion transactions in fiscal 2024, enabling $16 trillion in payments and cash volume. Visa shares its technology through APIs, follows a “network of networks” strategy, and offers value-added services like risk solutions and advisory support.</w:t>
      </w:r>
    </w:p>
    <w:p w:rsidR="00657CE2" w:rsidRPr="00FB63F1" w:rsidRDefault="00657CE2" w:rsidP="00657CE2">
      <w:pPr>
        <w:spacing w:line="360" w:lineRule="auto"/>
        <w:jc w:val="both"/>
        <w:rPr>
          <w:rFonts w:ascii="Times New Roman" w:hAnsi="Times New Roman" w:cs="Times New Roman"/>
          <w:b/>
          <w:sz w:val="28"/>
        </w:rPr>
      </w:pPr>
      <w:r w:rsidRPr="00FB63F1">
        <w:rPr>
          <w:rFonts w:ascii="Times New Roman" w:hAnsi="Times New Roman" w:cs="Times New Roman"/>
          <w:b/>
          <w:sz w:val="28"/>
        </w:rPr>
        <w:t>Industry: Global Payment Processing</w:t>
      </w:r>
    </w:p>
    <w:p w:rsidR="00657CE2" w:rsidRPr="00FB63F1" w:rsidRDefault="00657CE2" w:rsidP="00657CE2">
      <w:pPr>
        <w:spacing w:line="360" w:lineRule="auto"/>
        <w:jc w:val="both"/>
        <w:rPr>
          <w:rFonts w:ascii="Times New Roman" w:hAnsi="Times New Roman" w:cs="Times New Roman"/>
        </w:rPr>
      </w:pPr>
      <w:r w:rsidRPr="00FB63F1">
        <w:rPr>
          <w:rFonts w:ascii="Times New Roman" w:hAnsi="Times New Roman" w:cs="Times New Roman"/>
        </w:rPr>
        <w:t>Visa is part of the global payment processing industry, which focuses on moving money electronically across the globe. This industry relies on large transaction volumes, fast payment processing, and strong security measures. Because of that, new companies must deal with strict rules, advanced technology needs, and the challenge of building a big network from scratch. As the world moves away from using cash, digital payment providers—like Visa—are seeing steady demand for their services.</w:t>
      </w:r>
    </w:p>
    <w:p w:rsidR="00657CE2" w:rsidRPr="00FB63F1" w:rsidRDefault="00657CE2" w:rsidP="00657CE2">
      <w:pPr>
        <w:spacing w:line="360" w:lineRule="auto"/>
        <w:jc w:val="both"/>
        <w:rPr>
          <w:rFonts w:ascii="Times New Roman" w:hAnsi="Times New Roman" w:cs="Times New Roman"/>
          <w:b/>
          <w:sz w:val="28"/>
        </w:rPr>
      </w:pPr>
      <w:r w:rsidRPr="00FB63F1">
        <w:rPr>
          <w:rFonts w:ascii="Times New Roman" w:hAnsi="Times New Roman" w:cs="Times New Roman"/>
          <w:b/>
          <w:sz w:val="28"/>
        </w:rPr>
        <w:t>Two Close Peers</w:t>
      </w:r>
    </w:p>
    <w:p w:rsidR="00657CE2" w:rsidRPr="00FB63F1" w:rsidRDefault="00657CE2" w:rsidP="000F3BCD">
      <w:pPr>
        <w:spacing w:after="0" w:line="360" w:lineRule="auto"/>
        <w:jc w:val="both"/>
        <w:rPr>
          <w:rFonts w:ascii="Times New Roman" w:hAnsi="Times New Roman" w:cs="Times New Roman"/>
          <w:b/>
          <w:sz w:val="24"/>
        </w:rPr>
      </w:pPr>
      <w:r w:rsidRPr="00FB63F1">
        <w:rPr>
          <w:rFonts w:ascii="Times New Roman" w:hAnsi="Times New Roman" w:cs="Times New Roman"/>
          <w:b/>
          <w:sz w:val="24"/>
        </w:rPr>
        <w:t>American Express (Amex)</w:t>
      </w:r>
    </w:p>
    <w:p w:rsidR="00657CE2" w:rsidRPr="00FB63F1" w:rsidRDefault="00657CE2" w:rsidP="000F3BCD">
      <w:pPr>
        <w:spacing w:after="0" w:line="360" w:lineRule="auto"/>
        <w:jc w:val="both"/>
        <w:rPr>
          <w:rFonts w:ascii="Times New Roman" w:hAnsi="Times New Roman" w:cs="Times New Roman"/>
        </w:rPr>
      </w:pPr>
      <w:r w:rsidRPr="00FB63F1">
        <w:rPr>
          <w:rFonts w:ascii="Times New Roman" w:hAnsi="Times New Roman" w:cs="Times New Roman"/>
        </w:rPr>
        <w:t>Amex uses what’s known as a “closed-loop” system, where it issues its own cards and directly manages relationships with both cardholders and merchants. This structure gives Amex access to deep customer spending data, which it leverages to offer premium rewards—especially for travel. However, Amex typically charges higher merchant fees, so while it attracts affluent users who value exclusive benefits, it has fewer acceptance points compared to Visa.</w:t>
      </w:r>
    </w:p>
    <w:p w:rsidR="00657CE2" w:rsidRPr="00FB63F1" w:rsidRDefault="00657CE2" w:rsidP="000F3BCD">
      <w:pPr>
        <w:spacing w:after="0" w:line="360" w:lineRule="auto"/>
        <w:jc w:val="both"/>
        <w:rPr>
          <w:rFonts w:ascii="Times New Roman" w:hAnsi="Times New Roman" w:cs="Times New Roman"/>
          <w:b/>
          <w:sz w:val="24"/>
        </w:rPr>
      </w:pPr>
      <w:proofErr w:type="spellStart"/>
      <w:r w:rsidRPr="00FB63F1">
        <w:rPr>
          <w:rFonts w:ascii="Times New Roman" w:hAnsi="Times New Roman" w:cs="Times New Roman"/>
          <w:b/>
          <w:sz w:val="24"/>
        </w:rPr>
        <w:t>Mastercard</w:t>
      </w:r>
      <w:proofErr w:type="spellEnd"/>
    </w:p>
    <w:p w:rsidR="00657CE2" w:rsidRPr="00FB63F1" w:rsidRDefault="00657CE2" w:rsidP="00657CE2">
      <w:pPr>
        <w:spacing w:line="360" w:lineRule="auto"/>
        <w:jc w:val="both"/>
        <w:rPr>
          <w:rFonts w:ascii="Times New Roman" w:hAnsi="Times New Roman" w:cs="Times New Roman"/>
        </w:rPr>
      </w:pPr>
      <w:proofErr w:type="spellStart"/>
      <w:r w:rsidRPr="00FB63F1">
        <w:rPr>
          <w:rFonts w:ascii="Times New Roman" w:hAnsi="Times New Roman" w:cs="Times New Roman"/>
        </w:rPr>
        <w:t>Mastercard</w:t>
      </w:r>
      <w:proofErr w:type="spellEnd"/>
      <w:r w:rsidRPr="00FB63F1">
        <w:rPr>
          <w:rFonts w:ascii="Times New Roman" w:hAnsi="Times New Roman" w:cs="Times New Roman"/>
        </w:rPr>
        <w:t xml:space="preserve">, like Visa, operates an “open-loop” network, working with many issuing banks and merchant acquirers around the globe. This broad network reach allows </w:t>
      </w:r>
      <w:proofErr w:type="spellStart"/>
      <w:r w:rsidRPr="00FB63F1">
        <w:rPr>
          <w:rFonts w:ascii="Times New Roman" w:hAnsi="Times New Roman" w:cs="Times New Roman"/>
        </w:rPr>
        <w:t>Mastercard</w:t>
      </w:r>
      <w:proofErr w:type="spellEnd"/>
      <w:r w:rsidRPr="00FB63F1">
        <w:rPr>
          <w:rFonts w:ascii="Times New Roman" w:hAnsi="Times New Roman" w:cs="Times New Roman"/>
        </w:rPr>
        <w:t xml:space="preserve"> to compete head-on with Visa in most major markets. Its fee-based revenue model, supported by partnerships and co-branded deals, helps </w:t>
      </w:r>
      <w:proofErr w:type="spellStart"/>
      <w:r w:rsidRPr="00FB63F1">
        <w:rPr>
          <w:rFonts w:ascii="Times New Roman" w:hAnsi="Times New Roman" w:cs="Times New Roman"/>
        </w:rPr>
        <w:t>Mastercard</w:t>
      </w:r>
      <w:proofErr w:type="spellEnd"/>
      <w:r w:rsidRPr="00FB63F1">
        <w:rPr>
          <w:rFonts w:ascii="Times New Roman" w:hAnsi="Times New Roman" w:cs="Times New Roman"/>
        </w:rPr>
        <w:t xml:space="preserve"> grow transaction volumes. Additionally, </w:t>
      </w:r>
      <w:proofErr w:type="spellStart"/>
      <w:r w:rsidRPr="00FB63F1">
        <w:rPr>
          <w:rFonts w:ascii="Times New Roman" w:hAnsi="Times New Roman" w:cs="Times New Roman"/>
        </w:rPr>
        <w:t>Mastercard</w:t>
      </w:r>
      <w:proofErr w:type="spellEnd"/>
      <w:r w:rsidRPr="00FB63F1">
        <w:rPr>
          <w:rFonts w:ascii="Times New Roman" w:hAnsi="Times New Roman" w:cs="Times New Roman"/>
        </w:rPr>
        <w:t xml:space="preserve"> invests in technology collaborations with </w:t>
      </w:r>
      <w:proofErr w:type="spellStart"/>
      <w:r w:rsidRPr="00FB63F1">
        <w:rPr>
          <w:rFonts w:ascii="Times New Roman" w:hAnsi="Times New Roman" w:cs="Times New Roman"/>
        </w:rPr>
        <w:t>fintechs</w:t>
      </w:r>
      <w:proofErr w:type="spellEnd"/>
      <w:r w:rsidRPr="00FB63F1">
        <w:rPr>
          <w:rFonts w:ascii="Times New Roman" w:hAnsi="Times New Roman" w:cs="Times New Roman"/>
        </w:rPr>
        <w:t xml:space="preserve"> to remain innovative and expand its digital payment offerings.</w:t>
      </w:r>
    </w:p>
    <w:p w:rsidR="00657CE2" w:rsidRPr="00FB63F1" w:rsidRDefault="00657CE2" w:rsidP="00657CE2">
      <w:pPr>
        <w:spacing w:line="360" w:lineRule="auto"/>
        <w:jc w:val="both"/>
        <w:rPr>
          <w:rFonts w:ascii="Times New Roman" w:hAnsi="Times New Roman" w:cs="Times New Roman"/>
          <w:b/>
          <w:sz w:val="28"/>
        </w:rPr>
      </w:pPr>
      <w:r w:rsidRPr="00FB63F1">
        <w:rPr>
          <w:rFonts w:ascii="Times New Roman" w:hAnsi="Times New Roman" w:cs="Times New Roman"/>
          <w:b/>
          <w:sz w:val="28"/>
        </w:rPr>
        <w:t>Substitutes and New Markets</w:t>
      </w:r>
    </w:p>
    <w:p w:rsidR="00657CE2" w:rsidRPr="00FB63F1" w:rsidRDefault="00657CE2" w:rsidP="00281571">
      <w:pPr>
        <w:spacing w:after="0" w:line="360" w:lineRule="auto"/>
        <w:jc w:val="both"/>
        <w:rPr>
          <w:rFonts w:ascii="Times New Roman" w:hAnsi="Times New Roman" w:cs="Times New Roman"/>
          <w:b/>
          <w:sz w:val="24"/>
        </w:rPr>
      </w:pPr>
      <w:r w:rsidRPr="00FB63F1">
        <w:rPr>
          <w:rFonts w:ascii="Times New Roman" w:hAnsi="Times New Roman" w:cs="Times New Roman"/>
          <w:b/>
          <w:sz w:val="24"/>
        </w:rPr>
        <w:t>Substitute Payment Methods</w:t>
      </w:r>
    </w:p>
    <w:p w:rsidR="00E83131" w:rsidRDefault="00E83131" w:rsidP="00281571">
      <w:pPr>
        <w:spacing w:after="0" w:line="360" w:lineRule="auto"/>
        <w:jc w:val="both"/>
        <w:rPr>
          <w:rFonts w:ascii="Times New Roman" w:hAnsi="Times New Roman" w:cs="Times New Roman"/>
        </w:rPr>
      </w:pPr>
      <w:r w:rsidRPr="00E83131">
        <w:rPr>
          <w:rFonts w:ascii="Times New Roman" w:hAnsi="Times New Roman" w:cs="Times New Roman"/>
        </w:rPr>
        <w:t xml:space="preserve">Peer-to-peer apps like PayPal’s </w:t>
      </w:r>
      <w:proofErr w:type="spellStart"/>
      <w:r w:rsidRPr="00E83131">
        <w:rPr>
          <w:rFonts w:ascii="Times New Roman" w:hAnsi="Times New Roman" w:cs="Times New Roman"/>
        </w:rPr>
        <w:t>Venmo</w:t>
      </w:r>
      <w:proofErr w:type="spellEnd"/>
      <w:r w:rsidRPr="00E83131">
        <w:rPr>
          <w:rFonts w:ascii="Times New Roman" w:hAnsi="Times New Roman" w:cs="Times New Roman"/>
        </w:rPr>
        <w:t xml:space="preserve"> and Block’s Cash App enable direct money transfers without relying on card networks. Digital wallets such as Apple Pay and Google Pay simplify online and in-store payments using smartphones.</w:t>
      </w:r>
    </w:p>
    <w:p w:rsidR="000F3BCD" w:rsidRPr="00E83131" w:rsidRDefault="000F3BCD" w:rsidP="00281571">
      <w:pPr>
        <w:spacing w:after="0" w:line="360" w:lineRule="auto"/>
        <w:jc w:val="both"/>
        <w:rPr>
          <w:rFonts w:ascii="Times New Roman" w:hAnsi="Times New Roman" w:cs="Times New Roman"/>
        </w:rPr>
      </w:pPr>
    </w:p>
    <w:p w:rsidR="00657CE2" w:rsidRPr="00FB63F1" w:rsidRDefault="00657CE2" w:rsidP="00281571">
      <w:pPr>
        <w:spacing w:after="0" w:line="360" w:lineRule="auto"/>
        <w:jc w:val="both"/>
        <w:rPr>
          <w:rFonts w:ascii="Times New Roman" w:hAnsi="Times New Roman" w:cs="Times New Roman"/>
          <w:b/>
          <w:sz w:val="24"/>
        </w:rPr>
      </w:pPr>
      <w:r w:rsidRPr="00FB63F1">
        <w:rPr>
          <w:rFonts w:ascii="Times New Roman" w:hAnsi="Times New Roman" w:cs="Times New Roman"/>
          <w:b/>
          <w:sz w:val="24"/>
        </w:rPr>
        <w:lastRenderedPageBreak/>
        <w:t>New Markets</w:t>
      </w:r>
    </w:p>
    <w:p w:rsidR="00657CE2" w:rsidRPr="009A7A01" w:rsidRDefault="009A7A01" w:rsidP="00E83131">
      <w:pPr>
        <w:spacing w:after="0" w:line="360" w:lineRule="auto"/>
        <w:jc w:val="both"/>
        <w:rPr>
          <w:rFonts w:ascii="Times New Roman" w:hAnsi="Times New Roman" w:cs="Times New Roman"/>
        </w:rPr>
      </w:pPr>
      <w:r w:rsidRPr="009A7A01">
        <w:rPr>
          <w:rFonts w:ascii="Times New Roman" w:hAnsi="Times New Roman" w:cs="Times New Roman"/>
        </w:rPr>
        <w:t xml:space="preserve">In emerging economies where cash is still prevalent, Visa partners with local banks and </w:t>
      </w:r>
      <w:proofErr w:type="spellStart"/>
      <w:r w:rsidRPr="009A7A01">
        <w:rPr>
          <w:rFonts w:ascii="Times New Roman" w:hAnsi="Times New Roman" w:cs="Times New Roman"/>
        </w:rPr>
        <w:t>fintechs</w:t>
      </w:r>
      <w:proofErr w:type="spellEnd"/>
      <w:r w:rsidRPr="009A7A01">
        <w:rPr>
          <w:rFonts w:ascii="Times New Roman" w:hAnsi="Times New Roman" w:cs="Times New Roman"/>
        </w:rPr>
        <w:t xml:space="preserve"> to introduce digital payment solutions. Using a network of networks approach, Visa connects various platforms for B2B and G2C transactions and invests in real-time payment technologies to enable instant transfers.</w:t>
      </w:r>
    </w:p>
    <w:p w:rsidR="00657CE2" w:rsidRPr="00FB63F1" w:rsidRDefault="00657CE2" w:rsidP="005D632B">
      <w:pPr>
        <w:spacing w:before="240" w:line="360" w:lineRule="auto"/>
        <w:jc w:val="both"/>
        <w:rPr>
          <w:rFonts w:ascii="Times New Roman" w:hAnsi="Times New Roman" w:cs="Times New Roman"/>
          <w:b/>
          <w:sz w:val="28"/>
        </w:rPr>
      </w:pPr>
      <w:r w:rsidRPr="00FB63F1">
        <w:rPr>
          <w:rFonts w:ascii="Times New Roman" w:hAnsi="Times New Roman" w:cs="Times New Roman"/>
          <w:b/>
          <w:sz w:val="28"/>
        </w:rPr>
        <w:t>Key Revenue and Cost Drivers</w:t>
      </w:r>
    </w:p>
    <w:p w:rsidR="00657CE2" w:rsidRPr="00FB63F1" w:rsidRDefault="00657CE2" w:rsidP="00281571">
      <w:pPr>
        <w:spacing w:after="0" w:line="360" w:lineRule="auto"/>
        <w:jc w:val="both"/>
        <w:rPr>
          <w:rFonts w:ascii="Times New Roman" w:hAnsi="Times New Roman" w:cs="Times New Roman"/>
          <w:b/>
          <w:sz w:val="24"/>
        </w:rPr>
      </w:pPr>
      <w:r w:rsidRPr="00FB63F1">
        <w:rPr>
          <w:rFonts w:ascii="Times New Roman" w:hAnsi="Times New Roman" w:cs="Times New Roman"/>
          <w:b/>
          <w:sz w:val="24"/>
        </w:rPr>
        <w:t>Revenue Drivers</w:t>
      </w:r>
    </w:p>
    <w:p w:rsidR="005D632B" w:rsidRPr="005D632B" w:rsidRDefault="005D632B" w:rsidP="00281571">
      <w:pPr>
        <w:spacing w:after="0" w:line="360" w:lineRule="auto"/>
        <w:jc w:val="both"/>
        <w:rPr>
          <w:rFonts w:ascii="Times New Roman" w:hAnsi="Times New Roman" w:cs="Times New Roman"/>
        </w:rPr>
      </w:pPr>
      <w:r>
        <w:rPr>
          <w:rFonts w:ascii="Times New Roman" w:hAnsi="Times New Roman" w:cs="Times New Roman"/>
        </w:rPr>
        <w:t>V</w:t>
      </w:r>
      <w:r w:rsidRPr="005D632B">
        <w:rPr>
          <w:rFonts w:ascii="Times New Roman" w:hAnsi="Times New Roman" w:cs="Times New Roman"/>
        </w:rPr>
        <w:t>isa generates revenue by charging</w:t>
      </w:r>
      <w:r>
        <w:rPr>
          <w:rFonts w:ascii="Times New Roman" w:hAnsi="Times New Roman" w:cs="Times New Roman"/>
        </w:rPr>
        <w:t xml:space="preserve"> </w:t>
      </w:r>
      <w:r w:rsidRPr="005D632B">
        <w:rPr>
          <w:rFonts w:ascii="Times New Roman" w:hAnsi="Times New Roman" w:cs="Times New Roman"/>
        </w:rPr>
        <w:t xml:space="preserve">banks service fees for issuing Visa cards, earns data processing fees from </w:t>
      </w:r>
      <w:proofErr w:type="spellStart"/>
      <w:r w:rsidRPr="005D632B">
        <w:rPr>
          <w:rFonts w:ascii="Times New Roman" w:hAnsi="Times New Roman" w:cs="Times New Roman"/>
        </w:rPr>
        <w:t>VisaNet</w:t>
      </w:r>
      <w:proofErr w:type="spellEnd"/>
      <w:r w:rsidRPr="005D632B">
        <w:rPr>
          <w:rFonts w:ascii="Times New Roman" w:hAnsi="Times New Roman" w:cs="Times New Roman"/>
        </w:rPr>
        <w:t xml:space="preserve"> transactions, and applies higher cross-border fees for international payments due to curr</w:t>
      </w:r>
      <w:r>
        <w:rPr>
          <w:rFonts w:ascii="Times New Roman" w:hAnsi="Times New Roman" w:cs="Times New Roman"/>
        </w:rPr>
        <w:t>ency and security requirements.</w:t>
      </w:r>
    </w:p>
    <w:p w:rsidR="00657CE2" w:rsidRPr="00FB63F1" w:rsidRDefault="00657CE2" w:rsidP="00281571">
      <w:pPr>
        <w:spacing w:after="0" w:line="360" w:lineRule="auto"/>
        <w:jc w:val="both"/>
        <w:rPr>
          <w:rFonts w:ascii="Times New Roman" w:hAnsi="Times New Roman" w:cs="Times New Roman"/>
          <w:b/>
          <w:sz w:val="24"/>
        </w:rPr>
      </w:pPr>
      <w:r w:rsidRPr="00FB63F1">
        <w:rPr>
          <w:rFonts w:ascii="Times New Roman" w:hAnsi="Times New Roman" w:cs="Times New Roman"/>
          <w:b/>
          <w:sz w:val="24"/>
        </w:rPr>
        <w:t>Cost Drivers</w:t>
      </w:r>
    </w:p>
    <w:p w:rsidR="000F3BCD" w:rsidRPr="000F3BCD" w:rsidRDefault="000F3BCD" w:rsidP="000F3BCD">
      <w:pPr>
        <w:spacing w:line="360" w:lineRule="auto"/>
        <w:jc w:val="both"/>
        <w:rPr>
          <w:rFonts w:ascii="Times New Roman" w:hAnsi="Times New Roman" w:cs="Times New Roman"/>
        </w:rPr>
      </w:pPr>
      <w:r w:rsidRPr="000F3BCD">
        <w:rPr>
          <w:rFonts w:ascii="Times New Roman" w:hAnsi="Times New Roman" w:cs="Times New Roman"/>
        </w:rPr>
        <w:t>Visa invests in its global network to ensure speed, security, and reliability. It funds regulatory compliance to meet various countries’ rules, supports marketing and sponsorships like the Olympics and NFL to boost its brand, and continuously spends on fraud detection and cybersecurity to protect clients and cardholders.</w:t>
      </w:r>
    </w:p>
    <w:p w:rsidR="00657CE2" w:rsidRPr="00FB63F1" w:rsidRDefault="00657CE2" w:rsidP="000F3BCD">
      <w:pPr>
        <w:spacing w:before="240" w:after="0" w:line="360" w:lineRule="auto"/>
        <w:jc w:val="both"/>
        <w:rPr>
          <w:rFonts w:ascii="Times New Roman" w:hAnsi="Times New Roman" w:cs="Times New Roman"/>
          <w:b/>
          <w:sz w:val="28"/>
        </w:rPr>
      </w:pPr>
      <w:r w:rsidRPr="00FB63F1">
        <w:rPr>
          <w:rFonts w:ascii="Times New Roman" w:hAnsi="Times New Roman" w:cs="Times New Roman"/>
          <w:b/>
          <w:sz w:val="28"/>
        </w:rPr>
        <w:t>Current Industry/Market Trends</w:t>
      </w:r>
    </w:p>
    <w:p w:rsidR="000F3BCD" w:rsidRPr="000F3BCD" w:rsidRDefault="000F3BCD" w:rsidP="000F3BCD">
      <w:pPr>
        <w:spacing w:line="360" w:lineRule="auto"/>
        <w:jc w:val="both"/>
        <w:rPr>
          <w:rFonts w:ascii="Times New Roman" w:hAnsi="Times New Roman" w:cs="Times New Roman"/>
        </w:rPr>
      </w:pPr>
      <w:r w:rsidRPr="000F3BCD">
        <w:rPr>
          <w:rFonts w:ascii="Times New Roman" w:hAnsi="Times New Roman" w:cs="Times New Roman"/>
        </w:rPr>
        <w:t xml:space="preserve">The rise of digital commerce boosts digital payment volumes, while recovering global travel increases high-fee cross-border transactions, benefiting Visa’s revenues. Visa partners with </w:t>
      </w:r>
      <w:proofErr w:type="spellStart"/>
      <w:r w:rsidRPr="000F3BCD">
        <w:rPr>
          <w:rFonts w:ascii="Times New Roman" w:hAnsi="Times New Roman" w:cs="Times New Roman"/>
        </w:rPr>
        <w:t>fintechs</w:t>
      </w:r>
      <w:proofErr w:type="spellEnd"/>
      <w:r w:rsidRPr="000F3BCD">
        <w:rPr>
          <w:rFonts w:ascii="Times New Roman" w:hAnsi="Times New Roman" w:cs="Times New Roman"/>
        </w:rPr>
        <w:t xml:space="preserve"> and tech-focused banks to stay innovative. However, regulatory pressures on interchange fees and data privacy may impact profits. Additionally, Visa prioritizes advanced fraud protection and tokenization to ensure security for customers and merchants.</w:t>
      </w:r>
    </w:p>
    <w:p w:rsidR="00ED2F9D" w:rsidRPr="00065EAC" w:rsidRDefault="00ED2F9D" w:rsidP="00E83131">
      <w:pPr>
        <w:spacing w:before="240" w:line="360" w:lineRule="auto"/>
        <w:jc w:val="both"/>
        <w:rPr>
          <w:rFonts w:ascii="Times New Roman" w:hAnsi="Times New Roman" w:cs="Times New Roman"/>
          <w:b/>
          <w:sz w:val="28"/>
        </w:rPr>
      </w:pPr>
      <w:r w:rsidRPr="00065EAC">
        <w:rPr>
          <w:rFonts w:ascii="Times New Roman" w:hAnsi="Times New Roman" w:cs="Times New Roman"/>
          <w:b/>
          <w:sz w:val="28"/>
        </w:rPr>
        <w:t>SWOT Analysis</w:t>
      </w:r>
    </w:p>
    <w:p w:rsidR="00ED2F9D" w:rsidRPr="00065EAC" w:rsidRDefault="00ED2F9D" w:rsidP="00ED2F9D">
      <w:pPr>
        <w:spacing w:line="360" w:lineRule="auto"/>
        <w:jc w:val="both"/>
        <w:rPr>
          <w:rFonts w:ascii="Times New Roman" w:hAnsi="Times New Roman" w:cs="Times New Roman"/>
          <w:b/>
          <w:sz w:val="24"/>
        </w:rPr>
      </w:pPr>
      <w:r w:rsidRPr="0051267D">
        <w:rPr>
          <w:rFonts w:ascii="Times New Roman" w:hAnsi="Times New Roman" w:cs="Times New Roman"/>
          <w:b/>
          <w:sz w:val="32"/>
          <w:u w:val="single"/>
        </w:rPr>
        <w:t>S</w:t>
      </w:r>
      <w:r w:rsidRPr="00065EAC">
        <w:rPr>
          <w:rFonts w:ascii="Times New Roman" w:hAnsi="Times New Roman" w:cs="Times New Roman"/>
          <w:b/>
          <w:sz w:val="24"/>
        </w:rPr>
        <w:t>trengths</w:t>
      </w:r>
    </w:p>
    <w:p w:rsidR="00ED2F9D" w:rsidRPr="00ED2F9D" w:rsidRDefault="00065EAC" w:rsidP="000F3BCD">
      <w:pPr>
        <w:spacing w:after="0" w:line="360" w:lineRule="auto"/>
        <w:jc w:val="both"/>
        <w:rPr>
          <w:rFonts w:ascii="Times New Roman" w:hAnsi="Times New Roman" w:cs="Times New Roman"/>
        </w:rPr>
      </w:pPr>
      <w:r w:rsidRPr="00065EAC">
        <w:rPr>
          <w:rFonts w:ascii="Times New Roman" w:hAnsi="Times New Roman" w:cs="Times New Roman"/>
          <w:b/>
        </w:rPr>
        <w:t>Global Brand</w:t>
      </w:r>
      <w:r>
        <w:rPr>
          <w:rFonts w:ascii="Times New Roman" w:hAnsi="Times New Roman" w:cs="Times New Roman"/>
        </w:rPr>
        <w:t xml:space="preserve">: </w:t>
      </w:r>
      <w:r w:rsidR="00ED2F9D" w:rsidRPr="00ED2F9D">
        <w:rPr>
          <w:rFonts w:ascii="Times New Roman" w:hAnsi="Times New Roman" w:cs="Times New Roman"/>
        </w:rPr>
        <w:t>Visa is widely recognized for its secure and user-friendly payment services, trusted by merchants and financial institutions across numerous countries.</w:t>
      </w:r>
    </w:p>
    <w:p w:rsidR="00ED2F9D" w:rsidRPr="00ED2F9D" w:rsidRDefault="00ED2F9D" w:rsidP="000F3BCD">
      <w:pPr>
        <w:spacing w:after="0" w:line="360" w:lineRule="auto"/>
        <w:jc w:val="both"/>
        <w:rPr>
          <w:rFonts w:ascii="Times New Roman" w:hAnsi="Times New Roman" w:cs="Times New Roman"/>
        </w:rPr>
      </w:pPr>
      <w:r w:rsidRPr="00065EAC">
        <w:rPr>
          <w:rFonts w:ascii="Times New Roman" w:hAnsi="Times New Roman" w:cs="Times New Roman"/>
          <w:b/>
        </w:rPr>
        <w:t>Largest Market Share</w:t>
      </w:r>
      <w:r w:rsidR="00065EAC" w:rsidRPr="00065EAC">
        <w:rPr>
          <w:rFonts w:ascii="Times New Roman" w:hAnsi="Times New Roman" w:cs="Times New Roman"/>
          <w:b/>
        </w:rPr>
        <w:t>:</w:t>
      </w:r>
      <w:r w:rsidR="00065EAC">
        <w:rPr>
          <w:rFonts w:ascii="Times New Roman" w:hAnsi="Times New Roman" w:cs="Times New Roman"/>
        </w:rPr>
        <w:t xml:space="preserve"> </w:t>
      </w:r>
      <w:r w:rsidRPr="00ED2F9D">
        <w:rPr>
          <w:rFonts w:ascii="Times New Roman" w:hAnsi="Times New Roman" w:cs="Times New Roman"/>
        </w:rPr>
        <w:t xml:space="preserve">Visa leads in the U.S. with the highest share of the payments market and remains the top player globally. Its dominance extends to digital transactions, and it commands about half </w:t>
      </w:r>
      <w:r>
        <w:rPr>
          <w:rFonts w:ascii="Times New Roman" w:hAnsi="Times New Roman" w:cs="Times New Roman"/>
        </w:rPr>
        <w:t>of all card payments worldwide.</w:t>
      </w:r>
    </w:p>
    <w:p w:rsidR="00ED2F9D" w:rsidRPr="00ED2F9D" w:rsidRDefault="00065EAC" w:rsidP="00ED2F9D">
      <w:pPr>
        <w:spacing w:line="360" w:lineRule="auto"/>
        <w:jc w:val="both"/>
        <w:rPr>
          <w:rFonts w:ascii="Times New Roman" w:hAnsi="Times New Roman" w:cs="Times New Roman"/>
        </w:rPr>
      </w:pPr>
      <w:r w:rsidRPr="00065EAC">
        <w:rPr>
          <w:rFonts w:ascii="Times New Roman" w:hAnsi="Times New Roman" w:cs="Times New Roman"/>
          <w:b/>
        </w:rPr>
        <w:t>Scalable Technology:</w:t>
      </w:r>
      <w:r>
        <w:rPr>
          <w:rFonts w:ascii="Times New Roman" w:hAnsi="Times New Roman" w:cs="Times New Roman"/>
        </w:rPr>
        <w:t xml:space="preserve"> </w:t>
      </w:r>
      <w:r w:rsidR="00ED2F9D" w:rsidRPr="00ED2F9D">
        <w:rPr>
          <w:rFonts w:ascii="Times New Roman" w:hAnsi="Times New Roman" w:cs="Times New Roman"/>
        </w:rPr>
        <w:t>Visa’s platform can handle billions of transactions yearly with high speed and reliability. Its asset-light model enables growth without major cost hikes, boosting its competitive edge.</w:t>
      </w:r>
    </w:p>
    <w:p w:rsidR="00143CD8" w:rsidRDefault="000677B3" w:rsidP="00143CD8">
      <w:pPr>
        <w:spacing w:line="360" w:lineRule="auto"/>
        <w:jc w:val="both"/>
        <w:rPr>
          <w:rFonts w:ascii="Times New Roman" w:hAnsi="Times New Roman" w:cs="Times New Roman"/>
          <w:b/>
          <w:sz w:val="24"/>
          <w:szCs w:val="24"/>
        </w:rPr>
      </w:pPr>
      <w:r w:rsidRPr="0051267D">
        <w:rPr>
          <w:rFonts w:ascii="Times New Roman" w:hAnsi="Times New Roman" w:cs="Times New Roman"/>
          <w:b/>
          <w:sz w:val="32"/>
          <w:szCs w:val="24"/>
          <w:u w:val="single"/>
        </w:rPr>
        <w:t>W</w:t>
      </w:r>
      <w:r>
        <w:rPr>
          <w:rFonts w:ascii="Times New Roman" w:hAnsi="Times New Roman" w:cs="Times New Roman"/>
          <w:b/>
          <w:sz w:val="24"/>
          <w:szCs w:val="24"/>
        </w:rPr>
        <w:t>eaknesses</w:t>
      </w:r>
    </w:p>
    <w:p w:rsidR="00065EAC" w:rsidRPr="00065EAC" w:rsidRDefault="00065EAC" w:rsidP="000F3BCD">
      <w:pPr>
        <w:spacing w:after="0" w:line="360" w:lineRule="auto"/>
        <w:jc w:val="both"/>
        <w:rPr>
          <w:rFonts w:ascii="Times New Roman" w:hAnsi="Times New Roman" w:cs="Times New Roman"/>
          <w:szCs w:val="24"/>
        </w:rPr>
      </w:pPr>
      <w:r w:rsidRPr="00065EAC">
        <w:rPr>
          <w:rFonts w:ascii="Times New Roman" w:hAnsi="Times New Roman" w:cs="Times New Roman"/>
          <w:b/>
          <w:szCs w:val="24"/>
        </w:rPr>
        <w:t>Tied to Consumer Spending:</w:t>
      </w:r>
      <w:r>
        <w:rPr>
          <w:rFonts w:ascii="Times New Roman" w:hAnsi="Times New Roman" w:cs="Times New Roman"/>
          <w:szCs w:val="24"/>
        </w:rPr>
        <w:t xml:space="preserve"> </w:t>
      </w:r>
      <w:r w:rsidRPr="00065EAC">
        <w:rPr>
          <w:rFonts w:ascii="Times New Roman" w:hAnsi="Times New Roman" w:cs="Times New Roman"/>
          <w:szCs w:val="24"/>
        </w:rPr>
        <w:t>Visa’s revenue depends heavily on consumer buying habits. Economic downturns or changes in spending behavior can reduce transaction volumes and undermine the c</w:t>
      </w:r>
      <w:r>
        <w:rPr>
          <w:rFonts w:ascii="Times New Roman" w:hAnsi="Times New Roman" w:cs="Times New Roman"/>
          <w:szCs w:val="24"/>
        </w:rPr>
        <w:t>ompany’s financial performance.</w:t>
      </w:r>
    </w:p>
    <w:p w:rsidR="00065EAC" w:rsidRPr="00065EAC" w:rsidRDefault="00065EAC" w:rsidP="000F3BCD">
      <w:pPr>
        <w:spacing w:after="0" w:line="360" w:lineRule="auto"/>
        <w:jc w:val="both"/>
        <w:rPr>
          <w:rFonts w:ascii="Times New Roman" w:hAnsi="Times New Roman" w:cs="Times New Roman"/>
          <w:szCs w:val="24"/>
        </w:rPr>
      </w:pPr>
      <w:r w:rsidRPr="00065EAC">
        <w:rPr>
          <w:rFonts w:ascii="Times New Roman" w:hAnsi="Times New Roman" w:cs="Times New Roman"/>
          <w:b/>
          <w:szCs w:val="24"/>
        </w:rPr>
        <w:t>Risks &amp; Hazards:</w:t>
      </w:r>
      <w:r>
        <w:rPr>
          <w:rFonts w:ascii="Times New Roman" w:hAnsi="Times New Roman" w:cs="Times New Roman"/>
          <w:szCs w:val="24"/>
        </w:rPr>
        <w:t xml:space="preserve"> </w:t>
      </w:r>
      <w:r w:rsidRPr="00065EAC">
        <w:rPr>
          <w:rFonts w:ascii="Times New Roman" w:hAnsi="Times New Roman" w:cs="Times New Roman"/>
          <w:szCs w:val="24"/>
        </w:rPr>
        <w:t>Visa faces constant threats of fraud and data breaches. Compromised transactions can lead to financial losses and damage trust in its security, potentially pushing c</w:t>
      </w:r>
      <w:r>
        <w:rPr>
          <w:rFonts w:ascii="Times New Roman" w:hAnsi="Times New Roman" w:cs="Times New Roman"/>
          <w:szCs w:val="24"/>
        </w:rPr>
        <w:t>ustomers toward rival networks.</w:t>
      </w:r>
    </w:p>
    <w:p w:rsidR="00065EAC" w:rsidRDefault="00065EAC" w:rsidP="00065EAC">
      <w:pPr>
        <w:spacing w:line="360" w:lineRule="auto"/>
        <w:jc w:val="both"/>
        <w:rPr>
          <w:rFonts w:ascii="Times New Roman" w:hAnsi="Times New Roman" w:cs="Times New Roman"/>
          <w:szCs w:val="24"/>
        </w:rPr>
      </w:pPr>
      <w:r w:rsidRPr="00065EAC">
        <w:rPr>
          <w:rFonts w:ascii="Times New Roman" w:hAnsi="Times New Roman" w:cs="Times New Roman"/>
          <w:b/>
          <w:szCs w:val="24"/>
        </w:rPr>
        <w:t>High Operating Costs:</w:t>
      </w:r>
      <w:r>
        <w:rPr>
          <w:rFonts w:ascii="Times New Roman" w:hAnsi="Times New Roman" w:cs="Times New Roman"/>
          <w:szCs w:val="24"/>
        </w:rPr>
        <w:t xml:space="preserve"> </w:t>
      </w:r>
      <w:r w:rsidRPr="00065EAC">
        <w:rPr>
          <w:rFonts w:ascii="Times New Roman" w:hAnsi="Times New Roman" w:cs="Times New Roman"/>
          <w:szCs w:val="24"/>
        </w:rPr>
        <w:t>Keeping a worldwide network running requires major spending on marketing, compliance, and innovation. Recent reports show how these expenses put pressure on Visa’s profit margins.</w:t>
      </w:r>
    </w:p>
    <w:p w:rsidR="00065EAC" w:rsidRDefault="000F3BCD" w:rsidP="00065EAC">
      <w:pPr>
        <w:spacing w:line="360" w:lineRule="auto"/>
        <w:jc w:val="both"/>
        <w:rPr>
          <w:rFonts w:ascii="Times New Roman" w:hAnsi="Times New Roman" w:cs="Times New Roman"/>
          <w:b/>
          <w:sz w:val="24"/>
          <w:szCs w:val="24"/>
        </w:rPr>
      </w:pPr>
      <w:r w:rsidRPr="0051267D">
        <w:rPr>
          <w:rFonts w:ascii="Times New Roman" w:hAnsi="Times New Roman" w:cs="Times New Roman"/>
          <w:noProof/>
          <w:sz w:val="32"/>
          <w:szCs w:val="24"/>
          <w:u w:val="single"/>
        </w:rPr>
        <w:lastRenderedPageBreak/>
        <w:drawing>
          <wp:anchor distT="0" distB="0" distL="114300" distR="114300" simplePos="0" relativeHeight="251658240" behindDoc="0" locked="0" layoutInCell="1" allowOverlap="1" wp14:anchorId="7983A8C4" wp14:editId="4AEE4F34">
            <wp:simplePos x="0" y="0"/>
            <wp:positionH relativeFrom="column">
              <wp:posOffset>-18415</wp:posOffset>
            </wp:positionH>
            <wp:positionV relativeFrom="paragraph">
              <wp:posOffset>34925</wp:posOffset>
            </wp:positionV>
            <wp:extent cx="4500438" cy="4070985"/>
            <wp:effectExtent l="0" t="0" r="0" b="5715"/>
            <wp:wrapSquare wrapText="bothSides"/>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anchor>
        </w:drawing>
      </w:r>
      <w:r w:rsidR="00065EAC" w:rsidRPr="0051267D">
        <w:rPr>
          <w:rFonts w:ascii="Times New Roman" w:hAnsi="Times New Roman" w:cs="Times New Roman"/>
          <w:b/>
          <w:sz w:val="32"/>
          <w:szCs w:val="24"/>
          <w:u w:val="single"/>
        </w:rPr>
        <w:t>O</w:t>
      </w:r>
      <w:r w:rsidR="00065EAC">
        <w:rPr>
          <w:rFonts w:ascii="Times New Roman" w:hAnsi="Times New Roman" w:cs="Times New Roman"/>
          <w:b/>
          <w:sz w:val="24"/>
          <w:szCs w:val="24"/>
        </w:rPr>
        <w:t>pportunities</w:t>
      </w:r>
    </w:p>
    <w:p w:rsidR="00065EAC" w:rsidRPr="00065EAC" w:rsidRDefault="00065EAC" w:rsidP="000F3BCD">
      <w:pPr>
        <w:spacing w:after="0" w:line="360" w:lineRule="auto"/>
        <w:jc w:val="both"/>
        <w:rPr>
          <w:rFonts w:ascii="Times New Roman" w:hAnsi="Times New Roman" w:cs="Times New Roman"/>
          <w:szCs w:val="24"/>
        </w:rPr>
      </w:pPr>
      <w:r w:rsidRPr="00065EAC">
        <w:rPr>
          <w:rFonts w:ascii="Times New Roman" w:hAnsi="Times New Roman" w:cs="Times New Roman"/>
          <w:b/>
          <w:szCs w:val="24"/>
        </w:rPr>
        <w:t>Emerging Markets:</w:t>
      </w:r>
      <w:r>
        <w:rPr>
          <w:rFonts w:ascii="Times New Roman" w:hAnsi="Times New Roman" w:cs="Times New Roman"/>
          <w:szCs w:val="24"/>
        </w:rPr>
        <w:t xml:space="preserve"> </w:t>
      </w:r>
      <w:r w:rsidRPr="00065EAC">
        <w:rPr>
          <w:rFonts w:ascii="Times New Roman" w:hAnsi="Times New Roman" w:cs="Times New Roman"/>
          <w:szCs w:val="24"/>
        </w:rPr>
        <w:t>Many developing regions still use cash heavily, offering room for Visa to grow. By</w:t>
      </w:r>
      <w:r w:rsidR="000677B3">
        <w:rPr>
          <w:rFonts w:ascii="Times New Roman" w:hAnsi="Times New Roman" w:cs="Times New Roman"/>
          <w:szCs w:val="24"/>
        </w:rPr>
        <w:t xml:space="preserve"> investing in infrastructure &amp;</w:t>
      </w:r>
      <w:r w:rsidRPr="00065EAC">
        <w:rPr>
          <w:rFonts w:ascii="Times New Roman" w:hAnsi="Times New Roman" w:cs="Times New Roman"/>
          <w:szCs w:val="24"/>
        </w:rPr>
        <w:t xml:space="preserve"> partnering with local institutions, Visa can introduce digital payment solutions</w:t>
      </w:r>
      <w:r w:rsidR="000677B3">
        <w:rPr>
          <w:rFonts w:ascii="Times New Roman" w:hAnsi="Times New Roman" w:cs="Times New Roman"/>
          <w:szCs w:val="24"/>
        </w:rPr>
        <w:t xml:space="preserve"> where they’re needed most.</w:t>
      </w:r>
    </w:p>
    <w:p w:rsidR="00065EAC" w:rsidRPr="00065EAC" w:rsidRDefault="00065EAC" w:rsidP="000F3BCD">
      <w:pPr>
        <w:spacing w:after="0" w:line="360" w:lineRule="auto"/>
        <w:jc w:val="both"/>
        <w:rPr>
          <w:rFonts w:ascii="Times New Roman" w:hAnsi="Times New Roman" w:cs="Times New Roman"/>
          <w:szCs w:val="24"/>
        </w:rPr>
      </w:pPr>
      <w:proofErr w:type="spellStart"/>
      <w:r w:rsidRPr="00065EAC">
        <w:rPr>
          <w:rFonts w:ascii="Times New Roman" w:hAnsi="Times New Roman" w:cs="Times New Roman"/>
          <w:b/>
          <w:szCs w:val="24"/>
        </w:rPr>
        <w:t>FinTech</w:t>
      </w:r>
      <w:proofErr w:type="spellEnd"/>
      <w:r w:rsidRPr="00065EAC">
        <w:rPr>
          <w:rFonts w:ascii="Times New Roman" w:hAnsi="Times New Roman" w:cs="Times New Roman"/>
          <w:b/>
          <w:szCs w:val="24"/>
        </w:rPr>
        <w:t xml:space="preserve"> Collaborations:</w:t>
      </w:r>
      <w:r>
        <w:rPr>
          <w:rFonts w:ascii="Times New Roman" w:hAnsi="Times New Roman" w:cs="Times New Roman"/>
          <w:szCs w:val="24"/>
        </w:rPr>
        <w:t xml:space="preserve"> </w:t>
      </w:r>
      <w:r w:rsidRPr="00065EAC">
        <w:rPr>
          <w:rFonts w:ascii="Times New Roman" w:hAnsi="Times New Roman" w:cs="Times New Roman"/>
          <w:szCs w:val="24"/>
        </w:rPr>
        <w:t xml:space="preserve">Teaming up with </w:t>
      </w:r>
      <w:r w:rsidR="000677B3">
        <w:rPr>
          <w:rFonts w:ascii="Times New Roman" w:hAnsi="Times New Roman" w:cs="Times New Roman"/>
          <w:szCs w:val="24"/>
        </w:rPr>
        <w:t xml:space="preserve">innovative </w:t>
      </w:r>
      <w:proofErr w:type="spellStart"/>
      <w:r w:rsidR="000677B3">
        <w:rPr>
          <w:rFonts w:ascii="Times New Roman" w:hAnsi="Times New Roman" w:cs="Times New Roman"/>
          <w:szCs w:val="24"/>
        </w:rPr>
        <w:t>fintech</w:t>
      </w:r>
      <w:proofErr w:type="spellEnd"/>
      <w:r w:rsidR="000677B3">
        <w:rPr>
          <w:rFonts w:ascii="Times New Roman" w:hAnsi="Times New Roman" w:cs="Times New Roman"/>
          <w:szCs w:val="24"/>
        </w:rPr>
        <w:t xml:space="preserve"> companies</w:t>
      </w:r>
      <w:r w:rsidRPr="00065EAC">
        <w:rPr>
          <w:rFonts w:ascii="Times New Roman" w:hAnsi="Times New Roman" w:cs="Times New Roman"/>
          <w:szCs w:val="24"/>
        </w:rPr>
        <w:t xml:space="preserve"> help Visa strengthen its product off</w:t>
      </w:r>
      <w:r w:rsidR="000677B3">
        <w:rPr>
          <w:rFonts w:ascii="Times New Roman" w:hAnsi="Times New Roman" w:cs="Times New Roman"/>
          <w:szCs w:val="24"/>
        </w:rPr>
        <w:t>erings. These partnerships</w:t>
      </w:r>
      <w:r w:rsidRPr="00065EAC">
        <w:rPr>
          <w:rFonts w:ascii="Times New Roman" w:hAnsi="Times New Roman" w:cs="Times New Roman"/>
          <w:szCs w:val="24"/>
        </w:rPr>
        <w:t xml:space="preserve"> lead to new services, apps, and platforms that expand Visa’s customer base an</w:t>
      </w:r>
      <w:r>
        <w:rPr>
          <w:rFonts w:ascii="Times New Roman" w:hAnsi="Times New Roman" w:cs="Times New Roman"/>
          <w:szCs w:val="24"/>
        </w:rPr>
        <w:t>d boost transaction volumes.</w:t>
      </w:r>
    </w:p>
    <w:p w:rsidR="00E83131" w:rsidRPr="00E83131" w:rsidRDefault="00065EAC" w:rsidP="00065EAC">
      <w:pPr>
        <w:spacing w:line="360" w:lineRule="auto"/>
        <w:jc w:val="both"/>
        <w:rPr>
          <w:rFonts w:ascii="Times New Roman" w:hAnsi="Times New Roman" w:cs="Times New Roman"/>
          <w:szCs w:val="24"/>
        </w:rPr>
      </w:pPr>
      <w:r w:rsidRPr="00065EAC">
        <w:rPr>
          <w:rFonts w:ascii="Times New Roman" w:hAnsi="Times New Roman" w:cs="Times New Roman"/>
          <w:b/>
          <w:szCs w:val="24"/>
        </w:rPr>
        <w:t>Rise in Use of Electronic Payments:</w:t>
      </w:r>
      <w:r>
        <w:rPr>
          <w:rFonts w:ascii="Times New Roman" w:hAnsi="Times New Roman" w:cs="Times New Roman"/>
          <w:szCs w:val="24"/>
        </w:rPr>
        <w:t xml:space="preserve"> </w:t>
      </w:r>
      <w:r w:rsidRPr="00065EAC">
        <w:rPr>
          <w:rFonts w:ascii="Times New Roman" w:hAnsi="Times New Roman" w:cs="Times New Roman"/>
          <w:szCs w:val="24"/>
        </w:rPr>
        <w:t>Digital payments are becoming faster, safer, and more convenient, which plays to Visa’s strengths. As more people abandon cash, Visa can target regions still dependent on traditional payment methods, broadening its reach and revenue potential.</w:t>
      </w:r>
    </w:p>
    <w:p w:rsidR="00065EAC" w:rsidRPr="000677B3" w:rsidRDefault="000677B3" w:rsidP="00065EAC">
      <w:pPr>
        <w:spacing w:line="360" w:lineRule="auto"/>
        <w:jc w:val="both"/>
        <w:rPr>
          <w:rFonts w:ascii="Times New Roman" w:hAnsi="Times New Roman" w:cs="Times New Roman"/>
          <w:b/>
          <w:sz w:val="24"/>
          <w:szCs w:val="24"/>
        </w:rPr>
      </w:pPr>
      <w:r w:rsidRPr="0051267D">
        <w:rPr>
          <w:rFonts w:ascii="Times New Roman" w:hAnsi="Times New Roman" w:cs="Times New Roman"/>
          <w:b/>
          <w:sz w:val="32"/>
          <w:szCs w:val="24"/>
          <w:u w:val="single"/>
        </w:rPr>
        <w:t>T</w:t>
      </w:r>
      <w:r w:rsidRPr="000677B3">
        <w:rPr>
          <w:rFonts w:ascii="Times New Roman" w:hAnsi="Times New Roman" w:cs="Times New Roman"/>
          <w:b/>
          <w:sz w:val="24"/>
          <w:szCs w:val="24"/>
        </w:rPr>
        <w:t>hreats</w:t>
      </w:r>
    </w:p>
    <w:p w:rsidR="000677B3" w:rsidRPr="000677B3" w:rsidRDefault="000677B3" w:rsidP="000F3BCD">
      <w:pPr>
        <w:spacing w:after="0" w:line="360" w:lineRule="auto"/>
        <w:jc w:val="both"/>
        <w:rPr>
          <w:rFonts w:ascii="Times New Roman" w:hAnsi="Times New Roman" w:cs="Times New Roman"/>
          <w:szCs w:val="24"/>
        </w:rPr>
      </w:pPr>
      <w:r w:rsidRPr="000677B3">
        <w:rPr>
          <w:rFonts w:ascii="Times New Roman" w:hAnsi="Times New Roman" w:cs="Times New Roman"/>
          <w:b/>
          <w:szCs w:val="24"/>
        </w:rPr>
        <w:t>Cybersecurity Risks:</w:t>
      </w:r>
      <w:r>
        <w:rPr>
          <w:rFonts w:ascii="Times New Roman" w:hAnsi="Times New Roman" w:cs="Times New Roman"/>
          <w:szCs w:val="24"/>
        </w:rPr>
        <w:t xml:space="preserve"> </w:t>
      </w:r>
      <w:r w:rsidRPr="000677B3">
        <w:rPr>
          <w:rFonts w:ascii="Times New Roman" w:hAnsi="Times New Roman" w:cs="Times New Roman"/>
          <w:szCs w:val="24"/>
        </w:rPr>
        <w:t>Visa’s vast digital footprint makes it a prime target for hackers and cybercriminals. A successful attack could result in heavy financial losses, reputational damage, and shaken customer trust, prompting a move to competitors viewed as more secure.</w:t>
      </w:r>
    </w:p>
    <w:p w:rsidR="000677B3" w:rsidRPr="000677B3" w:rsidRDefault="000677B3" w:rsidP="000F3BCD">
      <w:pPr>
        <w:spacing w:after="0" w:line="360" w:lineRule="auto"/>
        <w:jc w:val="both"/>
        <w:rPr>
          <w:rFonts w:ascii="Times New Roman" w:hAnsi="Times New Roman" w:cs="Times New Roman"/>
          <w:szCs w:val="24"/>
        </w:rPr>
      </w:pPr>
      <w:r w:rsidRPr="000677B3">
        <w:rPr>
          <w:rFonts w:ascii="Times New Roman" w:hAnsi="Times New Roman" w:cs="Times New Roman"/>
          <w:b/>
          <w:szCs w:val="24"/>
        </w:rPr>
        <w:t>Competition from New Payment Tech:</w:t>
      </w:r>
      <w:r>
        <w:rPr>
          <w:rFonts w:ascii="Times New Roman" w:hAnsi="Times New Roman" w:cs="Times New Roman"/>
          <w:szCs w:val="24"/>
        </w:rPr>
        <w:t xml:space="preserve"> </w:t>
      </w:r>
      <w:proofErr w:type="spellStart"/>
      <w:r w:rsidRPr="000677B3">
        <w:rPr>
          <w:rFonts w:ascii="Times New Roman" w:hAnsi="Times New Roman" w:cs="Times New Roman"/>
          <w:szCs w:val="24"/>
        </w:rPr>
        <w:t>Blockchain</w:t>
      </w:r>
      <w:proofErr w:type="spellEnd"/>
      <w:r w:rsidRPr="000677B3">
        <w:rPr>
          <w:rFonts w:ascii="Times New Roman" w:hAnsi="Times New Roman" w:cs="Times New Roman"/>
          <w:szCs w:val="24"/>
        </w:rPr>
        <w:t xml:space="preserve"> and mobile wallet services offer faster or cheaper alternatives to traditional card payments. These emerging platforms might draw customers away from Visa’s network, eroding its market share and pushing the co</w:t>
      </w:r>
      <w:r>
        <w:rPr>
          <w:rFonts w:ascii="Times New Roman" w:hAnsi="Times New Roman" w:cs="Times New Roman"/>
          <w:szCs w:val="24"/>
        </w:rPr>
        <w:t>mpany to innovate more rapidly.</w:t>
      </w:r>
    </w:p>
    <w:p w:rsidR="000677B3" w:rsidRDefault="000677B3" w:rsidP="000677B3">
      <w:pPr>
        <w:spacing w:line="360" w:lineRule="auto"/>
        <w:jc w:val="both"/>
        <w:rPr>
          <w:rFonts w:ascii="Times New Roman" w:hAnsi="Times New Roman" w:cs="Times New Roman"/>
          <w:szCs w:val="24"/>
        </w:rPr>
      </w:pPr>
      <w:r w:rsidRPr="000677B3">
        <w:rPr>
          <w:rFonts w:ascii="Times New Roman" w:hAnsi="Times New Roman" w:cs="Times New Roman"/>
          <w:b/>
          <w:szCs w:val="24"/>
        </w:rPr>
        <w:t>Regulatory Changes:</w:t>
      </w:r>
      <w:r>
        <w:rPr>
          <w:rFonts w:ascii="Times New Roman" w:hAnsi="Times New Roman" w:cs="Times New Roman"/>
          <w:szCs w:val="24"/>
        </w:rPr>
        <w:t xml:space="preserve"> </w:t>
      </w:r>
      <w:r w:rsidRPr="000677B3">
        <w:rPr>
          <w:rFonts w:ascii="Times New Roman" w:hAnsi="Times New Roman" w:cs="Times New Roman"/>
          <w:szCs w:val="24"/>
        </w:rPr>
        <w:t>Governments worldwide are imposing stricter policies on fees and data handling. Meeting these evolving regulations raises Visa’s operational costs and can restrict its ability to set certain pricing structures, creating uncertainty for future growth.</w:t>
      </w:r>
    </w:p>
    <w:p w:rsidR="000677B3" w:rsidRDefault="000677B3" w:rsidP="000677B3">
      <w:pPr>
        <w:spacing w:line="360" w:lineRule="auto"/>
        <w:jc w:val="both"/>
        <w:rPr>
          <w:rFonts w:ascii="Times New Roman" w:hAnsi="Times New Roman" w:cs="Times New Roman"/>
          <w:b/>
          <w:sz w:val="28"/>
          <w:szCs w:val="24"/>
        </w:rPr>
      </w:pPr>
      <w:r w:rsidRPr="00FD34C0">
        <w:rPr>
          <w:rFonts w:ascii="Times New Roman" w:hAnsi="Times New Roman" w:cs="Times New Roman"/>
          <w:b/>
          <w:sz w:val="28"/>
          <w:szCs w:val="24"/>
        </w:rPr>
        <w:t>PESTEL Analysis</w:t>
      </w:r>
    </w:p>
    <w:p w:rsidR="00FD34C0" w:rsidRDefault="0051267D" w:rsidP="000677B3">
      <w:pPr>
        <w:spacing w:line="360" w:lineRule="auto"/>
        <w:jc w:val="both"/>
        <w:rPr>
          <w:rFonts w:ascii="Times New Roman" w:hAnsi="Times New Roman" w:cs="Times New Roman"/>
          <w:b/>
          <w:sz w:val="24"/>
          <w:szCs w:val="24"/>
        </w:rPr>
      </w:pPr>
      <w:r w:rsidRPr="0051267D">
        <w:rPr>
          <w:rFonts w:ascii="Times New Roman" w:hAnsi="Times New Roman" w:cs="Times New Roman"/>
          <w:b/>
          <w:sz w:val="32"/>
          <w:szCs w:val="24"/>
          <w:u w:val="single"/>
        </w:rPr>
        <w:t>P</w:t>
      </w:r>
      <w:r>
        <w:rPr>
          <w:rFonts w:ascii="Times New Roman" w:hAnsi="Times New Roman" w:cs="Times New Roman"/>
          <w:b/>
          <w:sz w:val="24"/>
          <w:szCs w:val="24"/>
        </w:rPr>
        <w:t>olitical</w:t>
      </w:r>
    </w:p>
    <w:p w:rsidR="0051267D" w:rsidRPr="0051267D" w:rsidRDefault="0051267D" w:rsidP="000F3BCD">
      <w:pPr>
        <w:spacing w:after="0" w:line="360" w:lineRule="auto"/>
        <w:jc w:val="both"/>
        <w:rPr>
          <w:rFonts w:ascii="Times New Roman" w:hAnsi="Times New Roman" w:cs="Times New Roman"/>
          <w:szCs w:val="24"/>
        </w:rPr>
      </w:pPr>
      <w:r w:rsidRPr="0051267D">
        <w:rPr>
          <w:rFonts w:ascii="Times New Roman" w:hAnsi="Times New Roman" w:cs="Times New Roman"/>
          <w:b/>
          <w:szCs w:val="24"/>
        </w:rPr>
        <w:t>Regulatory Pressures from Governments Worldwide:</w:t>
      </w:r>
      <w:r>
        <w:rPr>
          <w:rFonts w:ascii="Times New Roman" w:hAnsi="Times New Roman" w:cs="Times New Roman"/>
          <w:szCs w:val="24"/>
        </w:rPr>
        <w:t xml:space="preserve"> </w:t>
      </w:r>
      <w:r w:rsidRPr="0051267D">
        <w:rPr>
          <w:rFonts w:ascii="Times New Roman" w:hAnsi="Times New Roman" w:cs="Times New Roman"/>
          <w:szCs w:val="24"/>
        </w:rPr>
        <w:t>Visa operates under strict laws in multiple countries, facing various compliance demands. Recently, the U.S. Department of Justice filed a complaint alleging Visa monopolized debit network services, which could trigger costly legal actions and alter Visa’s operations.</w:t>
      </w:r>
    </w:p>
    <w:p w:rsidR="0051267D" w:rsidRDefault="0051267D" w:rsidP="000677B3">
      <w:pPr>
        <w:spacing w:line="360" w:lineRule="auto"/>
        <w:jc w:val="both"/>
        <w:rPr>
          <w:rFonts w:ascii="Times New Roman" w:hAnsi="Times New Roman" w:cs="Times New Roman"/>
          <w:szCs w:val="24"/>
        </w:rPr>
      </w:pPr>
      <w:r w:rsidRPr="0051267D">
        <w:rPr>
          <w:rFonts w:ascii="Times New Roman" w:hAnsi="Times New Roman" w:cs="Times New Roman"/>
          <w:b/>
          <w:szCs w:val="24"/>
        </w:rPr>
        <w:lastRenderedPageBreak/>
        <w:t>Geo-Political Tensions:</w:t>
      </w:r>
      <w:r>
        <w:rPr>
          <w:rFonts w:ascii="Times New Roman" w:hAnsi="Times New Roman" w:cs="Times New Roman"/>
          <w:szCs w:val="24"/>
        </w:rPr>
        <w:t xml:space="preserve"> </w:t>
      </w:r>
      <w:r w:rsidRPr="0051267D">
        <w:rPr>
          <w:rFonts w:ascii="Times New Roman" w:hAnsi="Times New Roman" w:cs="Times New Roman"/>
          <w:szCs w:val="24"/>
        </w:rPr>
        <w:t>Political instability in certain areas can reduce transaction volumes by weakening consumer confidence and slowing spending. Although Visa’s processed transactions grew by 10% to 233.8 billion this fiscal year, such progress remains vulnerable to global political uncertainties.</w:t>
      </w:r>
    </w:p>
    <w:p w:rsidR="0051267D" w:rsidRPr="0051267D" w:rsidRDefault="0051267D" w:rsidP="000677B3">
      <w:pPr>
        <w:spacing w:line="360" w:lineRule="auto"/>
        <w:jc w:val="both"/>
        <w:rPr>
          <w:rFonts w:ascii="Times New Roman" w:hAnsi="Times New Roman" w:cs="Times New Roman"/>
          <w:b/>
          <w:sz w:val="24"/>
          <w:szCs w:val="24"/>
        </w:rPr>
      </w:pPr>
      <w:r w:rsidRPr="0051267D">
        <w:rPr>
          <w:rFonts w:ascii="Times New Roman" w:hAnsi="Times New Roman" w:cs="Times New Roman"/>
          <w:b/>
          <w:sz w:val="32"/>
          <w:szCs w:val="24"/>
          <w:u w:val="single"/>
        </w:rPr>
        <w:t>E</w:t>
      </w:r>
      <w:r w:rsidRPr="0051267D">
        <w:rPr>
          <w:rFonts w:ascii="Times New Roman" w:hAnsi="Times New Roman" w:cs="Times New Roman"/>
          <w:b/>
          <w:sz w:val="24"/>
          <w:szCs w:val="24"/>
        </w:rPr>
        <w:t>conomic</w:t>
      </w:r>
    </w:p>
    <w:p w:rsidR="0051267D" w:rsidRPr="0051267D" w:rsidRDefault="0051267D" w:rsidP="000F3BCD">
      <w:pPr>
        <w:spacing w:after="0" w:line="360" w:lineRule="auto"/>
        <w:jc w:val="both"/>
        <w:rPr>
          <w:rFonts w:ascii="Times New Roman" w:hAnsi="Times New Roman" w:cs="Times New Roman"/>
          <w:szCs w:val="24"/>
        </w:rPr>
      </w:pPr>
      <w:r w:rsidRPr="0051267D">
        <w:rPr>
          <w:rFonts w:ascii="Times New Roman" w:hAnsi="Times New Roman" w:cs="Times New Roman"/>
          <w:b/>
          <w:szCs w:val="24"/>
        </w:rPr>
        <w:t>Global Economic Growth Impacting Transaction Volumes:</w:t>
      </w:r>
      <w:r>
        <w:rPr>
          <w:rFonts w:ascii="Times New Roman" w:hAnsi="Times New Roman" w:cs="Times New Roman"/>
          <w:szCs w:val="24"/>
        </w:rPr>
        <w:t xml:space="preserve"> </w:t>
      </w:r>
      <w:r w:rsidRPr="0051267D">
        <w:rPr>
          <w:rFonts w:ascii="Times New Roman" w:hAnsi="Times New Roman" w:cs="Times New Roman"/>
          <w:szCs w:val="24"/>
        </w:rPr>
        <w:t>Payments volume rose 8% year-over-year on a constant-dollar basis, demonstrating Visa’s resilience even as glo</w:t>
      </w:r>
      <w:r>
        <w:rPr>
          <w:rFonts w:ascii="Times New Roman" w:hAnsi="Times New Roman" w:cs="Times New Roman"/>
          <w:szCs w:val="24"/>
        </w:rPr>
        <w:t>bal economic conditions change.</w:t>
      </w:r>
    </w:p>
    <w:p w:rsidR="00C63399" w:rsidRPr="00E83131" w:rsidRDefault="0051267D" w:rsidP="0051267D">
      <w:pPr>
        <w:spacing w:line="360" w:lineRule="auto"/>
        <w:jc w:val="both"/>
        <w:rPr>
          <w:rFonts w:ascii="Times New Roman" w:hAnsi="Times New Roman" w:cs="Times New Roman"/>
          <w:szCs w:val="24"/>
        </w:rPr>
      </w:pPr>
      <w:r w:rsidRPr="0051267D">
        <w:rPr>
          <w:rFonts w:ascii="Times New Roman" w:hAnsi="Times New Roman" w:cs="Times New Roman"/>
          <w:b/>
          <w:szCs w:val="24"/>
        </w:rPr>
        <w:t>Exchange Rate Fluctuations</w:t>
      </w:r>
      <w:r>
        <w:rPr>
          <w:rFonts w:ascii="Times New Roman" w:hAnsi="Times New Roman" w:cs="Times New Roman"/>
          <w:szCs w:val="24"/>
        </w:rPr>
        <w:t xml:space="preserve">: </w:t>
      </w:r>
      <w:r w:rsidRPr="0051267D">
        <w:rPr>
          <w:rFonts w:ascii="Times New Roman" w:hAnsi="Times New Roman" w:cs="Times New Roman"/>
          <w:szCs w:val="24"/>
        </w:rPr>
        <w:t>Currency swings play a key role in Visa’s revenue outcomes. While its GAAP earnings per share grew by about 18% on a constant-dollar basis, foreign exchange shifts against the U.S. dollar can either boost or reduce reported earnings depending on international market dynamics.</w:t>
      </w:r>
    </w:p>
    <w:p w:rsidR="0051267D" w:rsidRPr="0051267D" w:rsidRDefault="0051267D" w:rsidP="0051267D">
      <w:pPr>
        <w:spacing w:line="360" w:lineRule="auto"/>
        <w:jc w:val="both"/>
        <w:rPr>
          <w:rFonts w:ascii="Times New Roman" w:hAnsi="Times New Roman" w:cs="Times New Roman"/>
          <w:b/>
          <w:szCs w:val="24"/>
        </w:rPr>
      </w:pPr>
      <w:r w:rsidRPr="0051267D">
        <w:rPr>
          <w:rFonts w:ascii="Times New Roman" w:hAnsi="Times New Roman" w:cs="Times New Roman"/>
          <w:b/>
          <w:sz w:val="32"/>
          <w:szCs w:val="24"/>
          <w:u w:val="single"/>
        </w:rPr>
        <w:t>S</w:t>
      </w:r>
      <w:r w:rsidRPr="0051267D">
        <w:rPr>
          <w:rFonts w:ascii="Times New Roman" w:hAnsi="Times New Roman" w:cs="Times New Roman"/>
          <w:b/>
          <w:sz w:val="24"/>
          <w:szCs w:val="24"/>
        </w:rPr>
        <w:t>ocial</w:t>
      </w:r>
    </w:p>
    <w:p w:rsidR="00C63399" w:rsidRPr="00C63399" w:rsidRDefault="00C63399" w:rsidP="000F3BCD">
      <w:pPr>
        <w:spacing w:after="0" w:line="360" w:lineRule="auto"/>
        <w:jc w:val="both"/>
        <w:rPr>
          <w:rFonts w:ascii="Times New Roman" w:hAnsi="Times New Roman" w:cs="Times New Roman"/>
          <w:szCs w:val="24"/>
        </w:rPr>
      </w:pPr>
      <w:r w:rsidRPr="00C63399">
        <w:rPr>
          <w:rFonts w:ascii="Times New Roman" w:hAnsi="Times New Roman" w:cs="Times New Roman"/>
          <w:b/>
          <w:szCs w:val="24"/>
        </w:rPr>
        <w:t>Increasing Preference for Digital Payments:</w:t>
      </w:r>
      <w:r>
        <w:rPr>
          <w:rFonts w:ascii="Times New Roman" w:hAnsi="Times New Roman" w:cs="Times New Roman"/>
          <w:szCs w:val="24"/>
        </w:rPr>
        <w:t xml:space="preserve"> </w:t>
      </w:r>
      <w:r w:rsidRPr="00C63399">
        <w:rPr>
          <w:rFonts w:ascii="Times New Roman" w:hAnsi="Times New Roman" w:cs="Times New Roman"/>
          <w:szCs w:val="24"/>
        </w:rPr>
        <w:t>As of 2024, digital payment transactions soared, with Visa recording an 8% year-over-year rise in payments volume. This reflects a widespread consumer shift to online and contactless methods, driven partly by pandemic influences and the growing use of s</w:t>
      </w:r>
      <w:r>
        <w:rPr>
          <w:rFonts w:ascii="Times New Roman" w:hAnsi="Times New Roman" w:cs="Times New Roman"/>
          <w:szCs w:val="24"/>
        </w:rPr>
        <w:t>martphones and digital wallets.</w:t>
      </w:r>
    </w:p>
    <w:p w:rsidR="00E83131" w:rsidRPr="000F3BCD" w:rsidRDefault="00C63399" w:rsidP="00C63399">
      <w:pPr>
        <w:spacing w:line="360" w:lineRule="auto"/>
        <w:jc w:val="both"/>
        <w:rPr>
          <w:rFonts w:ascii="Times New Roman" w:hAnsi="Times New Roman" w:cs="Times New Roman"/>
          <w:szCs w:val="24"/>
        </w:rPr>
      </w:pPr>
      <w:r w:rsidRPr="00C63399">
        <w:rPr>
          <w:rFonts w:ascii="Times New Roman" w:hAnsi="Times New Roman" w:cs="Times New Roman"/>
          <w:b/>
          <w:szCs w:val="24"/>
        </w:rPr>
        <w:t>Changes in Consumer Behavior:</w:t>
      </w:r>
      <w:r>
        <w:rPr>
          <w:rFonts w:ascii="Times New Roman" w:hAnsi="Times New Roman" w:cs="Times New Roman"/>
          <w:szCs w:val="24"/>
        </w:rPr>
        <w:t xml:space="preserve"> </w:t>
      </w:r>
      <w:r w:rsidRPr="00C63399">
        <w:rPr>
          <w:rFonts w:ascii="Times New Roman" w:hAnsi="Times New Roman" w:cs="Times New Roman"/>
          <w:szCs w:val="24"/>
        </w:rPr>
        <w:t>Rapid technological advancement has reshaped how consumers pay, with mobile transactions making up about 45% of all Visa payments in 2024. This growth highlights a strong preference for convenient, user-friendly solutions over traditional cash or card-based methods.</w:t>
      </w:r>
    </w:p>
    <w:p w:rsidR="00C63399" w:rsidRPr="00C63399" w:rsidRDefault="00C63399" w:rsidP="00C63399">
      <w:pPr>
        <w:spacing w:line="360" w:lineRule="auto"/>
        <w:jc w:val="both"/>
        <w:rPr>
          <w:rFonts w:ascii="Times New Roman" w:hAnsi="Times New Roman" w:cs="Times New Roman"/>
          <w:b/>
          <w:sz w:val="24"/>
          <w:szCs w:val="24"/>
        </w:rPr>
      </w:pPr>
      <w:r w:rsidRPr="00C63399">
        <w:rPr>
          <w:rFonts w:ascii="Times New Roman" w:hAnsi="Times New Roman" w:cs="Times New Roman"/>
          <w:b/>
          <w:sz w:val="32"/>
          <w:szCs w:val="24"/>
          <w:u w:val="single"/>
        </w:rPr>
        <w:t>T</w:t>
      </w:r>
      <w:r w:rsidRPr="00C63399">
        <w:rPr>
          <w:rFonts w:ascii="Times New Roman" w:hAnsi="Times New Roman" w:cs="Times New Roman"/>
          <w:b/>
          <w:sz w:val="24"/>
          <w:szCs w:val="24"/>
        </w:rPr>
        <w:t>echnological</w:t>
      </w:r>
    </w:p>
    <w:p w:rsidR="00C63399" w:rsidRPr="00C63399" w:rsidRDefault="00C63399" w:rsidP="000F3BCD">
      <w:pPr>
        <w:spacing w:after="0" w:line="360" w:lineRule="auto"/>
        <w:jc w:val="both"/>
        <w:rPr>
          <w:rFonts w:ascii="Times New Roman" w:hAnsi="Times New Roman" w:cs="Times New Roman"/>
          <w:szCs w:val="24"/>
        </w:rPr>
      </w:pPr>
      <w:r w:rsidRPr="00C63399">
        <w:rPr>
          <w:rFonts w:ascii="Times New Roman" w:hAnsi="Times New Roman" w:cs="Times New Roman"/>
          <w:b/>
          <w:szCs w:val="24"/>
        </w:rPr>
        <w:t>Adapting to Mobile Payments and Digital Wallets:</w:t>
      </w:r>
      <w:r>
        <w:rPr>
          <w:rFonts w:ascii="Times New Roman" w:hAnsi="Times New Roman" w:cs="Times New Roman"/>
          <w:szCs w:val="24"/>
        </w:rPr>
        <w:t xml:space="preserve"> </w:t>
      </w:r>
      <w:r w:rsidRPr="00C63399">
        <w:rPr>
          <w:rFonts w:ascii="Times New Roman" w:hAnsi="Times New Roman" w:cs="Times New Roman"/>
          <w:szCs w:val="24"/>
        </w:rPr>
        <w:t xml:space="preserve">Visa continues to modernize its services by integrating with mobile payment apps and digital wallets. This strategy allows the company to meet the growing consumer demand for faster, more flexible ways to pay, fostering deeper engagement </w:t>
      </w:r>
      <w:r>
        <w:rPr>
          <w:rFonts w:ascii="Times New Roman" w:hAnsi="Times New Roman" w:cs="Times New Roman"/>
          <w:szCs w:val="24"/>
        </w:rPr>
        <w:t>and higher transaction volumes.</w:t>
      </w:r>
    </w:p>
    <w:p w:rsidR="00C63399" w:rsidRDefault="00C63399" w:rsidP="00C63399">
      <w:pPr>
        <w:spacing w:line="360" w:lineRule="auto"/>
        <w:jc w:val="both"/>
        <w:rPr>
          <w:rFonts w:ascii="Times New Roman" w:hAnsi="Times New Roman" w:cs="Times New Roman"/>
          <w:szCs w:val="24"/>
        </w:rPr>
      </w:pPr>
      <w:r w:rsidRPr="00C63399">
        <w:rPr>
          <w:rFonts w:ascii="Times New Roman" w:hAnsi="Times New Roman" w:cs="Times New Roman"/>
          <w:b/>
          <w:szCs w:val="24"/>
        </w:rPr>
        <w:t>Implementation of Advanced Cybersecurity Measures:</w:t>
      </w:r>
      <w:r>
        <w:rPr>
          <w:rFonts w:ascii="Times New Roman" w:hAnsi="Times New Roman" w:cs="Times New Roman"/>
          <w:szCs w:val="24"/>
        </w:rPr>
        <w:t xml:space="preserve"> </w:t>
      </w:r>
      <w:r w:rsidRPr="00C63399">
        <w:rPr>
          <w:rFonts w:ascii="Times New Roman" w:hAnsi="Times New Roman" w:cs="Times New Roman"/>
          <w:szCs w:val="24"/>
        </w:rPr>
        <w:t xml:space="preserve">Visa places strong emphasis on protecting its network from fraud and cyber threats. The recent agreement to acquire </w:t>
      </w:r>
      <w:proofErr w:type="spellStart"/>
      <w:r w:rsidRPr="00C63399">
        <w:rPr>
          <w:rFonts w:ascii="Times New Roman" w:hAnsi="Times New Roman" w:cs="Times New Roman"/>
          <w:szCs w:val="24"/>
        </w:rPr>
        <w:t>Featurespace</w:t>
      </w:r>
      <w:proofErr w:type="spellEnd"/>
      <w:r w:rsidRPr="00C63399">
        <w:rPr>
          <w:rFonts w:ascii="Times New Roman" w:hAnsi="Times New Roman" w:cs="Times New Roman"/>
          <w:szCs w:val="24"/>
        </w:rPr>
        <w:t>, an AI-focused fraud prevention specialist, demonstrates Visa’s commitment to enhancing its security capabilities and building greater trust among users.</w:t>
      </w:r>
    </w:p>
    <w:p w:rsidR="00C63399" w:rsidRPr="00281571" w:rsidRDefault="00C63399" w:rsidP="00C63399">
      <w:pPr>
        <w:spacing w:line="360" w:lineRule="auto"/>
        <w:jc w:val="both"/>
        <w:rPr>
          <w:rFonts w:ascii="Times New Roman" w:hAnsi="Times New Roman" w:cs="Times New Roman"/>
          <w:b/>
          <w:sz w:val="24"/>
          <w:szCs w:val="24"/>
        </w:rPr>
      </w:pPr>
      <w:r w:rsidRPr="00281571">
        <w:rPr>
          <w:rFonts w:ascii="Times New Roman" w:hAnsi="Times New Roman" w:cs="Times New Roman"/>
          <w:b/>
          <w:sz w:val="32"/>
          <w:szCs w:val="24"/>
          <w:u w:val="single"/>
        </w:rPr>
        <w:t>E</w:t>
      </w:r>
      <w:r w:rsidRPr="00281571">
        <w:rPr>
          <w:rFonts w:ascii="Times New Roman" w:hAnsi="Times New Roman" w:cs="Times New Roman"/>
          <w:b/>
          <w:sz w:val="24"/>
          <w:szCs w:val="24"/>
        </w:rPr>
        <w:t>nvironmental</w:t>
      </w:r>
    </w:p>
    <w:p w:rsidR="00281571" w:rsidRPr="00281571" w:rsidRDefault="00281571" w:rsidP="000F3BCD">
      <w:pPr>
        <w:spacing w:after="0" w:line="360" w:lineRule="auto"/>
        <w:jc w:val="both"/>
        <w:rPr>
          <w:rFonts w:ascii="Times New Roman" w:hAnsi="Times New Roman" w:cs="Times New Roman"/>
          <w:szCs w:val="24"/>
        </w:rPr>
      </w:pPr>
      <w:r w:rsidRPr="00281571">
        <w:rPr>
          <w:rFonts w:ascii="Times New Roman" w:hAnsi="Times New Roman" w:cs="Times New Roman"/>
          <w:b/>
          <w:szCs w:val="24"/>
        </w:rPr>
        <w:t>Focus on Reducing Emissions:</w:t>
      </w:r>
      <w:r>
        <w:rPr>
          <w:rFonts w:ascii="Times New Roman" w:hAnsi="Times New Roman" w:cs="Times New Roman"/>
          <w:szCs w:val="24"/>
        </w:rPr>
        <w:t xml:space="preserve"> </w:t>
      </w:r>
      <w:r w:rsidRPr="00281571">
        <w:rPr>
          <w:rFonts w:ascii="Times New Roman" w:hAnsi="Times New Roman" w:cs="Times New Roman"/>
          <w:szCs w:val="24"/>
        </w:rPr>
        <w:t xml:space="preserve">Visa aims to achieve net zero greenhouse gas emissions by 2040 and has already transitioned to 100% renewable electricity for its global operations. These efforts lower its carbon footprint and demonstrate Visa’s commitment to sustainable practices across </w:t>
      </w:r>
      <w:r>
        <w:rPr>
          <w:rFonts w:ascii="Times New Roman" w:hAnsi="Times New Roman" w:cs="Times New Roman"/>
          <w:szCs w:val="24"/>
        </w:rPr>
        <w:t>its entire value chain.</w:t>
      </w:r>
    </w:p>
    <w:p w:rsidR="00C63399" w:rsidRDefault="00281571" w:rsidP="00281571">
      <w:pPr>
        <w:spacing w:line="360" w:lineRule="auto"/>
        <w:jc w:val="both"/>
        <w:rPr>
          <w:rFonts w:ascii="Times New Roman" w:hAnsi="Times New Roman" w:cs="Times New Roman"/>
          <w:szCs w:val="24"/>
        </w:rPr>
      </w:pPr>
      <w:r w:rsidRPr="00281571">
        <w:rPr>
          <w:rFonts w:ascii="Times New Roman" w:hAnsi="Times New Roman" w:cs="Times New Roman"/>
          <w:b/>
          <w:szCs w:val="24"/>
        </w:rPr>
        <w:t>Expanding ESG Commitments:</w:t>
      </w:r>
      <w:r>
        <w:rPr>
          <w:rFonts w:ascii="Times New Roman" w:hAnsi="Times New Roman" w:cs="Times New Roman"/>
          <w:szCs w:val="24"/>
        </w:rPr>
        <w:t xml:space="preserve"> </w:t>
      </w:r>
      <w:r w:rsidRPr="00281571">
        <w:rPr>
          <w:rFonts w:ascii="Times New Roman" w:hAnsi="Times New Roman" w:cs="Times New Roman"/>
          <w:szCs w:val="24"/>
        </w:rPr>
        <w:t>In 2024, Visa spent $200 million on environmental compliance initiatives, published its first comprehensive sustainability report, and facilitated over $1 billion in green financing transactions. The company also invested $300 million in sustainable payment technologies, underscoring its push to integrate eco-friendly solutions throughout the payment ecosystem.</w:t>
      </w:r>
    </w:p>
    <w:p w:rsidR="000F3BCD" w:rsidRDefault="000F3BCD" w:rsidP="00281571">
      <w:pPr>
        <w:spacing w:line="360" w:lineRule="auto"/>
        <w:jc w:val="both"/>
        <w:rPr>
          <w:rFonts w:ascii="Times New Roman" w:hAnsi="Times New Roman" w:cs="Times New Roman"/>
          <w:szCs w:val="24"/>
        </w:rPr>
      </w:pPr>
    </w:p>
    <w:p w:rsidR="00281571" w:rsidRPr="00281571" w:rsidRDefault="00281571" w:rsidP="00281571">
      <w:pPr>
        <w:spacing w:line="360" w:lineRule="auto"/>
        <w:jc w:val="both"/>
        <w:rPr>
          <w:rFonts w:ascii="Times New Roman" w:hAnsi="Times New Roman" w:cs="Times New Roman"/>
          <w:b/>
          <w:sz w:val="24"/>
          <w:szCs w:val="24"/>
        </w:rPr>
      </w:pPr>
      <w:r w:rsidRPr="00281571">
        <w:rPr>
          <w:rFonts w:ascii="Times New Roman" w:hAnsi="Times New Roman" w:cs="Times New Roman"/>
          <w:b/>
          <w:sz w:val="32"/>
          <w:szCs w:val="24"/>
          <w:u w:val="single"/>
        </w:rPr>
        <w:lastRenderedPageBreak/>
        <w:t>L</w:t>
      </w:r>
      <w:r w:rsidRPr="00281571">
        <w:rPr>
          <w:rFonts w:ascii="Times New Roman" w:hAnsi="Times New Roman" w:cs="Times New Roman"/>
          <w:b/>
          <w:sz w:val="24"/>
          <w:szCs w:val="24"/>
        </w:rPr>
        <w:t>egal</w:t>
      </w:r>
    </w:p>
    <w:p w:rsidR="00281571" w:rsidRPr="00281571" w:rsidRDefault="00281571" w:rsidP="00281571">
      <w:pPr>
        <w:spacing w:line="360" w:lineRule="auto"/>
        <w:jc w:val="both"/>
        <w:rPr>
          <w:rFonts w:ascii="Times New Roman" w:hAnsi="Times New Roman" w:cs="Times New Roman"/>
          <w:szCs w:val="24"/>
        </w:rPr>
      </w:pPr>
      <w:r w:rsidRPr="00281571">
        <w:rPr>
          <w:rFonts w:ascii="Times New Roman" w:hAnsi="Times New Roman" w:cs="Times New Roman"/>
          <w:b/>
          <w:szCs w:val="24"/>
        </w:rPr>
        <w:t>Compliance with Anti-Money Laundering Regulations:</w:t>
      </w:r>
      <w:r>
        <w:rPr>
          <w:rFonts w:ascii="Times New Roman" w:hAnsi="Times New Roman" w:cs="Times New Roman"/>
          <w:szCs w:val="24"/>
        </w:rPr>
        <w:t xml:space="preserve"> </w:t>
      </w:r>
      <w:r w:rsidRPr="00281571">
        <w:rPr>
          <w:rFonts w:ascii="Times New Roman" w:hAnsi="Times New Roman" w:cs="Times New Roman"/>
          <w:szCs w:val="24"/>
        </w:rPr>
        <w:t>Visa follows strict AML rules across different regions. It invests heavily in technologies and systems to meet obligations under laws such as the Bank Secrecy Act and USA PATRIOT Act. In 2024, Visa allocated about $800 million toward AML initiatives, indicating the company’s serious stance on preventing</w:t>
      </w:r>
      <w:r>
        <w:rPr>
          <w:rFonts w:ascii="Times New Roman" w:hAnsi="Times New Roman" w:cs="Times New Roman"/>
          <w:szCs w:val="24"/>
        </w:rPr>
        <w:t xml:space="preserve"> illicit financial activities.</w:t>
      </w:r>
    </w:p>
    <w:p w:rsidR="00281571" w:rsidRDefault="00281571" w:rsidP="00281571">
      <w:pPr>
        <w:spacing w:line="360" w:lineRule="auto"/>
        <w:jc w:val="both"/>
        <w:rPr>
          <w:rFonts w:ascii="Times New Roman" w:hAnsi="Times New Roman" w:cs="Times New Roman"/>
          <w:szCs w:val="24"/>
        </w:rPr>
      </w:pPr>
      <w:r w:rsidRPr="00281571">
        <w:rPr>
          <w:rFonts w:ascii="Times New Roman" w:hAnsi="Times New Roman" w:cs="Times New Roman"/>
          <w:b/>
          <w:szCs w:val="24"/>
        </w:rPr>
        <w:t>Stronger Data Privacy Laws:</w:t>
      </w:r>
      <w:r>
        <w:rPr>
          <w:rFonts w:ascii="Times New Roman" w:hAnsi="Times New Roman" w:cs="Times New Roman"/>
          <w:szCs w:val="24"/>
        </w:rPr>
        <w:t xml:space="preserve"> </w:t>
      </w:r>
      <w:r w:rsidRPr="00281571">
        <w:rPr>
          <w:rFonts w:ascii="Times New Roman" w:hAnsi="Times New Roman" w:cs="Times New Roman"/>
          <w:szCs w:val="24"/>
        </w:rPr>
        <w:t>Visa adheres to consumer protection guidelines worldwide, including stringent data privacy regulations like the EU’s GDPR. In 2024, it spent $150 million on compliance and training programs to meet these standards. Robust consumer protection measures further build trust and satisfaction among Visa’s global user base.</w:t>
      </w:r>
    </w:p>
    <w:p w:rsidR="000F3BCD" w:rsidRPr="000F3BCD" w:rsidRDefault="000F3BCD" w:rsidP="000F3BCD">
      <w:pPr>
        <w:spacing w:line="360" w:lineRule="auto"/>
        <w:jc w:val="both"/>
        <w:rPr>
          <w:rFonts w:ascii="Times New Roman" w:hAnsi="Times New Roman" w:cs="Times New Roman"/>
          <w:b/>
          <w:sz w:val="32"/>
          <w:szCs w:val="24"/>
        </w:rPr>
      </w:pPr>
      <w:r w:rsidRPr="000F3BCD">
        <w:rPr>
          <w:rFonts w:ascii="Times New Roman" w:hAnsi="Times New Roman" w:cs="Times New Roman"/>
          <w:b/>
          <w:sz w:val="32"/>
          <w:szCs w:val="24"/>
        </w:rPr>
        <w:t>Competitive Environment Analysis</w:t>
      </w:r>
    </w:p>
    <w:p w:rsidR="000F3BCD" w:rsidRPr="000F3BCD" w:rsidRDefault="000F3BCD" w:rsidP="000F3BCD">
      <w:pPr>
        <w:spacing w:line="360" w:lineRule="auto"/>
        <w:jc w:val="both"/>
        <w:rPr>
          <w:rFonts w:ascii="Times New Roman" w:hAnsi="Times New Roman" w:cs="Times New Roman"/>
          <w:b/>
          <w:sz w:val="24"/>
          <w:szCs w:val="24"/>
        </w:rPr>
      </w:pPr>
      <w:r w:rsidRPr="000F3BCD">
        <w:rPr>
          <w:rFonts w:ascii="Times New Roman" w:hAnsi="Times New Roman" w:cs="Times New Roman"/>
          <w:b/>
          <w:sz w:val="24"/>
          <w:szCs w:val="24"/>
        </w:rPr>
        <w:t xml:space="preserve">Visa, </w:t>
      </w:r>
      <w:proofErr w:type="spellStart"/>
      <w:r w:rsidRPr="000F3BCD">
        <w:rPr>
          <w:rFonts w:ascii="Times New Roman" w:hAnsi="Times New Roman" w:cs="Times New Roman"/>
          <w:b/>
          <w:sz w:val="24"/>
          <w:szCs w:val="24"/>
        </w:rPr>
        <w:t>Mastercard</w:t>
      </w:r>
      <w:proofErr w:type="spellEnd"/>
      <w:r w:rsidRPr="000F3BCD">
        <w:rPr>
          <w:rFonts w:ascii="Times New Roman" w:hAnsi="Times New Roman" w:cs="Times New Roman"/>
          <w:b/>
          <w:sz w:val="24"/>
          <w:szCs w:val="24"/>
        </w:rPr>
        <w:t>, and American Express domi</w:t>
      </w:r>
      <w:r w:rsidRPr="000F3BCD">
        <w:rPr>
          <w:rFonts w:ascii="Times New Roman" w:hAnsi="Times New Roman" w:cs="Times New Roman"/>
          <w:b/>
          <w:sz w:val="24"/>
          <w:szCs w:val="24"/>
        </w:rPr>
        <w:t>nate the global payments space:</w:t>
      </w:r>
    </w:p>
    <w:p w:rsidR="000F3BCD" w:rsidRPr="000F3BCD" w:rsidRDefault="000F3BCD" w:rsidP="000F3BCD">
      <w:pPr>
        <w:pStyle w:val="ListParagraph"/>
        <w:numPr>
          <w:ilvl w:val="0"/>
          <w:numId w:val="8"/>
        </w:numPr>
        <w:spacing w:line="360" w:lineRule="auto"/>
        <w:jc w:val="both"/>
        <w:rPr>
          <w:rFonts w:ascii="Times New Roman" w:hAnsi="Times New Roman" w:cs="Times New Roman"/>
          <w:szCs w:val="24"/>
        </w:rPr>
      </w:pPr>
      <w:r w:rsidRPr="000F3BCD">
        <w:rPr>
          <w:rFonts w:ascii="Times New Roman" w:hAnsi="Times New Roman" w:cs="Times New Roman"/>
          <w:b/>
          <w:szCs w:val="24"/>
        </w:rPr>
        <w:t xml:space="preserve">Visa vs. </w:t>
      </w:r>
      <w:proofErr w:type="spellStart"/>
      <w:r w:rsidRPr="000F3BCD">
        <w:rPr>
          <w:rFonts w:ascii="Times New Roman" w:hAnsi="Times New Roman" w:cs="Times New Roman"/>
          <w:b/>
          <w:szCs w:val="24"/>
        </w:rPr>
        <w:t>Mastercard</w:t>
      </w:r>
      <w:proofErr w:type="spellEnd"/>
      <w:r w:rsidRPr="000F3BCD">
        <w:rPr>
          <w:rFonts w:ascii="Times New Roman" w:hAnsi="Times New Roman" w:cs="Times New Roman"/>
          <w:b/>
          <w:szCs w:val="24"/>
        </w:rPr>
        <w:t>:</w:t>
      </w:r>
      <w:r w:rsidRPr="000F3BCD">
        <w:rPr>
          <w:rFonts w:ascii="Times New Roman" w:hAnsi="Times New Roman" w:cs="Times New Roman"/>
          <w:szCs w:val="24"/>
        </w:rPr>
        <w:t xml:space="preserve"> Both run “open-loop” systems, mainly earning money from transaction and service fees. They compete for co-branded deals with banks and merchants.</w:t>
      </w:r>
    </w:p>
    <w:p w:rsidR="000F3BCD" w:rsidRPr="000F3BCD" w:rsidRDefault="000F3BCD" w:rsidP="000F3BCD">
      <w:pPr>
        <w:pStyle w:val="ListParagraph"/>
        <w:numPr>
          <w:ilvl w:val="0"/>
          <w:numId w:val="8"/>
        </w:numPr>
        <w:spacing w:line="360" w:lineRule="auto"/>
        <w:jc w:val="both"/>
        <w:rPr>
          <w:rFonts w:ascii="Times New Roman" w:hAnsi="Times New Roman" w:cs="Times New Roman"/>
          <w:szCs w:val="24"/>
        </w:rPr>
      </w:pPr>
      <w:r w:rsidRPr="000F3BCD">
        <w:rPr>
          <w:rFonts w:ascii="Times New Roman" w:hAnsi="Times New Roman" w:cs="Times New Roman"/>
          <w:b/>
          <w:szCs w:val="24"/>
        </w:rPr>
        <w:t>Visa vs. American Express:</w:t>
      </w:r>
      <w:r w:rsidRPr="000F3BCD">
        <w:rPr>
          <w:rFonts w:ascii="Times New Roman" w:hAnsi="Times New Roman" w:cs="Times New Roman"/>
          <w:szCs w:val="24"/>
        </w:rPr>
        <w:t xml:space="preserve"> American Expr</w:t>
      </w:r>
      <w:r w:rsidR="00AE2AA8">
        <w:rPr>
          <w:rFonts w:ascii="Times New Roman" w:hAnsi="Times New Roman" w:cs="Times New Roman"/>
          <w:szCs w:val="24"/>
        </w:rPr>
        <w:t xml:space="preserve">ess uses a “closed-loop” system, </w:t>
      </w:r>
      <w:r w:rsidRPr="000F3BCD">
        <w:rPr>
          <w:rFonts w:ascii="Times New Roman" w:hAnsi="Times New Roman" w:cs="Times New Roman"/>
          <w:szCs w:val="24"/>
        </w:rPr>
        <w:t>issuing cards itself and managing both sides of the transaction. While Amex has strong rewards and premium offerings, it has fewer merchants globally compared to Visa.</w:t>
      </w:r>
    </w:p>
    <w:p w:rsidR="000F3BCD" w:rsidRPr="000F3BCD" w:rsidRDefault="000F3BCD" w:rsidP="000F3BCD">
      <w:pPr>
        <w:spacing w:line="360" w:lineRule="auto"/>
        <w:jc w:val="both"/>
        <w:rPr>
          <w:rFonts w:ascii="Times New Roman" w:hAnsi="Times New Roman" w:cs="Times New Roman"/>
          <w:b/>
          <w:szCs w:val="24"/>
        </w:rPr>
      </w:pPr>
      <w:r w:rsidRPr="000F3BCD">
        <w:rPr>
          <w:rFonts w:ascii="Times New Roman" w:hAnsi="Times New Roman" w:cs="Times New Roman"/>
          <w:b/>
          <w:szCs w:val="24"/>
        </w:rPr>
        <w:t>Performance &amp; Strategy:</w:t>
      </w:r>
    </w:p>
    <w:p w:rsidR="000F3BCD" w:rsidRPr="000F3BCD" w:rsidRDefault="000F3BCD" w:rsidP="000F3BCD">
      <w:pPr>
        <w:pStyle w:val="ListParagraph"/>
        <w:numPr>
          <w:ilvl w:val="0"/>
          <w:numId w:val="9"/>
        </w:numPr>
        <w:spacing w:line="360" w:lineRule="auto"/>
        <w:jc w:val="both"/>
        <w:rPr>
          <w:rFonts w:ascii="Times New Roman" w:hAnsi="Times New Roman" w:cs="Times New Roman"/>
          <w:szCs w:val="24"/>
        </w:rPr>
      </w:pPr>
      <w:r w:rsidRPr="000F3BCD">
        <w:rPr>
          <w:rFonts w:ascii="Times New Roman" w:hAnsi="Times New Roman" w:cs="Times New Roman"/>
          <w:szCs w:val="24"/>
        </w:rPr>
        <w:t>Visa maintains high profit margins due to its large scale and strong brand.</w:t>
      </w:r>
    </w:p>
    <w:p w:rsidR="000F3BCD" w:rsidRPr="000F3BCD" w:rsidRDefault="000F3BCD" w:rsidP="000F3BCD">
      <w:pPr>
        <w:pStyle w:val="ListParagraph"/>
        <w:numPr>
          <w:ilvl w:val="0"/>
          <w:numId w:val="9"/>
        </w:numPr>
        <w:spacing w:line="360" w:lineRule="auto"/>
        <w:jc w:val="both"/>
        <w:rPr>
          <w:rFonts w:ascii="Times New Roman" w:hAnsi="Times New Roman" w:cs="Times New Roman"/>
          <w:szCs w:val="24"/>
        </w:rPr>
      </w:pPr>
      <w:proofErr w:type="spellStart"/>
      <w:r w:rsidRPr="000F3BCD">
        <w:rPr>
          <w:rFonts w:ascii="Times New Roman" w:hAnsi="Times New Roman" w:cs="Times New Roman"/>
          <w:szCs w:val="24"/>
        </w:rPr>
        <w:t>Mastercard</w:t>
      </w:r>
      <w:proofErr w:type="spellEnd"/>
      <w:r w:rsidRPr="000F3BCD">
        <w:rPr>
          <w:rFonts w:ascii="Times New Roman" w:hAnsi="Times New Roman" w:cs="Times New Roman"/>
          <w:szCs w:val="24"/>
        </w:rPr>
        <w:t xml:space="preserve"> mirrors Visa’s asset-light model and also partners with </w:t>
      </w:r>
      <w:proofErr w:type="spellStart"/>
      <w:r w:rsidRPr="000F3BCD">
        <w:rPr>
          <w:rFonts w:ascii="Times New Roman" w:hAnsi="Times New Roman" w:cs="Times New Roman"/>
          <w:szCs w:val="24"/>
        </w:rPr>
        <w:t>fintechs</w:t>
      </w:r>
      <w:proofErr w:type="spellEnd"/>
      <w:r w:rsidRPr="000F3BCD">
        <w:rPr>
          <w:rFonts w:ascii="Times New Roman" w:hAnsi="Times New Roman" w:cs="Times New Roman"/>
          <w:szCs w:val="24"/>
        </w:rPr>
        <w:t xml:space="preserve"> to stay competitive.</w:t>
      </w:r>
    </w:p>
    <w:p w:rsidR="000F3BCD" w:rsidRPr="000F3BCD" w:rsidRDefault="000F3BCD" w:rsidP="000F3BCD">
      <w:pPr>
        <w:pStyle w:val="ListParagraph"/>
        <w:numPr>
          <w:ilvl w:val="0"/>
          <w:numId w:val="9"/>
        </w:numPr>
        <w:spacing w:line="360" w:lineRule="auto"/>
        <w:jc w:val="both"/>
        <w:rPr>
          <w:rFonts w:ascii="Times New Roman" w:hAnsi="Times New Roman" w:cs="Times New Roman"/>
          <w:szCs w:val="24"/>
        </w:rPr>
      </w:pPr>
      <w:r w:rsidRPr="000F3BCD">
        <w:rPr>
          <w:rFonts w:ascii="Times New Roman" w:hAnsi="Times New Roman" w:cs="Times New Roman"/>
          <w:szCs w:val="24"/>
        </w:rPr>
        <w:t>Amex benefits from its direct relationship with cardholders but is more exposed to credit risk and slower global merchant adoption.</w:t>
      </w:r>
    </w:p>
    <w:p w:rsidR="000F3BCD" w:rsidRDefault="000F3BCD" w:rsidP="000F3BCD">
      <w:pPr>
        <w:spacing w:line="360" w:lineRule="auto"/>
        <w:jc w:val="both"/>
        <w:rPr>
          <w:rFonts w:ascii="Times New Roman" w:hAnsi="Times New Roman" w:cs="Times New Roman"/>
          <w:szCs w:val="24"/>
        </w:rPr>
      </w:pPr>
      <w:r w:rsidRPr="000F3BCD">
        <w:rPr>
          <w:rFonts w:ascii="Times New Roman" w:hAnsi="Times New Roman" w:cs="Times New Roman"/>
          <w:szCs w:val="24"/>
        </w:rPr>
        <w:t xml:space="preserve">Visa’s strategy centers on network expansion, technology investment, and </w:t>
      </w:r>
      <w:proofErr w:type="spellStart"/>
      <w:r w:rsidRPr="000F3BCD">
        <w:rPr>
          <w:rFonts w:ascii="Times New Roman" w:hAnsi="Times New Roman" w:cs="Times New Roman"/>
          <w:szCs w:val="24"/>
        </w:rPr>
        <w:t>fintech</w:t>
      </w:r>
      <w:proofErr w:type="spellEnd"/>
      <w:r w:rsidRPr="000F3BCD">
        <w:rPr>
          <w:rFonts w:ascii="Times New Roman" w:hAnsi="Times New Roman" w:cs="Times New Roman"/>
          <w:szCs w:val="24"/>
        </w:rPr>
        <w:t xml:space="preserve"> collaboration. Its “network of networks” approach positions Visa </w:t>
      </w:r>
      <w:r w:rsidR="00AE2AA8">
        <w:rPr>
          <w:rFonts w:ascii="Times New Roman" w:hAnsi="Times New Roman" w:cs="Times New Roman"/>
          <w:szCs w:val="24"/>
        </w:rPr>
        <w:t xml:space="preserve">to serve many transaction types - </w:t>
      </w:r>
      <w:r w:rsidRPr="000F3BCD">
        <w:rPr>
          <w:rFonts w:ascii="Times New Roman" w:hAnsi="Times New Roman" w:cs="Times New Roman"/>
          <w:szCs w:val="24"/>
        </w:rPr>
        <w:t>like consumer-to-business, business-to-busin</w:t>
      </w:r>
      <w:r w:rsidR="00AE2AA8">
        <w:rPr>
          <w:rFonts w:ascii="Times New Roman" w:hAnsi="Times New Roman" w:cs="Times New Roman"/>
          <w:szCs w:val="24"/>
        </w:rPr>
        <w:t xml:space="preserve">ess, and government-to-consumer </w:t>
      </w:r>
      <w:r w:rsidRPr="000F3BCD">
        <w:rPr>
          <w:rFonts w:ascii="Times New Roman" w:hAnsi="Times New Roman" w:cs="Times New Roman"/>
          <w:szCs w:val="24"/>
        </w:rPr>
        <w:t>and capture new opportunities in emerging markets.</w:t>
      </w:r>
    </w:p>
    <w:p w:rsidR="00281571" w:rsidRPr="0051267D" w:rsidRDefault="000F3BCD" w:rsidP="00281571">
      <w:pPr>
        <w:spacing w:line="360" w:lineRule="auto"/>
        <w:jc w:val="both"/>
        <w:rPr>
          <w:rFonts w:ascii="Times New Roman" w:hAnsi="Times New Roman" w:cs="Times New Roman"/>
          <w:szCs w:val="24"/>
        </w:rPr>
      </w:pPr>
      <w:r w:rsidRPr="000F3BCD">
        <w:rPr>
          <w:rFonts w:ascii="Times New Roman" w:hAnsi="Times New Roman" w:cs="Times New Roman"/>
          <w:szCs w:val="24"/>
        </w:rPr>
        <w:t xml:space="preserve">Visa’s broad acceptance network and brand equity position it favorably against both </w:t>
      </w:r>
      <w:proofErr w:type="spellStart"/>
      <w:r w:rsidRPr="000F3BCD">
        <w:rPr>
          <w:rFonts w:ascii="Times New Roman" w:hAnsi="Times New Roman" w:cs="Times New Roman"/>
          <w:szCs w:val="24"/>
        </w:rPr>
        <w:t>Mastercard</w:t>
      </w:r>
      <w:proofErr w:type="spellEnd"/>
      <w:r w:rsidRPr="000F3BCD">
        <w:rPr>
          <w:rFonts w:ascii="Times New Roman" w:hAnsi="Times New Roman" w:cs="Times New Roman"/>
          <w:szCs w:val="24"/>
        </w:rPr>
        <w:t xml:space="preserve"> and American Express. While </w:t>
      </w:r>
      <w:proofErr w:type="spellStart"/>
      <w:r w:rsidRPr="000F3BCD">
        <w:rPr>
          <w:rFonts w:ascii="Times New Roman" w:hAnsi="Times New Roman" w:cs="Times New Roman"/>
          <w:szCs w:val="24"/>
        </w:rPr>
        <w:t>Mastercard’s</w:t>
      </w:r>
      <w:proofErr w:type="spellEnd"/>
      <w:r w:rsidRPr="000F3BCD">
        <w:rPr>
          <w:rFonts w:ascii="Times New Roman" w:hAnsi="Times New Roman" w:cs="Times New Roman"/>
          <w:szCs w:val="24"/>
        </w:rPr>
        <w:t xml:space="preserve"> open-loop model mirrors Visa’s in many ways, Visa’s transaction volumes often outpace </w:t>
      </w:r>
      <w:proofErr w:type="spellStart"/>
      <w:r w:rsidRPr="000F3BCD">
        <w:rPr>
          <w:rFonts w:ascii="Times New Roman" w:hAnsi="Times New Roman" w:cs="Times New Roman"/>
          <w:szCs w:val="24"/>
        </w:rPr>
        <w:t>Mastercard’s</w:t>
      </w:r>
      <w:proofErr w:type="spellEnd"/>
      <w:r w:rsidRPr="000F3BCD">
        <w:rPr>
          <w:rFonts w:ascii="Times New Roman" w:hAnsi="Times New Roman" w:cs="Times New Roman"/>
          <w:szCs w:val="24"/>
        </w:rPr>
        <w:t xml:space="preserve"> due to its extensive global partnerships and marketing initiatives. This scale not only drives higher profit margins but also gives Visa the flexibility to invest heavily in emerging technologies. Meanwhile, American Express relies on premium rewards and direct cardholder relationships to foster loyalty, yet its higher fees and smaller merchant network may limit its reach. Visa’s ongoing focus on </w:t>
      </w:r>
      <w:proofErr w:type="spellStart"/>
      <w:r w:rsidRPr="000F3BCD">
        <w:rPr>
          <w:rFonts w:ascii="Times New Roman" w:hAnsi="Times New Roman" w:cs="Times New Roman"/>
          <w:szCs w:val="24"/>
        </w:rPr>
        <w:t>fintech</w:t>
      </w:r>
      <w:proofErr w:type="spellEnd"/>
      <w:r w:rsidRPr="000F3BCD">
        <w:rPr>
          <w:rFonts w:ascii="Times New Roman" w:hAnsi="Times New Roman" w:cs="Times New Roman"/>
          <w:szCs w:val="24"/>
        </w:rPr>
        <w:t xml:space="preserve"> part</w:t>
      </w:r>
      <w:r w:rsidR="00AE2AA8">
        <w:rPr>
          <w:rFonts w:ascii="Times New Roman" w:hAnsi="Times New Roman" w:cs="Times New Roman"/>
          <w:szCs w:val="24"/>
        </w:rPr>
        <w:t xml:space="preserve">nerships and digital innovation, </w:t>
      </w:r>
      <w:r w:rsidRPr="000F3BCD">
        <w:rPr>
          <w:rFonts w:ascii="Times New Roman" w:hAnsi="Times New Roman" w:cs="Times New Roman"/>
          <w:szCs w:val="24"/>
        </w:rPr>
        <w:t>including contac</w:t>
      </w:r>
      <w:r w:rsidR="00AE2AA8">
        <w:rPr>
          <w:rFonts w:ascii="Times New Roman" w:hAnsi="Times New Roman" w:cs="Times New Roman"/>
          <w:szCs w:val="24"/>
        </w:rPr>
        <w:t xml:space="preserve">tless payments and tokenization, </w:t>
      </w:r>
      <w:r w:rsidRPr="000F3BCD">
        <w:rPr>
          <w:rFonts w:ascii="Times New Roman" w:hAnsi="Times New Roman" w:cs="Times New Roman"/>
          <w:szCs w:val="24"/>
        </w:rPr>
        <w:t>further cements its leadership. By expanding into underbanked regions and diversifying payment channels, Visa seeks sustained, long-term growth in an increasingly competitive payments landscape.</w:t>
      </w:r>
      <w:bookmarkStart w:id="0" w:name="_GoBack"/>
      <w:bookmarkEnd w:id="0"/>
    </w:p>
    <w:sectPr w:rsidR="00281571" w:rsidRPr="0051267D" w:rsidSect="00CD69A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B66B1D"/>
    <w:multiLevelType w:val="hybridMultilevel"/>
    <w:tmpl w:val="EF22B1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7CB5A56"/>
    <w:multiLevelType w:val="hybridMultilevel"/>
    <w:tmpl w:val="980206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ADD2730"/>
    <w:multiLevelType w:val="hybridMultilevel"/>
    <w:tmpl w:val="247290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66E4909"/>
    <w:multiLevelType w:val="hybridMultilevel"/>
    <w:tmpl w:val="4A9A86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9A65FE2"/>
    <w:multiLevelType w:val="hybridMultilevel"/>
    <w:tmpl w:val="62D644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909222A"/>
    <w:multiLevelType w:val="hybridMultilevel"/>
    <w:tmpl w:val="A4F4B3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C4F7023"/>
    <w:multiLevelType w:val="hybridMultilevel"/>
    <w:tmpl w:val="8A3471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747D342B"/>
    <w:multiLevelType w:val="hybridMultilevel"/>
    <w:tmpl w:val="21BEC2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7F460706"/>
    <w:multiLevelType w:val="hybridMultilevel"/>
    <w:tmpl w:val="25ACAA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4"/>
  </w:num>
  <w:num w:numId="3">
    <w:abstractNumId w:val="0"/>
  </w:num>
  <w:num w:numId="4">
    <w:abstractNumId w:val="6"/>
  </w:num>
  <w:num w:numId="5">
    <w:abstractNumId w:val="3"/>
  </w:num>
  <w:num w:numId="6">
    <w:abstractNumId w:val="5"/>
  </w:num>
  <w:num w:numId="7">
    <w:abstractNumId w:val="8"/>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2EE6"/>
    <w:rsid w:val="00065EAC"/>
    <w:rsid w:val="000677B3"/>
    <w:rsid w:val="000716B7"/>
    <w:rsid w:val="000F3BCD"/>
    <w:rsid w:val="00143CD8"/>
    <w:rsid w:val="00281571"/>
    <w:rsid w:val="003B2EE6"/>
    <w:rsid w:val="0051267D"/>
    <w:rsid w:val="005276D6"/>
    <w:rsid w:val="005D632B"/>
    <w:rsid w:val="00657CE2"/>
    <w:rsid w:val="009A7A01"/>
    <w:rsid w:val="009B4CE6"/>
    <w:rsid w:val="00AE2AA8"/>
    <w:rsid w:val="00C63399"/>
    <w:rsid w:val="00CD69A4"/>
    <w:rsid w:val="00E83131"/>
    <w:rsid w:val="00ED2F9D"/>
    <w:rsid w:val="00F43FD1"/>
    <w:rsid w:val="00FB63F1"/>
    <w:rsid w:val="00FD34C0"/>
    <w:rsid w:val="00FF1A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C29CC0"/>
  <w15:chartTrackingRefBased/>
  <w15:docId w15:val="{F10D7AAC-6C29-41F1-9900-1A98CFD1B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3FD1"/>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7C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055462">
      <w:bodyDiv w:val="1"/>
      <w:marLeft w:val="0"/>
      <w:marRight w:val="0"/>
      <w:marTop w:val="0"/>
      <w:marBottom w:val="0"/>
      <w:divBdr>
        <w:top w:val="none" w:sz="0" w:space="0" w:color="auto"/>
        <w:left w:val="none" w:sz="0" w:space="0" w:color="auto"/>
        <w:bottom w:val="none" w:sz="0" w:space="0" w:color="auto"/>
        <w:right w:val="none" w:sz="0" w:space="0" w:color="auto"/>
      </w:divBdr>
    </w:div>
    <w:div w:id="1958675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Colors" Target="diagrams/colors1.xml"/><Relationship Id="rId3" Type="http://schemas.openxmlformats.org/officeDocument/2006/relationships/settings" Target="settings.xml"/><Relationship Id="rId7" Type="http://schemas.openxmlformats.org/officeDocument/2006/relationships/diagramQuickStyle" Target="diagrams/quickStyl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diagramLayout" Target="diagrams/layout1.xml"/><Relationship Id="rId11" Type="http://schemas.openxmlformats.org/officeDocument/2006/relationships/theme" Target="theme/theme1.xml"/><Relationship Id="rId5" Type="http://schemas.openxmlformats.org/officeDocument/2006/relationships/diagramData" Target="diagrams/data1.xml"/><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3CF2C6D-5D27-41A2-BD26-7B154BFA117A}" type="doc">
      <dgm:prSet loTypeId="urn:microsoft.com/office/officeart/2005/8/layout/matrix2" loCatId="matrix" qsTypeId="urn:microsoft.com/office/officeart/2005/8/quickstyle/simple1" qsCatId="simple" csTypeId="urn:microsoft.com/office/officeart/2005/8/colors/colorful1" csCatId="colorful" phldr="1"/>
      <dgm:spPr/>
      <dgm:t>
        <a:bodyPr/>
        <a:lstStyle/>
        <a:p>
          <a:endParaRPr lang="en-US"/>
        </a:p>
      </dgm:t>
    </dgm:pt>
    <dgm:pt modelId="{870BA82C-4CF7-4F33-94DE-D0AF6703EAAC}">
      <dgm:prSet phldrT="[Text]" custT="1"/>
      <dgm:spPr>
        <a:solidFill>
          <a:schemeClr val="accent6"/>
        </a:solidFill>
      </dgm:spPr>
      <dgm:t>
        <a:bodyPr/>
        <a:lstStyle/>
        <a:p>
          <a:pPr algn="l"/>
          <a:r>
            <a:rPr lang="en-US" sz="1400" b="1"/>
            <a:t>Strengths:</a:t>
          </a:r>
        </a:p>
        <a:p>
          <a:pPr algn="l"/>
          <a:r>
            <a:rPr lang="en-US" sz="1200"/>
            <a:t>Global brand</a:t>
          </a:r>
        </a:p>
        <a:p>
          <a:pPr algn="l"/>
          <a:r>
            <a:rPr lang="en-US" sz="1200"/>
            <a:t>Largest Market Share</a:t>
          </a:r>
        </a:p>
        <a:p>
          <a:pPr algn="l"/>
          <a:r>
            <a:rPr lang="en-US" sz="1200"/>
            <a:t>Scalable Technology</a:t>
          </a:r>
        </a:p>
      </dgm:t>
    </dgm:pt>
    <dgm:pt modelId="{439522C8-C078-4188-B103-23380F06CE9D}" type="parTrans" cxnId="{8F36388E-88AB-4CA7-BDD1-402002B680AE}">
      <dgm:prSet/>
      <dgm:spPr/>
      <dgm:t>
        <a:bodyPr/>
        <a:lstStyle/>
        <a:p>
          <a:endParaRPr lang="en-US"/>
        </a:p>
      </dgm:t>
    </dgm:pt>
    <dgm:pt modelId="{0884A19E-E9D9-47B9-90E1-03845F94471E}" type="sibTrans" cxnId="{8F36388E-88AB-4CA7-BDD1-402002B680AE}">
      <dgm:prSet/>
      <dgm:spPr/>
      <dgm:t>
        <a:bodyPr/>
        <a:lstStyle/>
        <a:p>
          <a:endParaRPr lang="en-US"/>
        </a:p>
      </dgm:t>
    </dgm:pt>
    <dgm:pt modelId="{687C682F-9B24-486D-BC01-2006FFBB8903}">
      <dgm:prSet phldrT="[Text]" custT="1"/>
      <dgm:spPr>
        <a:solidFill>
          <a:schemeClr val="accent2"/>
        </a:solidFill>
      </dgm:spPr>
      <dgm:t>
        <a:bodyPr/>
        <a:lstStyle/>
        <a:p>
          <a:pPr algn="l"/>
          <a:r>
            <a:rPr lang="en-US" sz="1400" b="1"/>
            <a:t>Weaknesses:</a:t>
          </a:r>
        </a:p>
        <a:p>
          <a:pPr algn="l"/>
          <a:r>
            <a:rPr lang="en-US" sz="1200"/>
            <a:t>Tied to Consumer Spending</a:t>
          </a:r>
        </a:p>
        <a:p>
          <a:pPr algn="l"/>
          <a:r>
            <a:rPr lang="en-US" sz="1200"/>
            <a:t>Risks &amp; Hazards</a:t>
          </a:r>
        </a:p>
        <a:p>
          <a:pPr algn="l"/>
          <a:r>
            <a:rPr lang="en-US" sz="1200"/>
            <a:t>High Operating Costs</a:t>
          </a:r>
        </a:p>
      </dgm:t>
    </dgm:pt>
    <dgm:pt modelId="{C0E86743-1F94-4AB1-BC70-6ECDD40703F9}" type="parTrans" cxnId="{F42B5C3F-AE81-4090-8E92-6461E0F86634}">
      <dgm:prSet/>
      <dgm:spPr/>
      <dgm:t>
        <a:bodyPr/>
        <a:lstStyle/>
        <a:p>
          <a:endParaRPr lang="en-US"/>
        </a:p>
      </dgm:t>
    </dgm:pt>
    <dgm:pt modelId="{233C1E25-800C-4BC2-ABA6-3816BF38548B}" type="sibTrans" cxnId="{F42B5C3F-AE81-4090-8E92-6461E0F86634}">
      <dgm:prSet/>
      <dgm:spPr/>
      <dgm:t>
        <a:bodyPr/>
        <a:lstStyle/>
        <a:p>
          <a:endParaRPr lang="en-US"/>
        </a:p>
      </dgm:t>
    </dgm:pt>
    <dgm:pt modelId="{DC49D8E0-FE82-4DE2-AAF0-31FF69F87902}">
      <dgm:prSet phldrT="[Text]" custT="1"/>
      <dgm:spPr>
        <a:solidFill>
          <a:schemeClr val="accent5"/>
        </a:solidFill>
      </dgm:spPr>
      <dgm:t>
        <a:bodyPr/>
        <a:lstStyle/>
        <a:p>
          <a:pPr algn="l"/>
          <a:r>
            <a:rPr lang="en-US" sz="1400" b="1"/>
            <a:t>Opportunities:</a:t>
          </a:r>
        </a:p>
        <a:p>
          <a:pPr algn="l"/>
          <a:r>
            <a:rPr lang="en-US" sz="1200"/>
            <a:t>Emerging Markets</a:t>
          </a:r>
        </a:p>
        <a:p>
          <a:pPr algn="l"/>
          <a:r>
            <a:rPr lang="en-US" sz="1200"/>
            <a:t>FinTech Collaborations</a:t>
          </a:r>
        </a:p>
        <a:p>
          <a:pPr algn="l"/>
          <a:r>
            <a:rPr lang="en-US" sz="1200"/>
            <a:t>Rise in Use of Electronic Payments</a:t>
          </a:r>
        </a:p>
      </dgm:t>
    </dgm:pt>
    <dgm:pt modelId="{CC3A0CF2-9186-489A-9C13-BD1AD93B532C}" type="parTrans" cxnId="{C4DCE4BB-559A-4148-8355-CE516B36B8B5}">
      <dgm:prSet/>
      <dgm:spPr/>
      <dgm:t>
        <a:bodyPr/>
        <a:lstStyle/>
        <a:p>
          <a:endParaRPr lang="en-US"/>
        </a:p>
      </dgm:t>
    </dgm:pt>
    <dgm:pt modelId="{BC350B7B-44E2-4E84-ADF0-59653EFAB903}" type="sibTrans" cxnId="{C4DCE4BB-559A-4148-8355-CE516B36B8B5}">
      <dgm:prSet/>
      <dgm:spPr/>
      <dgm:t>
        <a:bodyPr/>
        <a:lstStyle/>
        <a:p>
          <a:endParaRPr lang="en-US"/>
        </a:p>
      </dgm:t>
    </dgm:pt>
    <dgm:pt modelId="{24824296-25C0-4BF7-9D04-D7E03BC3979E}">
      <dgm:prSet phldrT="[Text]" custT="1"/>
      <dgm:spPr>
        <a:solidFill>
          <a:schemeClr val="bg2">
            <a:lumMod val="50000"/>
          </a:schemeClr>
        </a:solidFill>
      </dgm:spPr>
      <dgm:t>
        <a:bodyPr/>
        <a:lstStyle/>
        <a:p>
          <a:pPr algn="l"/>
          <a:r>
            <a:rPr lang="en-US" sz="1400" b="1"/>
            <a:t>Threats:</a:t>
          </a:r>
        </a:p>
        <a:p>
          <a:pPr algn="l"/>
          <a:r>
            <a:rPr lang="en-US" sz="1200"/>
            <a:t>Cybersecurity Risks</a:t>
          </a:r>
        </a:p>
        <a:p>
          <a:pPr algn="l"/>
          <a:r>
            <a:rPr lang="en-US" sz="1200"/>
            <a:t>Competition</a:t>
          </a:r>
        </a:p>
        <a:p>
          <a:pPr algn="l"/>
          <a:r>
            <a:rPr lang="en-US" sz="1200"/>
            <a:t>Regulatory Changes</a:t>
          </a:r>
        </a:p>
      </dgm:t>
    </dgm:pt>
    <dgm:pt modelId="{8842EBD0-DFC4-4AA1-822D-4851F04A963E}" type="parTrans" cxnId="{46FF73B9-0FD0-4313-A8BE-43769F0AD013}">
      <dgm:prSet/>
      <dgm:spPr/>
      <dgm:t>
        <a:bodyPr/>
        <a:lstStyle/>
        <a:p>
          <a:endParaRPr lang="en-US"/>
        </a:p>
      </dgm:t>
    </dgm:pt>
    <dgm:pt modelId="{C77258A7-F7AE-4787-BF9A-233C28421928}" type="sibTrans" cxnId="{46FF73B9-0FD0-4313-A8BE-43769F0AD013}">
      <dgm:prSet/>
      <dgm:spPr/>
      <dgm:t>
        <a:bodyPr/>
        <a:lstStyle/>
        <a:p>
          <a:endParaRPr lang="en-US"/>
        </a:p>
      </dgm:t>
    </dgm:pt>
    <dgm:pt modelId="{73FD74C5-21CE-4A32-8A2D-8FBFD51784F1}" type="pres">
      <dgm:prSet presAssocID="{03CF2C6D-5D27-41A2-BD26-7B154BFA117A}" presName="matrix" presStyleCnt="0">
        <dgm:presLayoutVars>
          <dgm:chMax val="1"/>
          <dgm:dir/>
          <dgm:resizeHandles val="exact"/>
        </dgm:presLayoutVars>
      </dgm:prSet>
      <dgm:spPr/>
      <dgm:t>
        <a:bodyPr/>
        <a:lstStyle/>
        <a:p>
          <a:endParaRPr lang="en-US"/>
        </a:p>
      </dgm:t>
    </dgm:pt>
    <dgm:pt modelId="{716885A1-902D-40CB-8826-EA31672A8118}" type="pres">
      <dgm:prSet presAssocID="{03CF2C6D-5D27-41A2-BD26-7B154BFA117A}" presName="axisShape" presStyleLbl="bgShp" presStyleIdx="0" presStyleCnt="1"/>
      <dgm:spPr/>
    </dgm:pt>
    <dgm:pt modelId="{94DBCB07-744E-49EF-ADCD-80BC64F41945}" type="pres">
      <dgm:prSet presAssocID="{03CF2C6D-5D27-41A2-BD26-7B154BFA117A}" presName="rect1" presStyleLbl="node1" presStyleIdx="0" presStyleCnt="4">
        <dgm:presLayoutVars>
          <dgm:chMax val="0"/>
          <dgm:chPref val="0"/>
          <dgm:bulletEnabled val="1"/>
        </dgm:presLayoutVars>
      </dgm:prSet>
      <dgm:spPr/>
      <dgm:t>
        <a:bodyPr/>
        <a:lstStyle/>
        <a:p>
          <a:endParaRPr lang="en-US"/>
        </a:p>
      </dgm:t>
    </dgm:pt>
    <dgm:pt modelId="{D93A72FE-C848-4D83-A97A-27E3783F3DF9}" type="pres">
      <dgm:prSet presAssocID="{03CF2C6D-5D27-41A2-BD26-7B154BFA117A}" presName="rect2" presStyleLbl="node1" presStyleIdx="1" presStyleCnt="4">
        <dgm:presLayoutVars>
          <dgm:chMax val="0"/>
          <dgm:chPref val="0"/>
          <dgm:bulletEnabled val="1"/>
        </dgm:presLayoutVars>
      </dgm:prSet>
      <dgm:spPr/>
      <dgm:t>
        <a:bodyPr/>
        <a:lstStyle/>
        <a:p>
          <a:endParaRPr lang="en-US"/>
        </a:p>
      </dgm:t>
    </dgm:pt>
    <dgm:pt modelId="{CDCF901B-9980-47A2-9457-677F8B6C8630}" type="pres">
      <dgm:prSet presAssocID="{03CF2C6D-5D27-41A2-BD26-7B154BFA117A}" presName="rect3" presStyleLbl="node1" presStyleIdx="2" presStyleCnt="4">
        <dgm:presLayoutVars>
          <dgm:chMax val="0"/>
          <dgm:chPref val="0"/>
          <dgm:bulletEnabled val="1"/>
        </dgm:presLayoutVars>
      </dgm:prSet>
      <dgm:spPr/>
      <dgm:t>
        <a:bodyPr/>
        <a:lstStyle/>
        <a:p>
          <a:endParaRPr lang="en-US"/>
        </a:p>
      </dgm:t>
    </dgm:pt>
    <dgm:pt modelId="{402CCB47-74D9-49CB-8B89-B82B71232BA5}" type="pres">
      <dgm:prSet presAssocID="{03CF2C6D-5D27-41A2-BD26-7B154BFA117A}" presName="rect4" presStyleLbl="node1" presStyleIdx="3" presStyleCnt="4">
        <dgm:presLayoutVars>
          <dgm:chMax val="0"/>
          <dgm:chPref val="0"/>
          <dgm:bulletEnabled val="1"/>
        </dgm:presLayoutVars>
      </dgm:prSet>
      <dgm:spPr/>
      <dgm:t>
        <a:bodyPr/>
        <a:lstStyle/>
        <a:p>
          <a:endParaRPr lang="en-US"/>
        </a:p>
      </dgm:t>
    </dgm:pt>
  </dgm:ptLst>
  <dgm:cxnLst>
    <dgm:cxn modelId="{795403FC-FA12-4DC8-92DE-B1B729CB0631}" type="presOf" srcId="{687C682F-9B24-486D-BC01-2006FFBB8903}" destId="{D93A72FE-C848-4D83-A97A-27E3783F3DF9}" srcOrd="0" destOrd="0" presId="urn:microsoft.com/office/officeart/2005/8/layout/matrix2"/>
    <dgm:cxn modelId="{9321EE08-2D19-4827-BE94-0D34F54C21A9}" type="presOf" srcId="{03CF2C6D-5D27-41A2-BD26-7B154BFA117A}" destId="{73FD74C5-21CE-4A32-8A2D-8FBFD51784F1}" srcOrd="0" destOrd="0" presId="urn:microsoft.com/office/officeart/2005/8/layout/matrix2"/>
    <dgm:cxn modelId="{F53F829B-7262-49FD-91B8-9E6F36FC3379}" type="presOf" srcId="{DC49D8E0-FE82-4DE2-AAF0-31FF69F87902}" destId="{CDCF901B-9980-47A2-9457-677F8B6C8630}" srcOrd="0" destOrd="0" presId="urn:microsoft.com/office/officeart/2005/8/layout/matrix2"/>
    <dgm:cxn modelId="{8F36388E-88AB-4CA7-BDD1-402002B680AE}" srcId="{03CF2C6D-5D27-41A2-BD26-7B154BFA117A}" destId="{870BA82C-4CF7-4F33-94DE-D0AF6703EAAC}" srcOrd="0" destOrd="0" parTransId="{439522C8-C078-4188-B103-23380F06CE9D}" sibTransId="{0884A19E-E9D9-47B9-90E1-03845F94471E}"/>
    <dgm:cxn modelId="{46FF73B9-0FD0-4313-A8BE-43769F0AD013}" srcId="{03CF2C6D-5D27-41A2-BD26-7B154BFA117A}" destId="{24824296-25C0-4BF7-9D04-D7E03BC3979E}" srcOrd="3" destOrd="0" parTransId="{8842EBD0-DFC4-4AA1-822D-4851F04A963E}" sibTransId="{C77258A7-F7AE-4787-BF9A-233C28421928}"/>
    <dgm:cxn modelId="{F42B5C3F-AE81-4090-8E92-6461E0F86634}" srcId="{03CF2C6D-5D27-41A2-BD26-7B154BFA117A}" destId="{687C682F-9B24-486D-BC01-2006FFBB8903}" srcOrd="1" destOrd="0" parTransId="{C0E86743-1F94-4AB1-BC70-6ECDD40703F9}" sibTransId="{233C1E25-800C-4BC2-ABA6-3816BF38548B}"/>
    <dgm:cxn modelId="{52D01AD7-E889-49C8-9E90-59CBB2916AC6}" type="presOf" srcId="{870BA82C-4CF7-4F33-94DE-D0AF6703EAAC}" destId="{94DBCB07-744E-49EF-ADCD-80BC64F41945}" srcOrd="0" destOrd="0" presId="urn:microsoft.com/office/officeart/2005/8/layout/matrix2"/>
    <dgm:cxn modelId="{0ECDA46D-EF0B-4671-956F-C47B9D57D0F7}" type="presOf" srcId="{24824296-25C0-4BF7-9D04-D7E03BC3979E}" destId="{402CCB47-74D9-49CB-8B89-B82B71232BA5}" srcOrd="0" destOrd="0" presId="urn:microsoft.com/office/officeart/2005/8/layout/matrix2"/>
    <dgm:cxn modelId="{C4DCE4BB-559A-4148-8355-CE516B36B8B5}" srcId="{03CF2C6D-5D27-41A2-BD26-7B154BFA117A}" destId="{DC49D8E0-FE82-4DE2-AAF0-31FF69F87902}" srcOrd="2" destOrd="0" parTransId="{CC3A0CF2-9186-489A-9C13-BD1AD93B532C}" sibTransId="{BC350B7B-44E2-4E84-ADF0-59653EFAB903}"/>
    <dgm:cxn modelId="{27254B4F-B262-4971-A11B-F3DB71B92DFB}" type="presParOf" srcId="{73FD74C5-21CE-4A32-8A2D-8FBFD51784F1}" destId="{716885A1-902D-40CB-8826-EA31672A8118}" srcOrd="0" destOrd="0" presId="urn:microsoft.com/office/officeart/2005/8/layout/matrix2"/>
    <dgm:cxn modelId="{D9A4AF34-B5DA-4004-9713-4A8AB3AB022B}" type="presParOf" srcId="{73FD74C5-21CE-4A32-8A2D-8FBFD51784F1}" destId="{94DBCB07-744E-49EF-ADCD-80BC64F41945}" srcOrd="1" destOrd="0" presId="urn:microsoft.com/office/officeart/2005/8/layout/matrix2"/>
    <dgm:cxn modelId="{69246A40-AA55-41C4-9EF8-7764B049F54C}" type="presParOf" srcId="{73FD74C5-21CE-4A32-8A2D-8FBFD51784F1}" destId="{D93A72FE-C848-4D83-A97A-27E3783F3DF9}" srcOrd="2" destOrd="0" presId="urn:microsoft.com/office/officeart/2005/8/layout/matrix2"/>
    <dgm:cxn modelId="{56DAC25F-E7F9-4B88-B606-C680F7A79EA0}" type="presParOf" srcId="{73FD74C5-21CE-4A32-8A2D-8FBFD51784F1}" destId="{CDCF901B-9980-47A2-9457-677F8B6C8630}" srcOrd="3" destOrd="0" presId="urn:microsoft.com/office/officeart/2005/8/layout/matrix2"/>
    <dgm:cxn modelId="{E5BB7898-060E-4002-8D8D-D0EE9C821C18}" type="presParOf" srcId="{73FD74C5-21CE-4A32-8A2D-8FBFD51784F1}" destId="{402CCB47-74D9-49CB-8B89-B82B71232BA5}" srcOrd="4" destOrd="0" presId="urn:microsoft.com/office/officeart/2005/8/layout/matrix2"/>
  </dgm:cxnLst>
  <dgm:bg/>
  <dgm:whole/>
  <dgm:extLst>
    <a:ext uri="http://schemas.microsoft.com/office/drawing/2008/diagram">
      <dsp:dataModelExt xmlns:dsp="http://schemas.microsoft.com/office/drawing/2008/diagram" relId="rId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16885A1-902D-40CB-8826-EA31672A8118}">
      <dsp:nvSpPr>
        <dsp:cNvPr id="0" name=""/>
        <dsp:cNvSpPr/>
      </dsp:nvSpPr>
      <dsp:spPr>
        <a:xfrm>
          <a:off x="214726" y="0"/>
          <a:ext cx="4070985" cy="4070985"/>
        </a:xfrm>
        <a:prstGeom prst="quadArrow">
          <a:avLst>
            <a:gd name="adj1" fmla="val 2000"/>
            <a:gd name="adj2" fmla="val 4000"/>
            <a:gd name="adj3" fmla="val 5000"/>
          </a:avLst>
        </a:prstGeom>
        <a:solidFill>
          <a:schemeClr val="accent2">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94DBCB07-744E-49EF-ADCD-80BC64F41945}">
      <dsp:nvSpPr>
        <dsp:cNvPr id="0" name=""/>
        <dsp:cNvSpPr/>
      </dsp:nvSpPr>
      <dsp:spPr>
        <a:xfrm>
          <a:off x="479340" y="264614"/>
          <a:ext cx="1628394" cy="1628394"/>
        </a:xfrm>
        <a:prstGeom prst="roundRect">
          <a:avLst/>
        </a:prstGeom>
        <a:solidFill>
          <a:schemeClr val="accent6"/>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l" defTabSz="622300">
            <a:lnSpc>
              <a:spcPct val="90000"/>
            </a:lnSpc>
            <a:spcBef>
              <a:spcPct val="0"/>
            </a:spcBef>
            <a:spcAft>
              <a:spcPct val="35000"/>
            </a:spcAft>
          </a:pPr>
          <a:r>
            <a:rPr lang="en-US" sz="1400" b="1" kern="1200"/>
            <a:t>Strengths:</a:t>
          </a:r>
        </a:p>
        <a:p>
          <a:pPr lvl="0" algn="l" defTabSz="622300">
            <a:lnSpc>
              <a:spcPct val="90000"/>
            </a:lnSpc>
            <a:spcBef>
              <a:spcPct val="0"/>
            </a:spcBef>
            <a:spcAft>
              <a:spcPct val="35000"/>
            </a:spcAft>
          </a:pPr>
          <a:r>
            <a:rPr lang="en-US" sz="1200" kern="1200"/>
            <a:t>Global brand</a:t>
          </a:r>
        </a:p>
        <a:p>
          <a:pPr lvl="0" algn="l" defTabSz="622300">
            <a:lnSpc>
              <a:spcPct val="90000"/>
            </a:lnSpc>
            <a:spcBef>
              <a:spcPct val="0"/>
            </a:spcBef>
            <a:spcAft>
              <a:spcPct val="35000"/>
            </a:spcAft>
          </a:pPr>
          <a:r>
            <a:rPr lang="en-US" sz="1200" kern="1200"/>
            <a:t>Largest Market Share</a:t>
          </a:r>
        </a:p>
        <a:p>
          <a:pPr lvl="0" algn="l" defTabSz="622300">
            <a:lnSpc>
              <a:spcPct val="90000"/>
            </a:lnSpc>
            <a:spcBef>
              <a:spcPct val="0"/>
            </a:spcBef>
            <a:spcAft>
              <a:spcPct val="35000"/>
            </a:spcAft>
          </a:pPr>
          <a:r>
            <a:rPr lang="en-US" sz="1200" kern="1200"/>
            <a:t>Scalable Technology</a:t>
          </a:r>
        </a:p>
      </dsp:txBody>
      <dsp:txXfrm>
        <a:off x="558832" y="344106"/>
        <a:ext cx="1469410" cy="1469410"/>
      </dsp:txXfrm>
    </dsp:sp>
    <dsp:sp modelId="{D93A72FE-C848-4D83-A97A-27E3783F3DF9}">
      <dsp:nvSpPr>
        <dsp:cNvPr id="0" name=""/>
        <dsp:cNvSpPr/>
      </dsp:nvSpPr>
      <dsp:spPr>
        <a:xfrm>
          <a:off x="2392703" y="264614"/>
          <a:ext cx="1628394" cy="1628394"/>
        </a:xfrm>
        <a:prstGeom prst="roundRect">
          <a:avLst/>
        </a:prstGeom>
        <a:solidFill>
          <a:schemeClr val="accent2"/>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l" defTabSz="622300">
            <a:lnSpc>
              <a:spcPct val="90000"/>
            </a:lnSpc>
            <a:spcBef>
              <a:spcPct val="0"/>
            </a:spcBef>
            <a:spcAft>
              <a:spcPct val="35000"/>
            </a:spcAft>
          </a:pPr>
          <a:r>
            <a:rPr lang="en-US" sz="1400" b="1" kern="1200"/>
            <a:t>Weaknesses:</a:t>
          </a:r>
        </a:p>
        <a:p>
          <a:pPr lvl="0" algn="l" defTabSz="622300">
            <a:lnSpc>
              <a:spcPct val="90000"/>
            </a:lnSpc>
            <a:spcBef>
              <a:spcPct val="0"/>
            </a:spcBef>
            <a:spcAft>
              <a:spcPct val="35000"/>
            </a:spcAft>
          </a:pPr>
          <a:r>
            <a:rPr lang="en-US" sz="1200" kern="1200"/>
            <a:t>Tied to Consumer Spending</a:t>
          </a:r>
        </a:p>
        <a:p>
          <a:pPr lvl="0" algn="l" defTabSz="622300">
            <a:lnSpc>
              <a:spcPct val="90000"/>
            </a:lnSpc>
            <a:spcBef>
              <a:spcPct val="0"/>
            </a:spcBef>
            <a:spcAft>
              <a:spcPct val="35000"/>
            </a:spcAft>
          </a:pPr>
          <a:r>
            <a:rPr lang="en-US" sz="1200" kern="1200"/>
            <a:t>Risks &amp; Hazards</a:t>
          </a:r>
        </a:p>
        <a:p>
          <a:pPr lvl="0" algn="l" defTabSz="622300">
            <a:lnSpc>
              <a:spcPct val="90000"/>
            </a:lnSpc>
            <a:spcBef>
              <a:spcPct val="0"/>
            </a:spcBef>
            <a:spcAft>
              <a:spcPct val="35000"/>
            </a:spcAft>
          </a:pPr>
          <a:r>
            <a:rPr lang="en-US" sz="1200" kern="1200"/>
            <a:t>High Operating Costs</a:t>
          </a:r>
        </a:p>
      </dsp:txBody>
      <dsp:txXfrm>
        <a:off x="2472195" y="344106"/>
        <a:ext cx="1469410" cy="1469410"/>
      </dsp:txXfrm>
    </dsp:sp>
    <dsp:sp modelId="{CDCF901B-9980-47A2-9457-677F8B6C8630}">
      <dsp:nvSpPr>
        <dsp:cNvPr id="0" name=""/>
        <dsp:cNvSpPr/>
      </dsp:nvSpPr>
      <dsp:spPr>
        <a:xfrm>
          <a:off x="479340" y="2177976"/>
          <a:ext cx="1628394" cy="1628394"/>
        </a:xfrm>
        <a:prstGeom prst="roundRect">
          <a:avLst/>
        </a:prstGeom>
        <a:solidFill>
          <a:schemeClr val="accent5"/>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l" defTabSz="622300">
            <a:lnSpc>
              <a:spcPct val="90000"/>
            </a:lnSpc>
            <a:spcBef>
              <a:spcPct val="0"/>
            </a:spcBef>
            <a:spcAft>
              <a:spcPct val="35000"/>
            </a:spcAft>
          </a:pPr>
          <a:r>
            <a:rPr lang="en-US" sz="1400" b="1" kern="1200"/>
            <a:t>Opportunities:</a:t>
          </a:r>
        </a:p>
        <a:p>
          <a:pPr lvl="0" algn="l" defTabSz="622300">
            <a:lnSpc>
              <a:spcPct val="90000"/>
            </a:lnSpc>
            <a:spcBef>
              <a:spcPct val="0"/>
            </a:spcBef>
            <a:spcAft>
              <a:spcPct val="35000"/>
            </a:spcAft>
          </a:pPr>
          <a:r>
            <a:rPr lang="en-US" sz="1200" kern="1200"/>
            <a:t>Emerging Markets</a:t>
          </a:r>
        </a:p>
        <a:p>
          <a:pPr lvl="0" algn="l" defTabSz="622300">
            <a:lnSpc>
              <a:spcPct val="90000"/>
            </a:lnSpc>
            <a:spcBef>
              <a:spcPct val="0"/>
            </a:spcBef>
            <a:spcAft>
              <a:spcPct val="35000"/>
            </a:spcAft>
          </a:pPr>
          <a:r>
            <a:rPr lang="en-US" sz="1200" kern="1200"/>
            <a:t>FinTech Collaborations</a:t>
          </a:r>
        </a:p>
        <a:p>
          <a:pPr lvl="0" algn="l" defTabSz="622300">
            <a:lnSpc>
              <a:spcPct val="90000"/>
            </a:lnSpc>
            <a:spcBef>
              <a:spcPct val="0"/>
            </a:spcBef>
            <a:spcAft>
              <a:spcPct val="35000"/>
            </a:spcAft>
          </a:pPr>
          <a:r>
            <a:rPr lang="en-US" sz="1200" kern="1200"/>
            <a:t>Rise in Use of Electronic Payments</a:t>
          </a:r>
        </a:p>
      </dsp:txBody>
      <dsp:txXfrm>
        <a:off x="558832" y="2257468"/>
        <a:ext cx="1469410" cy="1469410"/>
      </dsp:txXfrm>
    </dsp:sp>
    <dsp:sp modelId="{402CCB47-74D9-49CB-8B89-B82B71232BA5}">
      <dsp:nvSpPr>
        <dsp:cNvPr id="0" name=""/>
        <dsp:cNvSpPr/>
      </dsp:nvSpPr>
      <dsp:spPr>
        <a:xfrm>
          <a:off x="2392703" y="2177976"/>
          <a:ext cx="1628394" cy="1628394"/>
        </a:xfrm>
        <a:prstGeom prst="roundRect">
          <a:avLst/>
        </a:prstGeom>
        <a:solidFill>
          <a:schemeClr val="bg2">
            <a:lumMod val="5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l" defTabSz="622300">
            <a:lnSpc>
              <a:spcPct val="90000"/>
            </a:lnSpc>
            <a:spcBef>
              <a:spcPct val="0"/>
            </a:spcBef>
            <a:spcAft>
              <a:spcPct val="35000"/>
            </a:spcAft>
          </a:pPr>
          <a:r>
            <a:rPr lang="en-US" sz="1400" b="1" kern="1200"/>
            <a:t>Threats:</a:t>
          </a:r>
        </a:p>
        <a:p>
          <a:pPr lvl="0" algn="l" defTabSz="622300">
            <a:lnSpc>
              <a:spcPct val="90000"/>
            </a:lnSpc>
            <a:spcBef>
              <a:spcPct val="0"/>
            </a:spcBef>
            <a:spcAft>
              <a:spcPct val="35000"/>
            </a:spcAft>
          </a:pPr>
          <a:r>
            <a:rPr lang="en-US" sz="1200" kern="1200"/>
            <a:t>Cybersecurity Risks</a:t>
          </a:r>
        </a:p>
        <a:p>
          <a:pPr lvl="0" algn="l" defTabSz="622300">
            <a:lnSpc>
              <a:spcPct val="90000"/>
            </a:lnSpc>
            <a:spcBef>
              <a:spcPct val="0"/>
            </a:spcBef>
            <a:spcAft>
              <a:spcPct val="35000"/>
            </a:spcAft>
          </a:pPr>
          <a:r>
            <a:rPr lang="en-US" sz="1200" kern="1200"/>
            <a:t>Competition</a:t>
          </a:r>
        </a:p>
        <a:p>
          <a:pPr lvl="0" algn="l" defTabSz="622300">
            <a:lnSpc>
              <a:spcPct val="90000"/>
            </a:lnSpc>
            <a:spcBef>
              <a:spcPct val="0"/>
            </a:spcBef>
            <a:spcAft>
              <a:spcPct val="35000"/>
            </a:spcAft>
          </a:pPr>
          <a:r>
            <a:rPr lang="en-US" sz="1200" kern="1200"/>
            <a:t>Regulatory Changes</a:t>
          </a:r>
        </a:p>
      </dsp:txBody>
      <dsp:txXfrm>
        <a:off x="2472195" y="2257468"/>
        <a:ext cx="1469410" cy="1469410"/>
      </dsp:txXfrm>
    </dsp:sp>
  </dsp:spTree>
</dsp:drawing>
</file>

<file path=word/diagrams/layout1.xml><?xml version="1.0" encoding="utf-8"?>
<dgm:layoutDef xmlns:dgm="http://schemas.openxmlformats.org/drawingml/2006/diagram" xmlns:a="http://schemas.openxmlformats.org/drawingml/2006/main" uniqueId="urn:microsoft.com/office/officeart/2005/8/layout/matrix2">
  <dgm:title val=""/>
  <dgm:desc val=""/>
  <dgm:catLst>
    <dgm:cat type="matrix" pri="3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0" destOrd="0"/>
        <dgm:cxn modelId="8" srcId="0" destId="4" srcOrd="1" destOrd="0"/>
      </dgm:cxnLst>
      <dgm:bg/>
      <dgm:whole/>
    </dgm:dataModel>
  </dgm:sampData>
  <dgm:styleData useDef="1">
    <dgm:dataModel>
      <dgm:ptLst/>
      <dgm:bg/>
      <dgm:whole/>
    </dgm:dataModel>
  </dgm:styleData>
  <dgm:clrData useDef="1">
    <dgm:dataModel>
      <dgm:ptLst/>
      <dgm:bg/>
      <dgm:whole/>
    </dgm:dataModel>
  </dgm:clrData>
  <dgm:layoutNode name="matrix">
    <dgm:varLst>
      <dgm:chMax val="1"/>
      <dgm:dir/>
      <dgm:resizeHandles val="exact"/>
    </dgm:varLst>
    <dgm:alg type="composite">
      <dgm:param type="ar" val="1"/>
    </dgm:alg>
    <dgm:shape xmlns:r="http://schemas.openxmlformats.org/officeDocument/2006/relationships" r:blip="">
      <dgm:adjLst/>
    </dgm:shape>
    <dgm:presOf/>
    <dgm:choose name="Name0">
      <dgm:if name="Name1" func="var" arg="dir" op="equ" val="norm">
        <dgm:constrLst>
          <dgm:constr type="primFontSz" for="ch" ptType="node" op="equ" val="65"/>
          <dgm:constr type="w" for="ch" forName="axisShape" refType="w"/>
          <dgm:constr type="h" for="ch" forName="axisShape" refType="h"/>
          <dgm:constr type="w" for="ch" forName="rect1" refType="w" fact="0.4"/>
          <dgm:constr type="h" for="ch" forName="rect1" refType="w" fact="0.4"/>
          <dgm:constr type="l" for="ch" forName="rect1" refType="w" fact="0.065"/>
          <dgm:constr type="t" for="ch" forName="rect1" refType="h" fact="0.065"/>
          <dgm:constr type="w" for="ch" forName="rect2" refType="w" fact="0.4"/>
          <dgm:constr type="h" for="ch" forName="rect2" refType="h" fact="0.4"/>
          <dgm:constr type="r" for="ch" forName="rect2" refType="w" fact="0.935"/>
          <dgm:constr type="t" for="ch" forName="rect2" refType="h" fact="0.065"/>
          <dgm:constr type="w" for="ch" forName="rect3" refType="w" fact="0.4"/>
          <dgm:constr type="h" for="ch" forName="rect3" refType="w" fact="0.4"/>
          <dgm:constr type="l" for="ch" forName="rect3" refType="w" fact="0.065"/>
          <dgm:constr type="b" for="ch" forName="rect3" refType="h" fact="0.935"/>
          <dgm:constr type="w" for="ch" forName="rect4" refType="w" fact="0.4"/>
          <dgm:constr type="h" for="ch" forName="rect4" refType="h" fact="0.4"/>
          <dgm:constr type="r" for="ch" forName="rect4" refType="w" fact="0.935"/>
          <dgm:constr type="b" for="ch" forName="rect4" refType="h" fact="0.935"/>
        </dgm:constrLst>
      </dgm:if>
      <dgm:else name="Name2">
        <dgm:constrLst>
          <dgm:constr type="primFontSz" for="ch" ptType="node" op="equ" val="65"/>
          <dgm:constr type="w" for="ch" forName="axisShape" refType="w"/>
          <dgm:constr type="h" for="ch" forName="axisShape" refType="h"/>
          <dgm:constr type="w" for="ch" forName="rect1" refType="w" fact="0.4"/>
          <dgm:constr type="h" for="ch" forName="rect1" refType="w" fact="0.4"/>
          <dgm:constr type="r" for="ch" forName="rect1" refType="w" fact="0.935"/>
          <dgm:constr type="t" for="ch" forName="rect1" refType="h" fact="0.065"/>
          <dgm:constr type="w" for="ch" forName="rect2" refType="w" fact="0.4"/>
          <dgm:constr type="h" for="ch" forName="rect2" refType="h" fact="0.4"/>
          <dgm:constr type="l" for="ch" forName="rect2" refType="w" fact="0.065"/>
          <dgm:constr type="t" for="ch" forName="rect2" refType="h" fact="0.065"/>
          <dgm:constr type="w" for="ch" forName="rect3" refType="w" fact="0.4"/>
          <dgm:constr type="h" for="ch" forName="rect3" refType="w" fact="0.4"/>
          <dgm:constr type="r" for="ch" forName="rect3" refType="w" fact="0.935"/>
          <dgm:constr type="b" for="ch" forName="rect3" refType="h" fact="0.935"/>
          <dgm:constr type="w" for="ch" forName="rect4" refType="w" fact="0.4"/>
          <dgm:constr type="h" for="ch" forName="rect4" refType="h" fact="0.4"/>
          <dgm:constr type="l" for="ch" forName="rect4" refType="w" fact="0.065"/>
          <dgm:constr type="b" for="ch" forName="rect4" refType="h" fact="0.935"/>
        </dgm:constrLst>
      </dgm:else>
    </dgm:choose>
    <dgm:ruleLst/>
    <dgm:choose name="Name3">
      <dgm:if name="Name4" axis="ch" ptType="node" func="cnt" op="gte" val="1">
        <dgm:layoutNode name="axisShape" styleLbl="bgShp">
          <dgm:alg type="sp"/>
          <dgm:shape xmlns:r="http://schemas.openxmlformats.org/officeDocument/2006/relationships" type="quadArrow" r:blip="">
            <dgm:adjLst>
              <dgm:adj idx="1" val="0.02"/>
              <dgm:adj idx="2" val="0.04"/>
              <dgm:adj idx="3" val="0.05"/>
            </dgm:adjLst>
          </dgm:shape>
          <dgm:presOf/>
          <dgm:constrLst/>
          <dgm:ruleLst/>
        </dgm:layoutNode>
        <dgm:layoutNode name="rect1">
          <dgm:varLst>
            <dgm:chMax val="0"/>
            <dgm:chPref val="0"/>
            <dgm:bulletEnabled val="1"/>
          </dgm:varLst>
          <dgm:alg type="tx"/>
          <dgm:shape xmlns:r="http://schemas.openxmlformats.org/officeDocument/2006/relationships" type="roundRect" r:blip="">
            <dgm:adjLst/>
          </dgm:shape>
          <dgm:presOf axis="ch desOrSelf"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rect2">
          <dgm:varLst>
            <dgm:chMax val="0"/>
            <dgm:chPref val="0"/>
            <dgm:bulletEnabled val="1"/>
          </dgm:varLst>
          <dgm:alg type="tx"/>
          <dgm:shape xmlns:r="http://schemas.openxmlformats.org/officeDocument/2006/relationships" type="roundRect" r:blip="">
            <dgm:adjLst/>
          </dgm:shape>
          <dgm:presOf axis="ch desOrSelf" ptType="node node" st="2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rect3">
          <dgm:varLst>
            <dgm:chMax val="0"/>
            <dgm:chPref val="0"/>
            <dgm:bulletEnabled val="1"/>
          </dgm:varLst>
          <dgm:alg type="tx"/>
          <dgm:shape xmlns:r="http://schemas.openxmlformats.org/officeDocument/2006/relationships" type="roundRect" r:blip="">
            <dgm:adjLst/>
          </dgm:shape>
          <dgm:presOf axis="ch desOrSelf" ptType="node node" st="3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rect4">
          <dgm:varLst>
            <dgm:chMax val="0"/>
            <dgm:chPref val="0"/>
            <dgm:bulletEnabled val="1"/>
          </dgm:varLst>
          <dgm:alg type="tx"/>
          <dgm:shape xmlns:r="http://schemas.openxmlformats.org/officeDocument/2006/relationships" type="roundRect" r:blip="">
            <dgm:adjLst/>
          </dgm:shape>
          <dgm:presOf axis="ch desOrSelf" ptType="node node" st="4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5"/>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6</Pages>
  <Words>1982</Words>
  <Characters>11298</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Jeevan Teja Araveti</dc:creator>
  <cp:keywords/>
  <dc:description/>
  <cp:lastModifiedBy>Jeevan Teja Araveti</cp:lastModifiedBy>
  <cp:revision>5</cp:revision>
  <dcterms:created xsi:type="dcterms:W3CDTF">2024-12-31T04:42:00Z</dcterms:created>
  <dcterms:modified xsi:type="dcterms:W3CDTF">2024-12-31T05:09:00Z</dcterms:modified>
</cp:coreProperties>
</file>