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FE9B" w14:textId="2FDDBC34" w:rsidR="00B5037F" w:rsidRPr="00B5037F" w:rsidRDefault="00B5037F" w:rsidP="00B5037F">
      <w:pPr>
        <w:jc w:val="center"/>
        <w:rPr>
          <w:b/>
          <w:bCs/>
          <w:sz w:val="30"/>
          <w:szCs w:val="30"/>
        </w:rPr>
      </w:pPr>
      <w:r w:rsidRPr="00B5037F">
        <w:rPr>
          <w:b/>
          <w:bCs/>
          <w:sz w:val="30"/>
          <w:szCs w:val="30"/>
        </w:rPr>
        <w:t>Apple Inc. Ratio Analysis</w:t>
      </w:r>
    </w:p>
    <w:p w14:paraId="307AD821" w14:textId="58D8DB2A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1. Liquidity</w:t>
      </w:r>
    </w:p>
    <w:p w14:paraId="73C229C0" w14:textId="77777777" w:rsidR="00975806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Current Ratio</w:t>
      </w:r>
      <w:r w:rsidRPr="008E035D">
        <w:t>: Declined from 1.4x in 2020 to 0.9x in 2022, indicating a decrease in short-term liquidity.</w:t>
      </w:r>
    </w:p>
    <w:p w14:paraId="15DAE12B" w14:textId="7472C87E" w:rsidR="0021116E" w:rsidRPr="008E035D" w:rsidRDefault="0021116E" w:rsidP="0021116E">
      <w:pPr>
        <w:ind w:left="720" w:firstLine="720"/>
        <w:jc w:val="both"/>
      </w:pPr>
      <w:r>
        <w:rPr>
          <w:noProof/>
        </w:rPr>
        <w:drawing>
          <wp:inline distT="0" distB="0" distL="0" distR="0" wp14:anchorId="72829164" wp14:editId="60F95577">
            <wp:extent cx="3901440" cy="1988820"/>
            <wp:effectExtent l="0" t="0" r="3810" b="11430"/>
            <wp:docPr id="13947168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61E294-B71D-D21F-9FBF-E19E9ADD1B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C89AB1" w14:textId="77777777" w:rsidR="00975806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Quick Ratio</w:t>
      </w:r>
      <w:r w:rsidRPr="008E035D">
        <w:t>: Also decreased from 1.3x to 0.8x over the same period, reflecting a tighter liquidity position.</w:t>
      </w:r>
    </w:p>
    <w:p w14:paraId="354D9106" w14:textId="486B430E" w:rsidR="0021116E" w:rsidRPr="008E035D" w:rsidRDefault="0021116E" w:rsidP="0021116E">
      <w:pPr>
        <w:ind w:left="1440"/>
        <w:jc w:val="both"/>
      </w:pPr>
      <w:r>
        <w:rPr>
          <w:noProof/>
        </w:rPr>
        <w:drawing>
          <wp:inline distT="0" distB="0" distL="0" distR="0" wp14:anchorId="55F84979" wp14:editId="58509996">
            <wp:extent cx="3901440" cy="1859280"/>
            <wp:effectExtent l="0" t="0" r="3810" b="7620"/>
            <wp:docPr id="16187595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DC25B6-9852-453F-9296-FAA9065135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CE36086" w14:textId="77777777" w:rsidR="00975806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Cash Ratio</w:t>
      </w:r>
      <w:r w:rsidRPr="008E035D">
        <w:t>: Reduced significantly from 0.9x in 2020 to 0.3x in 2022, showing a sharp decline in cash reserves relative to short-term liabilities.</w:t>
      </w:r>
    </w:p>
    <w:p w14:paraId="7DE92D41" w14:textId="0F2B7555" w:rsidR="00B5037F" w:rsidRPr="008E035D" w:rsidRDefault="00B5037F" w:rsidP="00B5037F">
      <w:pPr>
        <w:ind w:left="1440"/>
        <w:jc w:val="both"/>
      </w:pPr>
      <w:r>
        <w:rPr>
          <w:noProof/>
        </w:rPr>
        <w:drawing>
          <wp:inline distT="0" distB="0" distL="0" distR="0" wp14:anchorId="114105BD" wp14:editId="2720E3CA">
            <wp:extent cx="3901440" cy="1950720"/>
            <wp:effectExtent l="0" t="0" r="3810" b="11430"/>
            <wp:docPr id="6309460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6149467-49D6-4166-8B7B-675415BEBC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9FAE7FF" w14:textId="77777777" w:rsidR="00975806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Defensive Interval</w:t>
      </w:r>
      <w:r w:rsidRPr="008E035D">
        <w:t>: Decreased from 246.2 days in 2020 to 156.5 days in 2022, suggesting a reduced period the company can cover its expenses without additional cash inflows.</w:t>
      </w:r>
    </w:p>
    <w:p w14:paraId="38DCE284" w14:textId="73C12E50" w:rsidR="00B5037F" w:rsidRPr="008E035D" w:rsidRDefault="00B5037F" w:rsidP="00B5037F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551A9FDB" wp14:editId="39FFE5B4">
            <wp:extent cx="3901440" cy="1950720"/>
            <wp:effectExtent l="0" t="0" r="3810" b="11430"/>
            <wp:docPr id="20375165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5884D25-D097-472C-B5E8-CFE4495912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A2EA17" w14:textId="77777777" w:rsidR="00975806" w:rsidRPr="008E035D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Inventory Days</w:t>
      </w:r>
      <w:r w:rsidRPr="008E035D">
        <w:t>: Slightly increased from 8.8 days to 9.4 days, indicating a minor slowdown in inventory turnover.</w:t>
      </w:r>
    </w:p>
    <w:p w14:paraId="29FB66FF" w14:textId="77777777" w:rsidR="00975806" w:rsidRPr="008E035D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Payable Days</w:t>
      </w:r>
      <w:r w:rsidRPr="008E035D">
        <w:t>: Increased from 83.2 days to 97.1 days, showing the company is taking longer to pay its suppliers.</w:t>
      </w:r>
    </w:p>
    <w:p w14:paraId="2CAB1B08" w14:textId="77777777" w:rsidR="00975806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Receivable Days</w:t>
      </w:r>
      <w:r w:rsidRPr="008E035D">
        <w:t>: Improved from 26.0 days to 25.2 days, reflecting slightly better collection efficiency.</w:t>
      </w:r>
    </w:p>
    <w:p w14:paraId="0A14041F" w14:textId="4D61F21D" w:rsidR="004A3BB7" w:rsidRPr="008E035D" w:rsidRDefault="004A3BB7" w:rsidP="004A3BB7">
      <w:pPr>
        <w:ind w:left="1440"/>
        <w:jc w:val="both"/>
      </w:pPr>
      <w:r>
        <w:rPr>
          <w:noProof/>
        </w:rPr>
        <w:drawing>
          <wp:inline distT="0" distB="0" distL="0" distR="0" wp14:anchorId="41921781" wp14:editId="291C0342">
            <wp:extent cx="3939540" cy="1958340"/>
            <wp:effectExtent l="0" t="0" r="3810" b="3810"/>
            <wp:docPr id="15458285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BC34F7-8142-7778-3507-764E42B6CF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38C5F1" w14:textId="77777777" w:rsidR="00975806" w:rsidRPr="008E035D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Net Trading Cycle</w:t>
      </w:r>
      <w:r w:rsidRPr="008E035D">
        <w:t>: Became more negative (shorter cycle) from -60.5 days to -62.4 days, indicating quicker turnover of receivables and payables.</w:t>
      </w:r>
    </w:p>
    <w:p w14:paraId="0C0E85B2" w14:textId="77777777" w:rsidR="00975806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t>Working Capital as a % of Sales</w:t>
      </w:r>
      <w:r w:rsidRPr="008E035D">
        <w:t>: Dropped from 14.0% in 2020 to -4.7% in 2022, showing a negative working capital position relative to sales.</w:t>
      </w:r>
    </w:p>
    <w:p w14:paraId="494968B9" w14:textId="45C4B995" w:rsidR="004A3BB7" w:rsidRPr="008E035D" w:rsidRDefault="00485F8F" w:rsidP="004A3BB7">
      <w:pPr>
        <w:ind w:left="1440"/>
        <w:jc w:val="both"/>
      </w:pPr>
      <w:r>
        <w:rPr>
          <w:noProof/>
        </w:rPr>
        <w:drawing>
          <wp:inline distT="0" distB="0" distL="0" distR="0" wp14:anchorId="271057CE" wp14:editId="33CF7D1F">
            <wp:extent cx="3901440" cy="1950720"/>
            <wp:effectExtent l="0" t="0" r="3810" b="11430"/>
            <wp:docPr id="7648892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414BDA-7CE1-4EC6-AFB7-FEACE8A8B1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2BBAA8" w14:textId="77777777" w:rsidR="00975806" w:rsidRPr="008E035D" w:rsidRDefault="00975806" w:rsidP="00975806">
      <w:pPr>
        <w:numPr>
          <w:ilvl w:val="0"/>
          <w:numId w:val="1"/>
        </w:numPr>
        <w:jc w:val="both"/>
      </w:pPr>
      <w:r w:rsidRPr="008E035D">
        <w:rPr>
          <w:b/>
          <w:bCs/>
        </w:rPr>
        <w:lastRenderedPageBreak/>
        <w:t>Working Capital</w:t>
      </w:r>
      <w:r w:rsidRPr="008E035D">
        <w:t>: Turned negative in 2022, declining from $38,321 to -$18,577, which might signal potential liquidity issues.</w:t>
      </w:r>
    </w:p>
    <w:p w14:paraId="3CA49353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2. Profitability</w:t>
      </w:r>
    </w:p>
    <w:p w14:paraId="10B4BE42" w14:textId="77777777" w:rsidR="00975806" w:rsidRPr="008E035D" w:rsidRDefault="00975806" w:rsidP="00975806">
      <w:pPr>
        <w:numPr>
          <w:ilvl w:val="0"/>
          <w:numId w:val="2"/>
        </w:numPr>
        <w:jc w:val="both"/>
      </w:pPr>
      <w:r w:rsidRPr="008E035D">
        <w:rPr>
          <w:b/>
          <w:bCs/>
        </w:rPr>
        <w:t>Gross Margin</w:t>
      </w:r>
      <w:r w:rsidRPr="008E035D">
        <w:t>: Improved from 38.2% in 2020 to 43.3% in 2022, reflecting better cost control or higher sales prices.</w:t>
      </w:r>
    </w:p>
    <w:p w14:paraId="00F39B0F" w14:textId="77777777" w:rsidR="00975806" w:rsidRPr="008E035D" w:rsidRDefault="00975806" w:rsidP="00975806">
      <w:pPr>
        <w:numPr>
          <w:ilvl w:val="0"/>
          <w:numId w:val="2"/>
        </w:numPr>
        <w:jc w:val="both"/>
      </w:pPr>
      <w:r w:rsidRPr="008E035D">
        <w:rPr>
          <w:b/>
          <w:bCs/>
        </w:rPr>
        <w:t>EBITDA Margin</w:t>
      </w:r>
      <w:r w:rsidRPr="008E035D">
        <w:t>: Increased from 28.2% to 33.1%, indicating stronger operational profitability.</w:t>
      </w:r>
    </w:p>
    <w:p w14:paraId="1C9040F4" w14:textId="77777777" w:rsidR="00975806" w:rsidRPr="008E035D" w:rsidRDefault="00975806" w:rsidP="00975806">
      <w:pPr>
        <w:numPr>
          <w:ilvl w:val="0"/>
          <w:numId w:val="2"/>
        </w:numPr>
        <w:jc w:val="both"/>
      </w:pPr>
      <w:r w:rsidRPr="008E035D">
        <w:rPr>
          <w:b/>
          <w:bCs/>
        </w:rPr>
        <w:t>EBIT Margin</w:t>
      </w:r>
      <w:r w:rsidRPr="008E035D">
        <w:t>: Increased from 24.1% to 30.3%, showing improved earnings before interest and taxes as a percentage of sales.</w:t>
      </w:r>
    </w:p>
    <w:p w14:paraId="65189473" w14:textId="77777777" w:rsidR="00975806" w:rsidRDefault="00975806" w:rsidP="00975806">
      <w:pPr>
        <w:numPr>
          <w:ilvl w:val="0"/>
          <w:numId w:val="2"/>
        </w:numPr>
        <w:jc w:val="both"/>
      </w:pPr>
      <w:r w:rsidRPr="008E035D">
        <w:rPr>
          <w:b/>
          <w:bCs/>
        </w:rPr>
        <w:t>Net Margin</w:t>
      </w:r>
      <w:r w:rsidRPr="008E035D">
        <w:t>: Slightly decreased from 25.9% to 25.3%, but remains high, demonstrating strong overall profitability.</w:t>
      </w:r>
    </w:p>
    <w:p w14:paraId="1E79BC5E" w14:textId="794451A7" w:rsidR="00485F8F" w:rsidRPr="008E035D" w:rsidRDefault="00485F8F" w:rsidP="00485F8F">
      <w:pPr>
        <w:ind w:left="1440"/>
        <w:jc w:val="both"/>
      </w:pPr>
      <w:r>
        <w:rPr>
          <w:noProof/>
        </w:rPr>
        <w:drawing>
          <wp:inline distT="0" distB="0" distL="0" distR="0" wp14:anchorId="4CFD6B1A" wp14:editId="02972E4D">
            <wp:extent cx="3939540" cy="1958340"/>
            <wp:effectExtent l="0" t="0" r="3810" b="3810"/>
            <wp:docPr id="18513450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E0571E-A1B8-43AD-8EFF-576BFB21ED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03F3E0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3. Solvency/Debt Management</w:t>
      </w:r>
    </w:p>
    <w:p w14:paraId="61AFD6B4" w14:textId="77777777" w:rsidR="00975806" w:rsidRDefault="00975806" w:rsidP="00975806">
      <w:pPr>
        <w:numPr>
          <w:ilvl w:val="0"/>
          <w:numId w:val="3"/>
        </w:numPr>
        <w:jc w:val="both"/>
      </w:pPr>
      <w:r w:rsidRPr="008E035D">
        <w:rPr>
          <w:b/>
          <w:bCs/>
        </w:rPr>
        <w:t>Debt to Equity (D/E)</w:t>
      </w:r>
      <w:r w:rsidRPr="008E035D">
        <w:t>: Increased from 1.7 to 2.4, indicating higher leverage and greater reliance on debt financing.</w:t>
      </w:r>
    </w:p>
    <w:p w14:paraId="5F9EAF44" w14:textId="40A3439B" w:rsidR="00F247B4" w:rsidRPr="008E035D" w:rsidRDefault="00F247B4" w:rsidP="00F247B4">
      <w:pPr>
        <w:ind w:left="1440"/>
        <w:jc w:val="both"/>
      </w:pPr>
      <w:r>
        <w:rPr>
          <w:noProof/>
        </w:rPr>
        <w:drawing>
          <wp:inline distT="0" distB="0" distL="0" distR="0" wp14:anchorId="526560A8" wp14:editId="7CD7F817">
            <wp:extent cx="3901440" cy="1988820"/>
            <wp:effectExtent l="0" t="0" r="3810" b="11430"/>
            <wp:docPr id="9668477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F01103-E6B2-4D4F-83F7-C3939951B0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1CC9AD2" w14:textId="77777777" w:rsidR="00975806" w:rsidRDefault="00975806" w:rsidP="00975806">
      <w:pPr>
        <w:numPr>
          <w:ilvl w:val="0"/>
          <w:numId w:val="3"/>
        </w:numPr>
        <w:jc w:val="both"/>
      </w:pPr>
      <w:r w:rsidRPr="008E035D">
        <w:rPr>
          <w:b/>
          <w:bCs/>
        </w:rPr>
        <w:t>Debt to Total Assets</w:t>
      </w:r>
      <w:r w:rsidRPr="008E035D">
        <w:t>: Relatively stable at around 0.3, reflecting consistent proportion of debt in relation to total assets.</w:t>
      </w:r>
    </w:p>
    <w:p w14:paraId="295A82E5" w14:textId="3435E11F" w:rsidR="00F247B4" w:rsidRPr="008E035D" w:rsidRDefault="00F247B4" w:rsidP="00F247B4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120A43AC" wp14:editId="2924C49B">
            <wp:extent cx="3901440" cy="1988820"/>
            <wp:effectExtent l="0" t="0" r="3810" b="11430"/>
            <wp:docPr id="646088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174128-61A9-49A9-9A9D-A118C17258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15C458E" w14:textId="77777777" w:rsidR="00975806" w:rsidRDefault="00975806" w:rsidP="00975806">
      <w:pPr>
        <w:numPr>
          <w:ilvl w:val="0"/>
          <w:numId w:val="3"/>
        </w:numPr>
        <w:jc w:val="both"/>
      </w:pPr>
      <w:r w:rsidRPr="008E035D">
        <w:rPr>
          <w:b/>
          <w:bCs/>
        </w:rPr>
        <w:t>Long-term Debt to Capital</w:t>
      </w:r>
      <w:r w:rsidRPr="008E035D">
        <w:t>: Remained stable at around 0.6 to 0.7, showing a consistent long-term debt structure.</w:t>
      </w:r>
    </w:p>
    <w:p w14:paraId="5086E88C" w14:textId="2EE3B3E0" w:rsidR="00F247B4" w:rsidRPr="008E035D" w:rsidRDefault="00F247B4" w:rsidP="00F247B4">
      <w:pPr>
        <w:ind w:left="1440"/>
        <w:jc w:val="both"/>
      </w:pPr>
      <w:r>
        <w:rPr>
          <w:noProof/>
        </w:rPr>
        <w:drawing>
          <wp:inline distT="0" distB="0" distL="0" distR="0" wp14:anchorId="70785956" wp14:editId="04558C70">
            <wp:extent cx="3901440" cy="1988820"/>
            <wp:effectExtent l="0" t="0" r="3810" b="11430"/>
            <wp:docPr id="11680396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AFAEC05-CCE7-4F09-A782-985722FB2A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BE51535" w14:textId="01650DA0" w:rsidR="00975806" w:rsidRDefault="00975806" w:rsidP="00975806">
      <w:pPr>
        <w:numPr>
          <w:ilvl w:val="0"/>
          <w:numId w:val="3"/>
        </w:numPr>
        <w:jc w:val="both"/>
      </w:pPr>
      <w:r w:rsidRPr="008E035D">
        <w:rPr>
          <w:b/>
          <w:bCs/>
        </w:rPr>
        <w:t>Times Interest Earned</w:t>
      </w:r>
      <w:r w:rsidRPr="008E035D">
        <w:t>: Improved significantly from 23.1 to 40.7, indicating much better ability to cover interest expenses with earnings.</w:t>
      </w:r>
    </w:p>
    <w:p w14:paraId="1A28C546" w14:textId="142F8C6D" w:rsidR="00F247B4" w:rsidRPr="008E035D" w:rsidRDefault="00F247B4" w:rsidP="00F247B4">
      <w:pPr>
        <w:ind w:left="1440"/>
        <w:jc w:val="both"/>
      </w:pPr>
      <w:r>
        <w:rPr>
          <w:noProof/>
        </w:rPr>
        <w:drawing>
          <wp:inline distT="0" distB="0" distL="0" distR="0" wp14:anchorId="7F2AF40E" wp14:editId="2DE1C1B6">
            <wp:extent cx="3901440" cy="1988820"/>
            <wp:effectExtent l="0" t="0" r="3810" b="11430"/>
            <wp:docPr id="4152389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4E6BBA2-545E-44F4-B4FC-06A4CB2B89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E6B43B5" w14:textId="2778F115" w:rsidR="00975806" w:rsidRDefault="00975806" w:rsidP="00975806">
      <w:pPr>
        <w:numPr>
          <w:ilvl w:val="0"/>
          <w:numId w:val="3"/>
        </w:numPr>
        <w:jc w:val="both"/>
      </w:pPr>
      <w:r w:rsidRPr="008E035D">
        <w:rPr>
          <w:b/>
          <w:bCs/>
        </w:rPr>
        <w:t>Debt Coverage</w:t>
      </w:r>
      <w:r w:rsidRPr="008E035D">
        <w:t xml:space="preserve">: Increased from 4.1 to </w:t>
      </w:r>
      <w:r w:rsidR="000D48A3" w:rsidRPr="008E035D">
        <w:t>4.6</w:t>
      </w:r>
      <w:r w:rsidRPr="008E035D">
        <w:t>, suggesting improved ability to cover debt obligations.</w:t>
      </w:r>
    </w:p>
    <w:p w14:paraId="0766F7EF" w14:textId="4080DD14" w:rsidR="00F247B4" w:rsidRPr="008E035D" w:rsidRDefault="00F247B4" w:rsidP="00F247B4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2AAE2B9F" wp14:editId="76CC470E">
            <wp:extent cx="3901440" cy="1988820"/>
            <wp:effectExtent l="0" t="0" r="3810" b="11430"/>
            <wp:docPr id="15587687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A34A871-044B-4165-BF9D-3717C6CA9C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4114C19" w14:textId="77777777" w:rsidR="00975806" w:rsidRDefault="00975806" w:rsidP="00975806">
      <w:pPr>
        <w:numPr>
          <w:ilvl w:val="0"/>
          <w:numId w:val="3"/>
        </w:numPr>
        <w:jc w:val="both"/>
      </w:pPr>
      <w:r w:rsidRPr="008E035D">
        <w:rPr>
          <w:b/>
          <w:bCs/>
        </w:rPr>
        <w:t>Free Cash Flow per Share</w:t>
      </w:r>
      <w:r w:rsidRPr="008E035D">
        <w:t>: Increased from $4.71 to $7.29, showing strong growth in free cash flow on a per-share basis.</w:t>
      </w:r>
    </w:p>
    <w:p w14:paraId="448C22D7" w14:textId="4CCDFD1E" w:rsidR="00F247B4" w:rsidRPr="008E035D" w:rsidRDefault="00377196" w:rsidP="00F247B4">
      <w:pPr>
        <w:ind w:left="1440"/>
        <w:jc w:val="both"/>
      </w:pPr>
      <w:r>
        <w:rPr>
          <w:noProof/>
        </w:rPr>
        <w:drawing>
          <wp:inline distT="0" distB="0" distL="0" distR="0" wp14:anchorId="157456DF" wp14:editId="2B355CDD">
            <wp:extent cx="3901440" cy="1988820"/>
            <wp:effectExtent l="0" t="0" r="3810" b="11430"/>
            <wp:docPr id="9637799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99292C-97E8-4237-BBCE-37E733B268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A130A7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4. Asset Utilization</w:t>
      </w:r>
    </w:p>
    <w:p w14:paraId="40D43AC7" w14:textId="77777777" w:rsidR="00975806" w:rsidRDefault="00975806" w:rsidP="00975806">
      <w:pPr>
        <w:numPr>
          <w:ilvl w:val="0"/>
          <w:numId w:val="4"/>
        </w:numPr>
        <w:jc w:val="both"/>
      </w:pPr>
      <w:r w:rsidRPr="008E035D">
        <w:rPr>
          <w:b/>
          <w:bCs/>
        </w:rPr>
        <w:t>Total Asset Turnover</w:t>
      </w:r>
      <w:r w:rsidRPr="008E035D">
        <w:t>: Improved from 0.8 to 1.1, indicating more efficient use of assets to generate sales.</w:t>
      </w:r>
    </w:p>
    <w:p w14:paraId="7B1FEA18" w14:textId="79F164BE" w:rsidR="00466EA0" w:rsidRPr="008E035D" w:rsidRDefault="00466EA0" w:rsidP="00466EA0">
      <w:pPr>
        <w:ind w:left="1440"/>
        <w:jc w:val="both"/>
      </w:pPr>
      <w:r>
        <w:rPr>
          <w:noProof/>
        </w:rPr>
        <w:drawing>
          <wp:inline distT="0" distB="0" distL="0" distR="0" wp14:anchorId="3CB2B985" wp14:editId="2F83FDC2">
            <wp:extent cx="3901440" cy="1988820"/>
            <wp:effectExtent l="0" t="0" r="3810" b="11430"/>
            <wp:docPr id="98440209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EC5E7B-E909-4E7F-93D6-3A333719A0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DFC268" w14:textId="77777777" w:rsidR="00975806" w:rsidRDefault="00975806" w:rsidP="00975806">
      <w:pPr>
        <w:numPr>
          <w:ilvl w:val="0"/>
          <w:numId w:val="4"/>
        </w:numPr>
        <w:jc w:val="both"/>
      </w:pPr>
      <w:r w:rsidRPr="008E035D">
        <w:rPr>
          <w:b/>
          <w:bCs/>
        </w:rPr>
        <w:t>Fixed Asset Turnover</w:t>
      </w:r>
      <w:r w:rsidRPr="008E035D">
        <w:t>: Improved from 7.4 to 9.7, showing better efficiency in utilizing fixed assets.</w:t>
      </w:r>
    </w:p>
    <w:p w14:paraId="0EBD7BC0" w14:textId="416D3ECD" w:rsidR="00466EA0" w:rsidRPr="008E035D" w:rsidRDefault="00466EA0" w:rsidP="00466EA0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170F0B6D" wp14:editId="37361CFB">
            <wp:extent cx="3901440" cy="1988820"/>
            <wp:effectExtent l="0" t="0" r="3810" b="11430"/>
            <wp:docPr id="166943220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048D47-57A4-4494-8BDE-861692E70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31C8A7" w14:textId="77777777" w:rsidR="00975806" w:rsidRDefault="00975806" w:rsidP="00975806">
      <w:pPr>
        <w:numPr>
          <w:ilvl w:val="0"/>
          <w:numId w:val="4"/>
        </w:numPr>
        <w:jc w:val="both"/>
      </w:pPr>
      <w:r w:rsidRPr="008E035D">
        <w:rPr>
          <w:b/>
          <w:bCs/>
        </w:rPr>
        <w:t>Inventory Turnover</w:t>
      </w:r>
      <w:r w:rsidRPr="008E035D">
        <w:t>: Slightly decreased from 41.5 to 38.8, indicating a slower turnover rate.</w:t>
      </w:r>
    </w:p>
    <w:p w14:paraId="20E3FA1C" w14:textId="7E0C1C3A" w:rsidR="0095116B" w:rsidRPr="008E035D" w:rsidRDefault="0095116B" w:rsidP="0095116B">
      <w:pPr>
        <w:ind w:left="1440"/>
        <w:jc w:val="both"/>
      </w:pPr>
      <w:r>
        <w:rPr>
          <w:noProof/>
        </w:rPr>
        <w:drawing>
          <wp:inline distT="0" distB="0" distL="0" distR="0" wp14:anchorId="31A3DF4C" wp14:editId="76BA34C2">
            <wp:extent cx="3901440" cy="1988820"/>
            <wp:effectExtent l="0" t="0" r="3810" b="11430"/>
            <wp:docPr id="14769935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EF9C0E6-5159-4E5E-B169-8BAD20D684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FEB8357" w14:textId="77777777" w:rsidR="00975806" w:rsidRDefault="00975806" w:rsidP="00975806">
      <w:pPr>
        <w:numPr>
          <w:ilvl w:val="0"/>
          <w:numId w:val="4"/>
        </w:numPr>
        <w:jc w:val="both"/>
      </w:pPr>
      <w:r w:rsidRPr="008E035D">
        <w:rPr>
          <w:b/>
          <w:bCs/>
        </w:rPr>
        <w:t>Return on Assets (ROA)</w:t>
      </w:r>
      <w:r w:rsidRPr="008E035D">
        <w:t>: Increased from 17.3% to 28.4%, reflecting higher efficiency in generating profits from assets.</w:t>
      </w:r>
    </w:p>
    <w:p w14:paraId="6208569F" w14:textId="5E0FF869" w:rsidR="0095116B" w:rsidRPr="008E035D" w:rsidRDefault="0095116B" w:rsidP="0095116B">
      <w:pPr>
        <w:ind w:left="1440"/>
        <w:jc w:val="both"/>
      </w:pPr>
      <w:r>
        <w:rPr>
          <w:noProof/>
        </w:rPr>
        <w:drawing>
          <wp:inline distT="0" distB="0" distL="0" distR="0" wp14:anchorId="25B9B03C" wp14:editId="5FAAAA56">
            <wp:extent cx="3901440" cy="1988820"/>
            <wp:effectExtent l="0" t="0" r="3810" b="11430"/>
            <wp:docPr id="8430885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6783A14-E86E-4760-BCA1-4D5FC8B171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91A5DD2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5. Investor/Market Ratios</w:t>
      </w:r>
    </w:p>
    <w:p w14:paraId="038E2A7E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Price to Earnings (P/E)</w:t>
      </w:r>
      <w:r w:rsidRPr="008E035D">
        <w:t>: Decreased from 33.9x to 24.5x, indicating a lower valuation multiple relative to earnings.</w:t>
      </w:r>
    </w:p>
    <w:p w14:paraId="76950FE1" w14:textId="27970EDA" w:rsidR="0095116B" w:rsidRPr="008E035D" w:rsidRDefault="0095116B" w:rsidP="0095116B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69218F32" wp14:editId="477F4E60">
            <wp:extent cx="3901440" cy="1988820"/>
            <wp:effectExtent l="0" t="0" r="3810" b="11430"/>
            <wp:docPr id="19393939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8323FE3-4401-44F2-A070-F741EF4633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000D827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Earnings per Share (EPS)</w:t>
      </w:r>
      <w:r w:rsidRPr="008E035D">
        <w:t>: Increased from $3.31 to $6.15, reflecting strong growth in earnings.</w:t>
      </w:r>
    </w:p>
    <w:p w14:paraId="6F99B54B" w14:textId="684C8F56" w:rsidR="0095116B" w:rsidRPr="008E035D" w:rsidRDefault="00213964" w:rsidP="0095116B">
      <w:pPr>
        <w:ind w:left="1440"/>
        <w:jc w:val="both"/>
      </w:pPr>
      <w:r>
        <w:rPr>
          <w:noProof/>
        </w:rPr>
        <w:drawing>
          <wp:inline distT="0" distB="0" distL="0" distR="0" wp14:anchorId="5C23D53F" wp14:editId="65B8A727">
            <wp:extent cx="3901440" cy="1988820"/>
            <wp:effectExtent l="0" t="0" r="3810" b="11430"/>
            <wp:docPr id="6374534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758445D-6A20-47DA-BA27-D527E93DAE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B71025F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Price to Book Value (PBV)</w:t>
      </w:r>
      <w:r w:rsidRPr="008E035D">
        <w:t>: Increased from 29.8x to 48.1x, showing a higher valuation relative to book value.</w:t>
      </w:r>
    </w:p>
    <w:p w14:paraId="2DA44DB2" w14:textId="403EC1C8" w:rsidR="00213964" w:rsidRPr="008E035D" w:rsidRDefault="00213964" w:rsidP="00213964">
      <w:pPr>
        <w:ind w:left="1440"/>
        <w:jc w:val="both"/>
      </w:pPr>
      <w:r>
        <w:rPr>
          <w:noProof/>
        </w:rPr>
        <w:drawing>
          <wp:inline distT="0" distB="0" distL="0" distR="0" wp14:anchorId="429CFA6F" wp14:editId="1B4059EE">
            <wp:extent cx="3901440" cy="1988820"/>
            <wp:effectExtent l="0" t="0" r="3810" b="11430"/>
            <wp:docPr id="10889605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D22F31-8D5A-4E0D-9D04-69A2932E19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974C4CF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Book Value per Share (BV)</w:t>
      </w:r>
      <w:r w:rsidRPr="008E035D">
        <w:t>: Decreased slightly from $3.77 to $3.12, indicating a decrease in the book value of equity.</w:t>
      </w:r>
    </w:p>
    <w:p w14:paraId="0A098D58" w14:textId="15415AC2" w:rsidR="00213964" w:rsidRPr="008E035D" w:rsidRDefault="00213964" w:rsidP="00213964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074382AC" wp14:editId="43F8AAD2">
            <wp:extent cx="3901440" cy="1988820"/>
            <wp:effectExtent l="0" t="0" r="3810" b="11430"/>
            <wp:docPr id="180197905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6366FFD-1BD7-4F8D-ACBA-0685FE1184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FAF4013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Dividend Payout Ratio</w:t>
      </w:r>
      <w:r w:rsidRPr="008E035D">
        <w:t>: Decreased from 24.5% to 14.9%, indicating a lower proportion of earnings paid out as dividends.</w:t>
      </w:r>
    </w:p>
    <w:p w14:paraId="5EFA333A" w14:textId="17079673" w:rsidR="00213964" w:rsidRPr="008E035D" w:rsidRDefault="00213964" w:rsidP="00213964">
      <w:pPr>
        <w:ind w:left="1440"/>
        <w:jc w:val="both"/>
      </w:pPr>
      <w:r>
        <w:rPr>
          <w:noProof/>
        </w:rPr>
        <w:drawing>
          <wp:inline distT="0" distB="0" distL="0" distR="0" wp14:anchorId="19236E9B" wp14:editId="7F56E5F4">
            <wp:extent cx="3901440" cy="1988820"/>
            <wp:effectExtent l="0" t="0" r="3810" b="11430"/>
            <wp:docPr id="11432071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025144D-98DC-4E74-854E-F6A84A642F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139CA94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Dividend Yield</w:t>
      </w:r>
      <w:r w:rsidRPr="008E035D">
        <w:t>: Stable around 0.6% to 0.7%, reflecting stable dividend payments relative to stock price.</w:t>
      </w:r>
    </w:p>
    <w:p w14:paraId="1949258D" w14:textId="1B668E7D" w:rsidR="00213964" w:rsidRPr="008E035D" w:rsidRDefault="00213964" w:rsidP="00213964">
      <w:pPr>
        <w:ind w:left="1440"/>
        <w:jc w:val="both"/>
      </w:pPr>
      <w:r>
        <w:rPr>
          <w:noProof/>
        </w:rPr>
        <w:drawing>
          <wp:inline distT="0" distB="0" distL="0" distR="0" wp14:anchorId="48750749" wp14:editId="4CA545FF">
            <wp:extent cx="3901440" cy="1988820"/>
            <wp:effectExtent l="0" t="0" r="3810" b="11430"/>
            <wp:docPr id="133268527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623ED4-5D58-4413-8C43-1025A7B3FB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11D7A04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Return on Equity (ROE)</w:t>
      </w:r>
      <w:r w:rsidRPr="008E035D">
        <w:t>: Increased significantly from 73.7% to 175.5%, showing exceptional return on shareholders’ equity.</w:t>
      </w:r>
    </w:p>
    <w:p w14:paraId="412A7B72" w14:textId="6EA9C354" w:rsidR="00213964" w:rsidRPr="008E035D" w:rsidRDefault="005C5314" w:rsidP="00213964">
      <w:pPr>
        <w:ind w:left="1440"/>
        <w:jc w:val="both"/>
      </w:pPr>
      <w:r>
        <w:rPr>
          <w:noProof/>
        </w:rPr>
        <w:lastRenderedPageBreak/>
        <w:drawing>
          <wp:inline distT="0" distB="0" distL="0" distR="0" wp14:anchorId="01B75140" wp14:editId="70B4AEBB">
            <wp:extent cx="3901440" cy="1988820"/>
            <wp:effectExtent l="0" t="0" r="3810" b="11430"/>
            <wp:docPr id="13898331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623650-042A-4AB7-9826-E41515D88D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2DEB4A8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Return on Capital Employed (ROCE)</w:t>
      </w:r>
      <w:r w:rsidRPr="008E035D">
        <w:t>: Improved from 29.4% to 56.3%, indicating higher returns on capital employed.</w:t>
      </w:r>
    </w:p>
    <w:p w14:paraId="1735A043" w14:textId="14D9E822" w:rsidR="005C5314" w:rsidRPr="008E035D" w:rsidRDefault="005C5314" w:rsidP="005C5314">
      <w:pPr>
        <w:ind w:left="1440"/>
        <w:jc w:val="both"/>
      </w:pPr>
      <w:r>
        <w:rPr>
          <w:noProof/>
        </w:rPr>
        <w:drawing>
          <wp:inline distT="0" distB="0" distL="0" distR="0" wp14:anchorId="06AB2105" wp14:editId="6E1E66EC">
            <wp:extent cx="3901440" cy="1988820"/>
            <wp:effectExtent l="0" t="0" r="3810" b="11430"/>
            <wp:docPr id="15133503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5B39E1-A341-4E6C-9959-E1FD4182A6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44C57CA1" w14:textId="77777777" w:rsidR="00975806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Enterprise Value to EBITDA (EV/EBITDA)</w:t>
      </w:r>
      <w:r w:rsidRPr="008E035D">
        <w:t>: Decreased from 25.5x to 19.2x, reflecting a lower valuation multiple relative to EBITDA.</w:t>
      </w:r>
    </w:p>
    <w:p w14:paraId="46D9E10F" w14:textId="0D66A296" w:rsidR="005C5314" w:rsidRPr="008E035D" w:rsidRDefault="005C5314" w:rsidP="005C5314">
      <w:pPr>
        <w:ind w:left="1440"/>
        <w:jc w:val="both"/>
      </w:pPr>
      <w:r>
        <w:rPr>
          <w:noProof/>
        </w:rPr>
        <w:drawing>
          <wp:inline distT="0" distB="0" distL="0" distR="0" wp14:anchorId="35780ABE" wp14:editId="5940E1FB">
            <wp:extent cx="3901440" cy="1988820"/>
            <wp:effectExtent l="0" t="0" r="3810" b="11430"/>
            <wp:docPr id="10250998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1FD7A3-DA90-4D30-A574-59CCD95906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74B0008" w14:textId="77777777" w:rsidR="00975806" w:rsidRPr="008E035D" w:rsidRDefault="00975806" w:rsidP="00975806">
      <w:pPr>
        <w:numPr>
          <w:ilvl w:val="0"/>
          <w:numId w:val="5"/>
        </w:numPr>
        <w:jc w:val="both"/>
      </w:pPr>
      <w:r w:rsidRPr="008E035D">
        <w:rPr>
          <w:b/>
          <w:bCs/>
        </w:rPr>
        <w:t>Enterprise Value (EV)</w:t>
      </w:r>
      <w:r w:rsidRPr="008E035D">
        <w:t>: Increased from $1,969,789 to $2,511,132, reflecting an overall increase in company valuation.</w:t>
      </w:r>
    </w:p>
    <w:p w14:paraId="434D210D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6. Growth Rate</w:t>
      </w:r>
    </w:p>
    <w:p w14:paraId="1633F6D4" w14:textId="30FFC978" w:rsidR="003463B7" w:rsidRPr="008E035D" w:rsidRDefault="00975806" w:rsidP="003463B7">
      <w:pPr>
        <w:numPr>
          <w:ilvl w:val="0"/>
          <w:numId w:val="6"/>
        </w:numPr>
        <w:jc w:val="both"/>
      </w:pPr>
      <w:r w:rsidRPr="008E035D">
        <w:rPr>
          <w:b/>
          <w:bCs/>
        </w:rPr>
        <w:t>Sales Growth</w:t>
      </w:r>
      <w:r w:rsidRPr="008E035D">
        <w:t>: Total net sales grew by 7.8% in 2022, compared to 33.3% in 2021, indicating a slowdown in sales growth.</w:t>
      </w:r>
    </w:p>
    <w:p w14:paraId="09C7AA36" w14:textId="77777777" w:rsidR="00975806" w:rsidRPr="008E035D" w:rsidRDefault="00975806" w:rsidP="00975806">
      <w:pPr>
        <w:numPr>
          <w:ilvl w:val="0"/>
          <w:numId w:val="6"/>
        </w:numPr>
        <w:jc w:val="both"/>
      </w:pPr>
      <w:r w:rsidRPr="008E035D">
        <w:rPr>
          <w:b/>
          <w:bCs/>
        </w:rPr>
        <w:t>Gross Profits Growth</w:t>
      </w:r>
      <w:r w:rsidRPr="008E035D">
        <w:t>: Grew by 11.7% in 2022, slower than 45.6% in 2021 but still strong.</w:t>
      </w:r>
    </w:p>
    <w:p w14:paraId="4BD99A48" w14:textId="79607EFD" w:rsidR="00975806" w:rsidRPr="008E035D" w:rsidRDefault="00975806" w:rsidP="00975806">
      <w:pPr>
        <w:numPr>
          <w:ilvl w:val="0"/>
          <w:numId w:val="6"/>
        </w:numPr>
        <w:jc w:val="both"/>
      </w:pPr>
      <w:r w:rsidRPr="008E035D">
        <w:rPr>
          <w:b/>
          <w:bCs/>
        </w:rPr>
        <w:lastRenderedPageBreak/>
        <w:t>Operating Expenses Growth</w:t>
      </w:r>
      <w:r w:rsidRPr="008E035D">
        <w:t>: Research and development</w:t>
      </w:r>
      <w:r w:rsidR="001F3707" w:rsidRPr="008E035D">
        <w:t xml:space="preserve"> expense</w:t>
      </w:r>
      <w:r w:rsidRPr="008E035D">
        <w:t xml:space="preserve"> increased by 19.8%, while selling, general, and administrative expenses grew by 14.2%.</w:t>
      </w:r>
    </w:p>
    <w:p w14:paraId="76009821" w14:textId="77777777" w:rsidR="00975806" w:rsidRPr="008E035D" w:rsidRDefault="00975806" w:rsidP="00975806">
      <w:pPr>
        <w:numPr>
          <w:ilvl w:val="0"/>
          <w:numId w:val="6"/>
        </w:numPr>
        <w:jc w:val="both"/>
      </w:pPr>
      <w:r w:rsidRPr="008E035D">
        <w:rPr>
          <w:b/>
          <w:bCs/>
        </w:rPr>
        <w:t>Balance Sheet Items</w:t>
      </w:r>
      <w:r w:rsidRPr="008E035D">
        <w:t>:</w:t>
      </w:r>
    </w:p>
    <w:p w14:paraId="0FD91597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Cash and cash equivalents declined by 22.9%.</w:t>
      </w:r>
    </w:p>
    <w:p w14:paraId="161DEF0A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Accounts receivable increased by 7.3%.</w:t>
      </w:r>
    </w:p>
    <w:p w14:paraId="15681A6B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Inventories decreased by 24.8%.</w:t>
      </w:r>
    </w:p>
    <w:p w14:paraId="55CA2ECC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Property, plant, and equipment increased by 6.8%.</w:t>
      </w:r>
    </w:p>
    <w:p w14:paraId="48721D3A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Accounts payable increased by 17.1%.</w:t>
      </w:r>
    </w:p>
    <w:p w14:paraId="5CD82118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Short-term debt increased by 15.8%.</w:t>
      </w:r>
    </w:p>
    <w:p w14:paraId="6A7A8C8E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Long-term debt decreased by 9.3%.</w:t>
      </w:r>
    </w:p>
    <w:p w14:paraId="7A6F0092" w14:textId="77777777" w:rsidR="00975806" w:rsidRPr="008E035D" w:rsidRDefault="00975806" w:rsidP="00975806">
      <w:pPr>
        <w:numPr>
          <w:ilvl w:val="1"/>
          <w:numId w:val="6"/>
        </w:numPr>
        <w:jc w:val="both"/>
      </w:pPr>
      <w:r w:rsidRPr="008E035D">
        <w:t>Total shareholders’ equity decreased by 19.7%.</w:t>
      </w:r>
    </w:p>
    <w:p w14:paraId="0F75CAD7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7. Income Tax Rate</w:t>
      </w:r>
    </w:p>
    <w:p w14:paraId="34F35FDD" w14:textId="77777777" w:rsidR="00975806" w:rsidRDefault="00975806" w:rsidP="00975806">
      <w:pPr>
        <w:numPr>
          <w:ilvl w:val="0"/>
          <w:numId w:val="7"/>
        </w:numPr>
        <w:jc w:val="both"/>
      </w:pPr>
      <w:r w:rsidRPr="008E035D">
        <w:rPr>
          <w:b/>
          <w:bCs/>
        </w:rPr>
        <w:t>Income Tax Rate</w:t>
      </w:r>
      <w:r w:rsidRPr="008E035D">
        <w:t>: Increased from 13.3% in 2021 to 16.2% in 2022.</w:t>
      </w:r>
    </w:p>
    <w:p w14:paraId="36FE500F" w14:textId="328B7EC9" w:rsidR="00B53263" w:rsidRPr="008E035D" w:rsidRDefault="00B53263" w:rsidP="00B53263">
      <w:pPr>
        <w:ind w:left="1440"/>
        <w:jc w:val="both"/>
      </w:pPr>
      <w:r>
        <w:rPr>
          <w:noProof/>
        </w:rPr>
        <w:drawing>
          <wp:inline distT="0" distB="0" distL="0" distR="0" wp14:anchorId="2C8BB5F2" wp14:editId="06CFBEFD">
            <wp:extent cx="3901440" cy="1988820"/>
            <wp:effectExtent l="0" t="0" r="3810" b="11430"/>
            <wp:docPr id="10418309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4B42559-5550-4E71-971E-220228DB5A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77B17F3E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8. Capex as a Percentage of Sales</w:t>
      </w:r>
    </w:p>
    <w:p w14:paraId="6F6B652E" w14:textId="77777777" w:rsidR="00975806" w:rsidRDefault="00975806" w:rsidP="00975806">
      <w:pPr>
        <w:numPr>
          <w:ilvl w:val="0"/>
          <w:numId w:val="8"/>
        </w:numPr>
        <w:jc w:val="both"/>
      </w:pPr>
      <w:r w:rsidRPr="008E035D">
        <w:rPr>
          <w:b/>
          <w:bCs/>
        </w:rPr>
        <w:t>Capex/Sales</w:t>
      </w:r>
      <w:r w:rsidRPr="008E035D">
        <w:t>: Stable at around 2.7% to 3.0%, indicating consistent capital expenditure relative to sales.</w:t>
      </w:r>
    </w:p>
    <w:p w14:paraId="0AEFC32A" w14:textId="4EDAF4F7" w:rsidR="00B53263" w:rsidRPr="008E035D" w:rsidRDefault="00B53263" w:rsidP="00B53263">
      <w:pPr>
        <w:ind w:left="1440"/>
        <w:jc w:val="both"/>
      </w:pPr>
      <w:r>
        <w:rPr>
          <w:noProof/>
        </w:rPr>
        <w:drawing>
          <wp:inline distT="0" distB="0" distL="0" distR="0" wp14:anchorId="40F47FB2" wp14:editId="7ED3B2F1">
            <wp:extent cx="3901440" cy="1988820"/>
            <wp:effectExtent l="0" t="0" r="3810" b="11430"/>
            <wp:docPr id="1810637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3AC737E-343B-483E-9204-610B7993F6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6159910" w14:textId="77777777" w:rsidR="00975806" w:rsidRPr="008E035D" w:rsidRDefault="00975806" w:rsidP="00975806">
      <w:pPr>
        <w:jc w:val="both"/>
        <w:rPr>
          <w:b/>
          <w:bCs/>
        </w:rPr>
      </w:pPr>
      <w:r w:rsidRPr="008E035D">
        <w:rPr>
          <w:b/>
          <w:bCs/>
        </w:rPr>
        <w:t>9. Capex as a Percentage of Fixed Assets</w:t>
      </w:r>
    </w:p>
    <w:p w14:paraId="059DBE54" w14:textId="77777777" w:rsidR="00975806" w:rsidRDefault="00975806" w:rsidP="00975806">
      <w:pPr>
        <w:numPr>
          <w:ilvl w:val="0"/>
          <w:numId w:val="9"/>
        </w:numPr>
        <w:jc w:val="both"/>
      </w:pPr>
      <w:r w:rsidRPr="008E035D">
        <w:rPr>
          <w:b/>
          <w:bCs/>
        </w:rPr>
        <w:lastRenderedPageBreak/>
        <w:t>Capex/Fixed Assets</w:t>
      </w:r>
      <w:r w:rsidRPr="008E035D">
        <w:t>: Decreased from 28.1% to 25.4%, reflecting a lower proportion of capital expenditure relative to fixed assets.</w:t>
      </w:r>
    </w:p>
    <w:p w14:paraId="6B4EF1E9" w14:textId="235BC440" w:rsidR="00094DC4" w:rsidRPr="008E035D" w:rsidRDefault="00094DC4" w:rsidP="00094DC4">
      <w:pPr>
        <w:ind w:left="1440"/>
        <w:jc w:val="both"/>
      </w:pPr>
      <w:r>
        <w:rPr>
          <w:noProof/>
        </w:rPr>
        <w:drawing>
          <wp:inline distT="0" distB="0" distL="0" distR="0" wp14:anchorId="12847F8E" wp14:editId="001E15D3">
            <wp:extent cx="3901440" cy="1988820"/>
            <wp:effectExtent l="0" t="0" r="3810" b="11430"/>
            <wp:docPr id="12948376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D9B54E-034D-4512-B0DB-CDAB165FCB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794C6FC7" w14:textId="2BFA4479" w:rsidR="00DD30B8" w:rsidRDefault="00DD30B8" w:rsidP="00975806">
      <w:pPr>
        <w:jc w:val="both"/>
      </w:pPr>
    </w:p>
    <w:sectPr w:rsidR="00DD3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13D5"/>
    <w:multiLevelType w:val="multilevel"/>
    <w:tmpl w:val="F18A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53CD6"/>
    <w:multiLevelType w:val="multilevel"/>
    <w:tmpl w:val="1C66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74F6A"/>
    <w:multiLevelType w:val="multilevel"/>
    <w:tmpl w:val="CB8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D7B62"/>
    <w:multiLevelType w:val="multilevel"/>
    <w:tmpl w:val="6410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F29F4"/>
    <w:multiLevelType w:val="multilevel"/>
    <w:tmpl w:val="445E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E1DD9"/>
    <w:multiLevelType w:val="multilevel"/>
    <w:tmpl w:val="85B6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6689D"/>
    <w:multiLevelType w:val="multilevel"/>
    <w:tmpl w:val="423A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B0CC2"/>
    <w:multiLevelType w:val="multilevel"/>
    <w:tmpl w:val="5BE8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20F13"/>
    <w:multiLevelType w:val="multilevel"/>
    <w:tmpl w:val="FBAE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622361">
    <w:abstractNumId w:val="2"/>
  </w:num>
  <w:num w:numId="2" w16cid:durableId="1970939610">
    <w:abstractNumId w:val="1"/>
  </w:num>
  <w:num w:numId="3" w16cid:durableId="1296906089">
    <w:abstractNumId w:val="4"/>
  </w:num>
  <w:num w:numId="4" w16cid:durableId="1864125176">
    <w:abstractNumId w:val="0"/>
  </w:num>
  <w:num w:numId="5" w16cid:durableId="1311641754">
    <w:abstractNumId w:val="7"/>
  </w:num>
  <w:num w:numId="6" w16cid:durableId="1644503077">
    <w:abstractNumId w:val="5"/>
  </w:num>
  <w:num w:numId="7" w16cid:durableId="1021979534">
    <w:abstractNumId w:val="8"/>
  </w:num>
  <w:num w:numId="8" w16cid:durableId="1758087559">
    <w:abstractNumId w:val="6"/>
  </w:num>
  <w:num w:numId="9" w16cid:durableId="1086460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06"/>
    <w:rsid w:val="00094DC4"/>
    <w:rsid w:val="000D48A3"/>
    <w:rsid w:val="001F3707"/>
    <w:rsid w:val="0021116E"/>
    <w:rsid w:val="00213964"/>
    <w:rsid w:val="003463B7"/>
    <w:rsid w:val="00377196"/>
    <w:rsid w:val="00466EA0"/>
    <w:rsid w:val="00485F8F"/>
    <w:rsid w:val="004A3BB7"/>
    <w:rsid w:val="005C5314"/>
    <w:rsid w:val="0066117F"/>
    <w:rsid w:val="007E4807"/>
    <w:rsid w:val="008E035D"/>
    <w:rsid w:val="0095116B"/>
    <w:rsid w:val="00975806"/>
    <w:rsid w:val="00987587"/>
    <w:rsid w:val="00B5037F"/>
    <w:rsid w:val="00B53263"/>
    <w:rsid w:val="00C65588"/>
    <w:rsid w:val="00DD1E4E"/>
    <w:rsid w:val="00DD30B8"/>
    <w:rsid w:val="00F247B4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291E"/>
  <w15:chartTrackingRefBased/>
  <w15:docId w15:val="{0CBC6850-237B-48E4-93D1-0D2D1FA8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chart" Target="charts/chart27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theme" Target="theme/theme1.xml"/><Relationship Id="rId8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Investment%20Analyst%20Program_Quill%20Capital%20Partners\1725378030_Task%201%20Ratio%20Calculation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Ratios'!$B$5</c:f>
              <c:strCache>
                <c:ptCount val="1"/>
                <c:pt idx="0">
                  <c:v>Current ratio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Ratios'!$C$5:$E$5</c:f>
              <c:numCache>
                <c:formatCode>0.0\x</c:formatCode>
                <c:ptCount val="3"/>
                <c:pt idx="0">
                  <c:v>0.87935602862672257</c:v>
                </c:pt>
                <c:pt idx="1">
                  <c:v>1.0745531195957954</c:v>
                </c:pt>
                <c:pt idx="2">
                  <c:v>1.3636044481554577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EA-4AF8-BA08-69F941A1202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\x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Ratios'!$B$27</c:f>
              <c:strCache>
                <c:ptCount val="1"/>
                <c:pt idx="0">
                  <c:v>Long-term debt to capital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Ratios'!$C$27:$E$27</c:f>
              <c:numCache>
                <c:formatCode>_(* #,##0.0_);_(* \(#,##0.0\);_(* "-"??_);_(@_)</c:formatCode>
                <c:ptCount val="3"/>
                <c:pt idx="0">
                  <c:v>0.66135359651409131</c:v>
                </c:pt>
                <c:pt idx="1">
                  <c:v>0.63361518269878514</c:v>
                </c:pt>
                <c:pt idx="2">
                  <c:v>0.60160603880345842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5B-4389-A7A2-884D846C920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Ratios'!$B$28</c:f>
              <c:strCache>
                <c:ptCount val="1"/>
                <c:pt idx="0">
                  <c:v>Times interest earned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Ratios'!$C$28:$E$28</c:f>
              <c:numCache>
                <c:formatCode>_(* #,##0.0_);_(* \(#,##0.0\);_(* "-"??_);_(@_)</c:formatCode>
                <c:ptCount val="3"/>
                <c:pt idx="0">
                  <c:v>40.749573524394407</c:v>
                </c:pt>
                <c:pt idx="1">
                  <c:v>41.190548204158787</c:v>
                </c:pt>
                <c:pt idx="2">
                  <c:v>23.072746258266619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48-40E6-853E-824F3B6979E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5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Ratios'!$B$29</c:f>
              <c:strCache>
                <c:ptCount val="1"/>
                <c:pt idx="0">
                  <c:v>Debt coverage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Ratios'!$C$29:$E$29</c:f>
              <c:numCache>
                <c:formatCode>_(* #,##0.0_);_(* \(#,##0.0\);_(* "-"??_);_(@_)</c:formatCode>
                <c:ptCount val="3"/>
                <c:pt idx="0">
                  <c:v>4.6157813734869597</c:v>
                </c:pt>
                <c:pt idx="1">
                  <c:v>5.1948734801183045</c:v>
                </c:pt>
                <c:pt idx="2">
                  <c:v>4.076613387813965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E1-4AAC-B251-2CAC470E256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7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Ratios'!$B$30</c:f>
              <c:strCache>
                <c:ptCount val="1"/>
                <c:pt idx="0">
                  <c:v>Free cash flow (FCFE) per share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Ratios'!$C$30:$E$30</c:f>
              <c:numCache>
                <c:formatCode>"$"#,##0.00</c:formatCode>
                <c:ptCount val="3"/>
                <c:pt idx="0">
                  <c:v>7.2903471721044255</c:v>
                </c:pt>
                <c:pt idx="1">
                  <c:v>6.5472258639940719</c:v>
                </c:pt>
                <c:pt idx="2">
                  <c:v>4.7147555869113162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CD-4204-BE69-A05A582ECEDB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Ratios'!$B$39</c:f>
              <c:strCache>
                <c:ptCount val="1"/>
                <c:pt idx="0">
                  <c:v>Total asset turnover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Ratios'!$C$39:$E$39</c:f>
              <c:numCache>
                <c:formatCode>_(* #,##0.0_);_(* \(#,##0.0\);_(* "-"??_);_(@_)</c:formatCode>
                <c:ptCount val="3"/>
                <c:pt idx="0">
                  <c:v>1.1206368107173357</c:v>
                </c:pt>
                <c:pt idx="1">
                  <c:v>1.084078886929722</c:v>
                </c:pt>
                <c:pt idx="2">
                  <c:v>0.82884463258072116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54-47F9-88EE-5BC89B1058D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2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Ratios'!$B$40</c:f>
              <c:strCache>
                <c:ptCount val="1"/>
                <c:pt idx="0">
                  <c:v>Fixed asset turnover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Ratios'!$C$40:$E$40</c:f>
              <c:numCache>
                <c:formatCode>_(* #,##0.0_);_(* \(#,##0.0\);_(* "-"??_);_(@_)</c:formatCode>
                <c:ptCount val="3"/>
                <c:pt idx="0">
                  <c:v>9.6699976703409884</c:v>
                </c:pt>
                <c:pt idx="1">
                  <c:v>9.6007400992047867</c:v>
                </c:pt>
                <c:pt idx="2">
                  <c:v>7.4049147604661201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CB-49C0-A25A-7BB48B5D9BD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5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Ratios'!$B$41</c:f>
              <c:strCache>
                <c:ptCount val="1"/>
                <c:pt idx="0">
                  <c:v>Inventory turnover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Ratios'!$C$41:$E$41</c:f>
              <c:numCache>
                <c:formatCode>_(* #,##0.0_);_(* \(#,##0.0\);_(* "-"??_);_(@_)</c:formatCode>
                <c:ptCount val="3"/>
                <c:pt idx="0">
                  <c:v>38.789866389033492</c:v>
                </c:pt>
                <c:pt idx="1">
                  <c:v>40.030260313880277</c:v>
                </c:pt>
                <c:pt idx="2">
                  <c:v>41.52295824660218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D6-40F0-B56E-3E224DE023D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6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Ratios'!$B$42</c:f>
              <c:strCache>
                <c:ptCount val="1"/>
                <c:pt idx="0">
                  <c:v>Return on assets (ROA)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Ratios'!$C$42:$E$42</c:f>
              <c:numCache>
                <c:formatCode>0.0%</c:formatCode>
                <c:ptCount val="3"/>
                <c:pt idx="0">
                  <c:v>0.28362915040276687</c:v>
                </c:pt>
                <c:pt idx="1">
                  <c:v>0.28057905732786081</c:v>
                </c:pt>
                <c:pt idx="2">
                  <c:v>0.1733413445570981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2C-4C66-A981-BC78E1D6942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0.5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Ratios'!$B$45</c:f>
              <c:strCache>
                <c:ptCount val="1"/>
                <c:pt idx="0">
                  <c:v>Price to earnings (P/E)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Ratios'!$C$45:$E$45</c:f>
              <c:numCache>
                <c:formatCode>0.0\x</c:formatCode>
                <c:ptCount val="3"/>
                <c:pt idx="0">
                  <c:v>24.460162601626017</c:v>
                </c:pt>
                <c:pt idx="1">
                  <c:v>25.911816578483243</c:v>
                </c:pt>
                <c:pt idx="2">
                  <c:v>33.9214501510574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41C-426D-B170-10BB92263F0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5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\x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Ratios'!$B$46</c:f>
              <c:strCache>
                <c:ptCount val="1"/>
                <c:pt idx="0">
                  <c:v>Earnings per share (EPS)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Ratios'!$C$46:$E$46</c:f>
              <c:numCache>
                <c:formatCode>"$"#,##0.00</c:formatCode>
                <c:ptCount val="3"/>
                <c:pt idx="0">
                  <c:v>6.15</c:v>
                </c:pt>
                <c:pt idx="1">
                  <c:v>5.67</c:v>
                </c:pt>
                <c:pt idx="2">
                  <c:v>3.31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44-4952-A34B-8A16EBAE726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Ratios'!$B$6</c:f>
              <c:strCache>
                <c:ptCount val="1"/>
                <c:pt idx="0">
                  <c:v>Quick Ratio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Ratios'!$C$6:$E$6</c:f>
              <c:numCache>
                <c:formatCode>0.0\x</c:formatCode>
                <c:ptCount val="3"/>
                <c:pt idx="0">
                  <c:v>0.84723539114961488</c:v>
                </c:pt>
                <c:pt idx="1">
                  <c:v>1.0221149018576519</c:v>
                </c:pt>
                <c:pt idx="2">
                  <c:v>1.325072111735236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4C-41EB-A559-62218812A91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\x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Ratios'!$B$47</c:f>
              <c:strCache>
                <c:ptCount val="1"/>
                <c:pt idx="0">
                  <c:v>Price to book value (PBV)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Ratios'!$C$47:$E$47</c:f>
              <c:numCache>
                <c:formatCode>0.0\x</c:formatCode>
                <c:ptCount val="3"/>
                <c:pt idx="0">
                  <c:v>48.140340110712032</c:v>
                </c:pt>
                <c:pt idx="1">
                  <c:v>38.892865465842448</c:v>
                </c:pt>
                <c:pt idx="2">
                  <c:v>29.8182696600805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A8-49C4-99B5-559E6A447F5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60"/>
          <c:min val="2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\x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Ratios'!$B$48</c:f>
              <c:strCache>
                <c:ptCount val="1"/>
                <c:pt idx="0">
                  <c:v>Book value per share (BV)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Ratios'!$C$48:$E$48</c:f>
              <c:numCache>
                <c:formatCode>"$"#,##0.00</c:formatCode>
                <c:ptCount val="3"/>
                <c:pt idx="0">
                  <c:v>3.1248221274308534</c:v>
                </c:pt>
                <c:pt idx="1">
                  <c:v>3.7775565837141025</c:v>
                </c:pt>
                <c:pt idx="2">
                  <c:v>3.7654767120949324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2F-4B4A-BE66-F8FAD1A936D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Ratios'!$B$49</c:f>
              <c:strCache>
                <c:ptCount val="1"/>
                <c:pt idx="0">
                  <c:v>Dividend payout ratio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Ratios'!$C$49:$E$49</c:f>
              <c:numCache>
                <c:formatCode>0.0%</c:formatCode>
                <c:ptCount val="3"/>
                <c:pt idx="0">
                  <c:v>0.14870294480125848</c:v>
                </c:pt>
                <c:pt idx="1">
                  <c:v>0.15279890156316012</c:v>
                </c:pt>
                <c:pt idx="2">
                  <c:v>0.24526658654264863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F98-4FEF-B02F-4645033B73F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0.5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Ratios'!$B$50</c:f>
              <c:strCache>
                <c:ptCount val="1"/>
                <c:pt idx="0">
                  <c:v>Dividend per share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Ratios'!$C$50:$E$50</c:f>
              <c:numCache>
                <c:formatCode>"$"#,##0.00</c:formatCode>
                <c:ptCount val="3"/>
                <c:pt idx="0">
                  <c:v>0.91520929099307891</c:v>
                </c:pt>
                <c:pt idx="1">
                  <c:v>0.86622144708498849</c:v>
                </c:pt>
                <c:pt idx="2">
                  <c:v>0.81148590555424394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2AF-431B-A6F7-7F57C4EA138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2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Ratios'!$B$52</c:f>
              <c:strCache>
                <c:ptCount val="1"/>
                <c:pt idx="0">
                  <c:v>Return on equity (ROE)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Ratios'!$C$52:$E$52</c:f>
              <c:numCache>
                <c:formatCode>0.0%</c:formatCode>
                <c:ptCount val="3"/>
                <c:pt idx="0">
                  <c:v>1.7545929220653644</c:v>
                </c:pt>
                <c:pt idx="1">
                  <c:v>1.4744333444938449</c:v>
                </c:pt>
                <c:pt idx="2">
                  <c:v>0.73685561552234213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BC-45AE-952F-9DE62A7A031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2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Ratios'!$B$53</c:f>
              <c:strCache>
                <c:ptCount val="1"/>
                <c:pt idx="0">
                  <c:v>Return on capital employed (ROCE)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Ratios'!$C$53:$E$53</c:f>
              <c:numCache>
                <c:formatCode>0.0%</c:formatCode>
                <c:ptCount val="3"/>
                <c:pt idx="0">
                  <c:v>0.56299169915200309</c:v>
                </c:pt>
                <c:pt idx="1">
                  <c:v>0.49074247157203438</c:v>
                </c:pt>
                <c:pt idx="2">
                  <c:v>0.29376858544540807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CF-4DB3-8428-D6EDFAFF406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Ratios'!$B$54</c:f>
              <c:strCache>
                <c:ptCount val="1"/>
                <c:pt idx="0">
                  <c:v>Return on assets (ROA)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Ratios'!$C$54:$E$54</c:f>
              <c:numCache>
                <c:formatCode>0.0%</c:formatCode>
                <c:ptCount val="3"/>
                <c:pt idx="0">
                  <c:v>0.28362915040276687</c:v>
                </c:pt>
                <c:pt idx="1">
                  <c:v>0.28057905732786081</c:v>
                </c:pt>
                <c:pt idx="2">
                  <c:v>0.1733413445570981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1C-4398-8140-86A0D2ED47D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0.5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Ratios'!$B$89</c:f>
              <c:strCache>
                <c:ptCount val="1"/>
                <c:pt idx="0">
                  <c:v>Income tax rate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Ratios'!$C$89:$E$89</c:f>
              <c:numCache>
                <c:formatCode>0.0%</c:formatCode>
                <c:ptCount val="3"/>
                <c:pt idx="0">
                  <c:v>0.16204461684424407</c:v>
                </c:pt>
                <c:pt idx="1">
                  <c:v>0.13302260844085087</c:v>
                </c:pt>
                <c:pt idx="2">
                  <c:v>0.14428164731484103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FC-4796-B892-47DA2A9367D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0.30000000000000004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Ratios'!$B$91</c:f>
              <c:strCache>
                <c:ptCount val="1"/>
                <c:pt idx="0">
                  <c:v>Capex as a percentage of sales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Ratios'!$C$91:$E$91</c:f>
              <c:numCache>
                <c:formatCode>0.0%</c:formatCode>
                <c:ptCount val="3"/>
                <c:pt idx="0">
                  <c:v>2.7155058732831552E-2</c:v>
                </c:pt>
                <c:pt idx="1">
                  <c:v>3.0302036264033657E-2</c:v>
                </c:pt>
                <c:pt idx="2">
                  <c:v>2.6625138881299748E-2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9E-44AF-A6EA-C0995ABF521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5.000000000000001E-2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1.0000000000000002E-2"/>
        <c:min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Ratios'!$B$93</c:f>
              <c:strCache>
                <c:ptCount val="1"/>
                <c:pt idx="0">
                  <c:v>Capex as a percentage of fixed assets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Ratios'!$C$93:$E$93</c:f>
              <c:numCache>
                <c:formatCode>0.0%</c:formatCode>
                <c:ptCount val="3"/>
                <c:pt idx="0">
                  <c:v>0.25424412944891611</c:v>
                </c:pt>
                <c:pt idx="1">
                  <c:v>0.28105983772819471</c:v>
                </c:pt>
                <c:pt idx="2">
                  <c:v>0.19879780231735844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BF-4D87-B20A-7CB8F0ECA06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0.5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0.1"/>
        <c:minorUnit val="1.0000000000000002E-2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Ratios'!$B$7</c:f>
              <c:strCache>
                <c:ptCount val="1"/>
                <c:pt idx="0">
                  <c:v>Cash Ratio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Ratios'!$C$7:$E$7</c:f>
              <c:numCache>
                <c:formatCode>0.0\x</c:formatCode>
                <c:ptCount val="3"/>
                <c:pt idx="0">
                  <c:v>0.31369900377966253</c:v>
                </c:pt>
                <c:pt idx="1">
                  <c:v>0.49919111259872012</c:v>
                </c:pt>
                <c:pt idx="2">
                  <c:v>0.86290230757552755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001-474D-A411-2718B81F511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\x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0.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Defensive Interval (in Days)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Ratios'!$B$8</c:f>
              <c:strCache>
                <c:ptCount val="1"/>
                <c:pt idx="0">
                  <c:v>Defensive Interval (in Days)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Ratios'!$C$8:$E$8</c:f>
              <c:numCache>
                <c:formatCode>_(* #,##0.0_);_(* \(#,##0.0\);_(* "-"??_);_(@_)</c:formatCode>
                <c:ptCount val="3"/>
                <c:pt idx="0">
                  <c:v>156.51146815100353</c:v>
                </c:pt>
                <c:pt idx="1">
                  <c:v>175.2914657646059</c:v>
                </c:pt>
                <c:pt idx="2">
                  <c:v>246.19695075180465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DC0-4DB7-BFBA-6B23B253318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260"/>
          <c:min val="1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'List of Ratios'!$B$9</c:f>
              <c:strCache>
                <c:ptCount val="1"/>
                <c:pt idx="0">
                  <c:v>Inventory Days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Ratios'!$C$9:$E$9</c:f>
              <c:numCache>
                <c:formatCode>_(* #,##0.0_);_(* \(#,##0.0\);_(* "-"??_);_(@_)</c:formatCode>
                <c:ptCount val="3"/>
                <c:pt idx="0">
                  <c:v>9.4096740715557434</c:v>
                </c:pt>
                <c:pt idx="1">
                  <c:v>9.1181020842234766</c:v>
                </c:pt>
                <c:pt idx="2">
                  <c:v>8.7903178244740765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70A-467C-9AC4-9D0B95DC4DCA}"/>
            </c:ext>
          </c:extLst>
        </c:ser>
        <c:ser>
          <c:idx val="1"/>
          <c:order val="1"/>
          <c:tx>
            <c:strRef>
              <c:f>'List of Ratios'!$B$10</c:f>
              <c:strCache>
                <c:ptCount val="1"/>
                <c:pt idx="0">
                  <c:v>Payable Days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Ratios'!$C$10:$E$10</c:f>
              <c:numCache>
                <c:formatCode>_(* #,##0.0_);_(* \(#,##0.0\);_(* "-"??_);_(@_)</c:formatCode>
                <c:ptCount val="3"/>
                <c:pt idx="0">
                  <c:v>97.050428099809437</c:v>
                </c:pt>
                <c:pt idx="1">
                  <c:v>83.168299050150011</c:v>
                </c:pt>
                <c:pt idx="2">
                  <c:v>95.288896490307209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70A-467C-9AC4-9D0B95DC4DCA}"/>
            </c:ext>
          </c:extLst>
        </c:ser>
        <c:ser>
          <c:idx val="2"/>
          <c:order val="2"/>
          <c:tx>
            <c:strRef>
              <c:f>'List of Ratios'!$B$11</c:f>
              <c:strCache>
                <c:ptCount val="1"/>
                <c:pt idx="0">
                  <c:v>Receivable Days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Ratios'!$C$11:$E$11</c:f>
              <c:numCache>
                <c:formatCode>_(* #,##0.0_);_(* \(#,##0.0\);_(* "-"??_);_(@_)</c:formatCode>
                <c:ptCount val="3"/>
                <c:pt idx="0">
                  <c:v>25.205704388225033</c:v>
                </c:pt>
                <c:pt idx="1">
                  <c:v>21.151655062503927</c:v>
                </c:pt>
                <c:pt idx="2">
                  <c:v>25.958126149755024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70A-467C-9AC4-9D0B95DC4D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924096"/>
        <c:axId val="1344927456"/>
      </c:lineChart>
      <c:catAx>
        <c:axId val="134492409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27456"/>
        <c:crosses val="autoZero"/>
        <c:auto val="1"/>
        <c:lblAlgn val="ctr"/>
        <c:lblOffset val="100"/>
        <c:noMultiLvlLbl val="0"/>
      </c:catAx>
      <c:valAx>
        <c:axId val="1344927456"/>
        <c:scaling>
          <c:orientation val="minMax"/>
          <c:max val="120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2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Ratios'!$B$13</c:f>
              <c:strCache>
                <c:ptCount val="1"/>
                <c:pt idx="0">
                  <c:v>Working Capital as a % of Sales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Ratios'!$C$13:$E$13</c:f>
              <c:numCache>
                <c:formatCode>0.0%</c:formatCode>
                <c:ptCount val="3"/>
                <c:pt idx="0">
                  <c:v>-4.711052727678481E-2</c:v>
                </c:pt>
                <c:pt idx="1">
                  <c:v>2.557289573748623E-2</c:v>
                </c:pt>
                <c:pt idx="2">
                  <c:v>0.13959528623208203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E3-4379-A4D9-159ADB3EF8B6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0.2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'List of Ratios'!$B$17</c:f>
              <c:strCache>
                <c:ptCount val="1"/>
                <c:pt idx="0">
                  <c:v>Gross margin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Ratios'!$C$17:$E$17</c:f>
              <c:numCache>
                <c:formatCode>0.0%</c:formatCode>
                <c:ptCount val="3"/>
                <c:pt idx="0">
                  <c:v>0.43309630561360085</c:v>
                </c:pt>
                <c:pt idx="1">
                  <c:v>0.41779359625167778</c:v>
                </c:pt>
                <c:pt idx="2">
                  <c:v>0.38233247727810865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895-4238-ABD1-4DE7C65F3CDF}"/>
            </c:ext>
          </c:extLst>
        </c:ser>
        <c:ser>
          <c:idx val="1"/>
          <c:order val="1"/>
          <c:tx>
            <c:strRef>
              <c:f>'List of Ratios'!$B$18</c:f>
              <c:strCache>
                <c:ptCount val="1"/>
                <c:pt idx="0">
                  <c:v>EBITDA margin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Ratios'!$C$18:$E$18</c:f>
              <c:numCache>
                <c:formatCode>0.0%</c:formatCode>
                <c:ptCount val="3"/>
                <c:pt idx="0">
                  <c:v>0.3310467428130896</c:v>
                </c:pt>
                <c:pt idx="1">
                  <c:v>0.32866979938056462</c:v>
                </c:pt>
                <c:pt idx="2">
                  <c:v>0.2817478097736007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95-4238-ABD1-4DE7C65F3CDF}"/>
            </c:ext>
          </c:extLst>
        </c:ser>
        <c:ser>
          <c:idx val="3"/>
          <c:order val="3"/>
          <c:tx>
            <c:strRef>
              <c:f>'List of Ratios'!$B$20</c:f>
              <c:strCache>
                <c:ptCount val="1"/>
                <c:pt idx="0">
                  <c:v>EBIT margin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Ratios'!$C$20:$E$20</c:f>
              <c:numCache>
                <c:formatCode>0.0%</c:formatCode>
                <c:ptCount val="3"/>
                <c:pt idx="0">
                  <c:v>0.30288744395528594</c:v>
                </c:pt>
                <c:pt idx="1">
                  <c:v>0.29782377527561593</c:v>
                </c:pt>
                <c:pt idx="2">
                  <c:v>0.24147314354406862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895-4238-ABD1-4DE7C65F3CDF}"/>
            </c:ext>
          </c:extLst>
        </c:ser>
        <c:ser>
          <c:idx val="5"/>
          <c:order val="5"/>
          <c:tx>
            <c:strRef>
              <c:f>'List of Ratios'!$B$22</c:f>
              <c:strCache>
                <c:ptCount val="1"/>
                <c:pt idx="0">
                  <c:v>Net margin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Ratios'!$C$22:$E$22</c:f>
              <c:numCache>
                <c:formatCode>0.0%</c:formatCode>
                <c:ptCount val="3"/>
                <c:pt idx="0">
                  <c:v>0.25309640705199732</c:v>
                </c:pt>
                <c:pt idx="1">
                  <c:v>0.25881793355694238</c:v>
                </c:pt>
                <c:pt idx="2">
                  <c:v>0.20913611278072236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895-4238-ABD1-4DE7C65F3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924096"/>
        <c:axId val="1344927456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'List of Ratios'!$B$19</c15:sqref>
                        </c15:formulaRef>
                      </c:ext>
                    </c:extLst>
                    <c:strCache>
                      <c:ptCount val="1"/>
                      <c:pt idx="0">
                        <c:v>EBITDA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'List of Ratios'!$C$3:$E$3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'List of Ratios'!$C$19:$E$19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3"/>
                      <c:pt idx="0">
                        <c:v>130541</c:v>
                      </c:pt>
                      <c:pt idx="1">
                        <c:v>120233</c:v>
                      </c:pt>
                      <c:pt idx="2">
                        <c:v>77344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4-4895-4238-ABD1-4DE7C65F3CDF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'List of Ratios'!$B$21</c15:sqref>
                        </c15:formulaRef>
                      </c:ext>
                    </c:extLst>
                    <c:strCache>
                      <c:ptCount val="1"/>
                      <c:pt idx="0">
                        <c:v>EBIT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5"/>
                    </a:solidFill>
                    <a:ln w="9525">
                      <a:solidFill>
                        <a:schemeClr val="accent5"/>
                      </a:solidFill>
                    </a:ln>
                    <a:effectLst/>
                  </c:spPr>
                </c:marker>
                <c:cat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'List of Ratios'!$C$3:$E$3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2022</c:v>
                      </c:pt>
                      <c:pt idx="1">
                        <c:v>2021</c:v>
                      </c:pt>
                      <c:pt idx="2">
                        <c:v>2020</c:v>
                      </c:pt>
                    </c:numCache>
                  </c:num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'List of Ratios'!$C$21:$E$21</c15:sqref>
                        </c15:formulaRef>
                      </c:ext>
                    </c:extLst>
                    <c:numCache>
                      <c:formatCode>_(* #,##0_);_(* \(#,##0\);_(* "-"??_);_(@_)</c:formatCode>
                      <c:ptCount val="3"/>
                      <c:pt idx="0">
                        <c:v>119437</c:v>
                      </c:pt>
                      <c:pt idx="1">
                        <c:v>108949</c:v>
                      </c:pt>
                      <c:pt idx="2">
                        <c:v>66288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895-4238-ABD1-4DE7C65F3CDF}"/>
                  </c:ext>
                </c:extLst>
              </c15:ser>
            </c15:filteredLineSeries>
          </c:ext>
        </c:extLst>
      </c:lineChart>
      <c:catAx>
        <c:axId val="134492409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27456"/>
        <c:crosses val="autoZero"/>
        <c:auto val="1"/>
        <c:lblAlgn val="ctr"/>
        <c:lblOffset val="100"/>
        <c:noMultiLvlLbl val="0"/>
      </c:catAx>
      <c:valAx>
        <c:axId val="1344927456"/>
        <c:scaling>
          <c:orientation val="minMax"/>
          <c:max val="0.5"/>
          <c:min val="0.2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492409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Ratios'!$B$25</c:f>
              <c:strCache>
                <c:ptCount val="1"/>
                <c:pt idx="0">
                  <c:v>Debt to equity (D/E)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Ratios'!$C$25:$E$25</c:f>
              <c:numCache>
                <c:formatCode>_(* #,##0.0_);_(* \(#,##0.0\);_(* "-"??_);_(@_)</c:formatCode>
                <c:ptCount val="3"/>
                <c:pt idx="0">
                  <c:v>2.3695334701610355</c:v>
                </c:pt>
                <c:pt idx="1">
                  <c:v>1.9768426058012363</c:v>
                </c:pt>
                <c:pt idx="2">
                  <c:v>1.7208099297509909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E0-41A5-9305-DE1F2E1F584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3"/>
          <c:min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'List of Ratios'!$B$26</c:f>
              <c:strCache>
                <c:ptCount val="1"/>
                <c:pt idx="0">
                  <c:v>Debt to total assets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'List of Ratios'!$C$3:$E$3</c:f>
              <c:numCache>
                <c:formatCode>General</c:formatCode>
                <c:ptCount val="3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</c:numCache>
            </c:numRef>
          </c:cat>
          <c:val>
            <c:numRef>
              <c:f>'List of Ratios'!$C$26:$E$26</c:f>
              <c:numCache>
                <c:formatCode>_(* #,##0.0_);_(* \(#,##0.0\);_(* "-"??_);_(@_)</c:formatCode>
                <c:ptCount val="3"/>
                <c:pt idx="0">
                  <c:v>0.34037504783773442</c:v>
                </c:pt>
                <c:pt idx="1">
                  <c:v>0.35532276169366556</c:v>
                </c:pt>
                <c:pt idx="2">
                  <c:v>0.34714469199229364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72-4FCD-A32D-CEB36343598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21143136"/>
        <c:axId val="1121145056"/>
      </c:lineChart>
      <c:catAx>
        <c:axId val="1121143136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5056"/>
        <c:crosses val="autoZero"/>
        <c:auto val="1"/>
        <c:lblAlgn val="ctr"/>
        <c:lblOffset val="100"/>
        <c:noMultiLvlLbl val="0"/>
      </c:catAx>
      <c:valAx>
        <c:axId val="1121145056"/>
        <c:scaling>
          <c:orientation val="minMax"/>
          <c:max val="1"/>
          <c:min val="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_);_(* \(#,##0.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114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Dugar</dc:creator>
  <cp:keywords/>
  <dc:description/>
  <cp:lastModifiedBy>Sachin Dugar</cp:lastModifiedBy>
  <cp:revision>8</cp:revision>
  <dcterms:created xsi:type="dcterms:W3CDTF">2024-09-09T10:25:00Z</dcterms:created>
  <dcterms:modified xsi:type="dcterms:W3CDTF">2024-09-10T19:59:00Z</dcterms:modified>
</cp:coreProperties>
</file>