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FBB1A" w14:textId="5641B4FA" w:rsidR="00B15C26" w:rsidRPr="00C2679C" w:rsidRDefault="00C2679C" w:rsidP="00B15C26">
      <w:pPr>
        <w:rPr>
          <w:b/>
          <w:bCs/>
          <w:i/>
          <w:iCs/>
          <w:color w:val="FFFFFF" w:themeColor="background1"/>
          <w:sz w:val="52"/>
          <w:szCs w:val="52"/>
        </w:rPr>
      </w:pPr>
      <w:r w:rsidRPr="00C2679C">
        <w:rPr>
          <w:b/>
          <w:bCs/>
          <w:i/>
          <w:iCs/>
          <w:color w:val="FFFFFF" w:themeColor="background1"/>
          <w:sz w:val="52"/>
          <w:szCs w:val="52"/>
          <w:highlight w:val="blue"/>
        </w:rPr>
        <w:t>Market Research Report on Visa Inc.</w:t>
      </w:r>
    </w:p>
    <w:p w14:paraId="4EC9AD9C" w14:textId="3BD8DC4A" w:rsidR="00B15C26" w:rsidRPr="00A35C3E" w:rsidRDefault="0092058F" w:rsidP="00B15C26">
      <w:pPr>
        <w:rPr>
          <w:b/>
          <w:bCs/>
          <w:color w:val="FFFFFF" w:themeColor="background1"/>
          <w:sz w:val="32"/>
          <w:szCs w:val="32"/>
        </w:rPr>
      </w:pPr>
      <w:r w:rsidRPr="00A35C3E">
        <w:rPr>
          <w:b/>
          <w:bCs/>
          <w:color w:val="FFFFFF" w:themeColor="background1"/>
          <w:sz w:val="32"/>
          <w:szCs w:val="32"/>
          <w:highlight w:val="darkGray"/>
        </w:rPr>
        <w:t>1. Industry Identification</w:t>
      </w:r>
    </w:p>
    <w:p w14:paraId="4DA8E512" w14:textId="56FD648E" w:rsidR="00B15C26" w:rsidRPr="00B15C26" w:rsidRDefault="00B15C26" w:rsidP="00B15C26">
      <w:pPr>
        <w:spacing w:line="360" w:lineRule="auto"/>
        <w:jc w:val="both"/>
        <w:rPr>
          <w:rFonts w:cstheme="minorHAnsi"/>
          <w:sz w:val="24"/>
          <w:szCs w:val="24"/>
        </w:rPr>
      </w:pPr>
      <w:r w:rsidRPr="00B15C26">
        <w:rPr>
          <w:rFonts w:cstheme="minorHAnsi"/>
          <w:sz w:val="24"/>
          <w:szCs w:val="24"/>
        </w:rPr>
        <w:t xml:space="preserve">Visa Inc. operates in the digital payments and financial technology (fintech) sector, which has rapidly transformed global finance by enabling digital money transfers across borders and within domestic markets (Visa Inc., 2023). This sector’s growth is propelled by technological innovation, regulatory changes, and the increasing digitization of consumer </w:t>
      </w:r>
      <w:proofErr w:type="spellStart"/>
      <w:r w:rsidRPr="00B15C26">
        <w:rPr>
          <w:rFonts w:cstheme="minorHAnsi"/>
          <w:sz w:val="24"/>
          <w:szCs w:val="24"/>
        </w:rPr>
        <w:t>behavior</w:t>
      </w:r>
      <w:proofErr w:type="spellEnd"/>
      <w:r w:rsidRPr="00B15C26">
        <w:rPr>
          <w:rFonts w:cstheme="minorHAnsi"/>
          <w:sz w:val="24"/>
          <w:szCs w:val="24"/>
        </w:rPr>
        <w:t xml:space="preserve"> (PwC, 2023). According to Jain (2021), the adoption of digital payment solutions has been accelerated by convenience and the growing ubiquity of mobile devices, allowing companies like Visa to expand their networks globally. The global digital payments market, valued at over $7 trillion in 2022, is expected to grow as consumers increasingly adopt mobile wallets and contactless payments (KPMG, 2023; PwC, 2023).</w:t>
      </w:r>
    </w:p>
    <w:p w14:paraId="1F529BFD" w14:textId="26FC9D9C" w:rsidR="00B15C26" w:rsidRPr="00A35C3E" w:rsidRDefault="00B15C26" w:rsidP="00A35C3E">
      <w:pPr>
        <w:rPr>
          <w:b/>
          <w:bCs/>
          <w:color w:val="FFFFFF" w:themeColor="background1"/>
          <w:sz w:val="32"/>
          <w:szCs w:val="32"/>
          <w:highlight w:val="darkGray"/>
        </w:rPr>
      </w:pPr>
      <w:r w:rsidRPr="00A35C3E">
        <w:rPr>
          <w:b/>
          <w:bCs/>
          <w:color w:val="FFFFFF" w:themeColor="background1"/>
          <w:sz w:val="32"/>
          <w:szCs w:val="32"/>
          <w:highlight w:val="darkGray"/>
        </w:rPr>
        <w:t>2. Close Peers</w:t>
      </w:r>
      <w:r w:rsidR="0092058F" w:rsidRPr="00A35C3E">
        <w:rPr>
          <w:b/>
          <w:bCs/>
          <w:color w:val="FFFFFF" w:themeColor="background1"/>
          <w:sz w:val="32"/>
          <w:szCs w:val="32"/>
          <w:highlight w:val="darkGray"/>
        </w:rPr>
        <w:t xml:space="preserve"> of VISA</w:t>
      </w:r>
    </w:p>
    <w:p w14:paraId="390BE428" w14:textId="6368C625" w:rsidR="00B15C26" w:rsidRPr="00B15C26" w:rsidRDefault="00B15C26" w:rsidP="00B15C26">
      <w:pPr>
        <w:spacing w:line="360" w:lineRule="auto"/>
        <w:jc w:val="both"/>
        <w:rPr>
          <w:rFonts w:cstheme="minorHAnsi"/>
          <w:sz w:val="24"/>
          <w:szCs w:val="24"/>
        </w:rPr>
      </w:pPr>
      <w:r w:rsidRPr="00B15C26">
        <w:rPr>
          <w:rFonts w:cstheme="minorHAnsi"/>
          <w:sz w:val="24"/>
          <w:szCs w:val="24"/>
        </w:rPr>
        <w:t>Visa competes closely with two major global entities in the payments industry:</w:t>
      </w:r>
    </w:p>
    <w:p w14:paraId="183C960B" w14:textId="77777777" w:rsidR="00B15C26" w:rsidRPr="00B15C26" w:rsidRDefault="00B15C26" w:rsidP="00B15C26">
      <w:pPr>
        <w:spacing w:line="360" w:lineRule="auto"/>
        <w:jc w:val="both"/>
        <w:rPr>
          <w:rFonts w:cstheme="minorHAnsi"/>
          <w:sz w:val="24"/>
          <w:szCs w:val="24"/>
        </w:rPr>
      </w:pPr>
      <w:r w:rsidRPr="00B15C26">
        <w:rPr>
          <w:rFonts w:cstheme="minorHAnsi"/>
          <w:b/>
          <w:bCs/>
          <w:sz w:val="24"/>
          <w:szCs w:val="24"/>
        </w:rPr>
        <w:t>Mastercard:</w:t>
      </w:r>
      <w:r w:rsidRPr="00B15C26">
        <w:rPr>
          <w:rFonts w:cstheme="minorHAnsi"/>
          <w:sz w:val="24"/>
          <w:szCs w:val="24"/>
        </w:rPr>
        <w:t xml:space="preserve"> Like Visa, Mastercard provides payment processing for credit, debit, and prepaid cards, and operates on a global scale. Mastercard’s focus on digital transformation, cybersecurity, and partnerships with fintech companies mirrors Visa’s strategy (KPMG, 2023). According to Gartner (2021), Mastercard’s approach has involved significant investment in AI and blockchain to enhance transaction security, aligning closely with Visa's priorities.</w:t>
      </w:r>
    </w:p>
    <w:p w14:paraId="6754F0B8" w14:textId="77777777" w:rsidR="00B15C26" w:rsidRPr="00B15C26" w:rsidRDefault="00B15C26" w:rsidP="00B15C26">
      <w:pPr>
        <w:spacing w:line="360" w:lineRule="auto"/>
        <w:jc w:val="both"/>
        <w:rPr>
          <w:rFonts w:cstheme="minorHAnsi"/>
          <w:sz w:val="24"/>
          <w:szCs w:val="24"/>
        </w:rPr>
      </w:pPr>
      <w:r w:rsidRPr="00B15C26">
        <w:rPr>
          <w:rFonts w:cstheme="minorHAnsi"/>
          <w:b/>
          <w:bCs/>
          <w:sz w:val="24"/>
          <w:szCs w:val="24"/>
        </w:rPr>
        <w:t>American Express:</w:t>
      </w:r>
      <w:r w:rsidRPr="00B15C26">
        <w:rPr>
          <w:rFonts w:cstheme="minorHAnsi"/>
          <w:sz w:val="24"/>
          <w:szCs w:val="24"/>
        </w:rPr>
        <w:t xml:space="preserve"> While American Express is unique in directly issuing cards to high-income consumers, it remains a significant competitor due to its strong brand and focus on premium services and customer loyalty programs (PwC, 2023). Research by Foss and Stone (2020) suggests that American Express's focus on high-net-worth individuals and premium rewards programs provides it with a competitive niche, particularly in markets where Visa competes for affluent customers.</w:t>
      </w:r>
    </w:p>
    <w:p w14:paraId="40A3C30C" w14:textId="77777777" w:rsidR="00B15C26" w:rsidRPr="00B15C26" w:rsidRDefault="00B15C26" w:rsidP="00B15C26">
      <w:pPr>
        <w:spacing w:line="360" w:lineRule="auto"/>
        <w:jc w:val="both"/>
        <w:rPr>
          <w:rFonts w:cstheme="minorHAnsi"/>
          <w:sz w:val="24"/>
          <w:szCs w:val="24"/>
        </w:rPr>
      </w:pPr>
      <w:r w:rsidRPr="00B15C26">
        <w:rPr>
          <w:rFonts w:cstheme="minorHAnsi"/>
          <w:b/>
          <w:bCs/>
          <w:sz w:val="24"/>
          <w:szCs w:val="24"/>
        </w:rPr>
        <w:t>Strategic Implications:</w:t>
      </w:r>
      <w:r w:rsidRPr="00B15C26">
        <w:rPr>
          <w:rFonts w:cstheme="minorHAnsi"/>
          <w:sz w:val="24"/>
          <w:szCs w:val="24"/>
        </w:rPr>
        <w:t xml:space="preserve"> The similar strategic paths of Mastercard and Visa highlight a broader industry trend of aligning fintech innovation with consumer demand for secure, fast, and convenient payments (Hassani, Huang, &amp; Silva, 2020). Real-time payment networks like </w:t>
      </w:r>
      <w:proofErr w:type="spellStart"/>
      <w:r w:rsidRPr="00B15C26">
        <w:rPr>
          <w:rFonts w:cstheme="minorHAnsi"/>
          <w:sz w:val="24"/>
          <w:szCs w:val="24"/>
        </w:rPr>
        <w:t>FedNow</w:t>
      </w:r>
      <w:proofErr w:type="spellEnd"/>
      <w:r w:rsidRPr="00B15C26">
        <w:rPr>
          <w:rFonts w:cstheme="minorHAnsi"/>
          <w:sz w:val="24"/>
          <w:szCs w:val="24"/>
        </w:rPr>
        <w:t xml:space="preserve"> and digital wallets such as Apple Pay further intensify competition, driving Visa to continuously evolve its service offerings (PwC, 2023; Visa Inc., 2023).</w:t>
      </w:r>
    </w:p>
    <w:p w14:paraId="657E7507" w14:textId="77777777" w:rsidR="00B15C26" w:rsidRPr="00B15C26" w:rsidRDefault="00B15C26" w:rsidP="00B15C26">
      <w:pPr>
        <w:spacing w:line="360" w:lineRule="auto"/>
        <w:jc w:val="both"/>
        <w:rPr>
          <w:rFonts w:cstheme="minorHAnsi"/>
          <w:sz w:val="24"/>
          <w:szCs w:val="24"/>
        </w:rPr>
      </w:pPr>
    </w:p>
    <w:p w14:paraId="3F5C8D4C" w14:textId="77777777" w:rsidR="00B15C26" w:rsidRPr="00A35C3E" w:rsidRDefault="00B15C26" w:rsidP="00A35C3E">
      <w:pPr>
        <w:rPr>
          <w:b/>
          <w:bCs/>
          <w:color w:val="FFFFFF" w:themeColor="background1"/>
          <w:sz w:val="32"/>
          <w:szCs w:val="32"/>
          <w:highlight w:val="darkGray"/>
        </w:rPr>
      </w:pPr>
      <w:r w:rsidRPr="00A35C3E">
        <w:rPr>
          <w:b/>
          <w:bCs/>
          <w:color w:val="FFFFFF" w:themeColor="background1"/>
          <w:sz w:val="32"/>
          <w:szCs w:val="32"/>
          <w:highlight w:val="darkGray"/>
        </w:rPr>
        <w:t>3. Substitutes and New Markets</w:t>
      </w:r>
    </w:p>
    <w:p w14:paraId="51005F7E" w14:textId="458654C7" w:rsidR="00B15C26" w:rsidRPr="00B15C26" w:rsidRDefault="00B15C26" w:rsidP="00B15C26">
      <w:pPr>
        <w:spacing w:line="360" w:lineRule="auto"/>
        <w:jc w:val="both"/>
        <w:rPr>
          <w:rFonts w:cstheme="minorHAnsi"/>
          <w:sz w:val="24"/>
          <w:szCs w:val="24"/>
        </w:rPr>
      </w:pPr>
      <w:r w:rsidRPr="00B15C26">
        <w:rPr>
          <w:rFonts w:cstheme="minorHAnsi"/>
          <w:sz w:val="24"/>
          <w:szCs w:val="24"/>
        </w:rPr>
        <w:t>Visa faces several substitutes and is actively exploring new market segments:</w:t>
      </w:r>
    </w:p>
    <w:p w14:paraId="01FA403E" w14:textId="77777777" w:rsidR="0092058F" w:rsidRPr="00A35C3E" w:rsidRDefault="00B15C26" w:rsidP="00A35C3E">
      <w:pPr>
        <w:rPr>
          <w:b/>
          <w:bCs/>
          <w:sz w:val="32"/>
          <w:szCs w:val="32"/>
          <w:highlight w:val="darkGray"/>
        </w:rPr>
      </w:pPr>
      <w:r w:rsidRPr="00A35C3E">
        <w:rPr>
          <w:b/>
          <w:bCs/>
          <w:sz w:val="32"/>
          <w:szCs w:val="32"/>
          <w:highlight w:val="darkGray"/>
        </w:rPr>
        <w:t>Substitutes:</w:t>
      </w:r>
    </w:p>
    <w:p w14:paraId="165C571E" w14:textId="6C332AB5" w:rsidR="00B15C26" w:rsidRPr="00B15C26" w:rsidRDefault="00B15C26" w:rsidP="00B15C26">
      <w:pPr>
        <w:spacing w:line="360" w:lineRule="auto"/>
        <w:jc w:val="both"/>
        <w:rPr>
          <w:rFonts w:cstheme="minorHAnsi"/>
          <w:sz w:val="24"/>
          <w:szCs w:val="24"/>
        </w:rPr>
      </w:pPr>
      <w:r w:rsidRPr="00B15C26">
        <w:rPr>
          <w:rFonts w:cstheme="minorHAnsi"/>
          <w:sz w:val="24"/>
          <w:szCs w:val="24"/>
        </w:rPr>
        <w:t xml:space="preserve"> While cash and checks remain alternative payment forms, the real competition arises from digital-first solutions such as cryptocurrencies, blockchain-based systems, and real-time payment networks like UPI in India and </w:t>
      </w:r>
      <w:proofErr w:type="spellStart"/>
      <w:r w:rsidRPr="00B15C26">
        <w:rPr>
          <w:rFonts w:cstheme="minorHAnsi"/>
          <w:sz w:val="24"/>
          <w:szCs w:val="24"/>
        </w:rPr>
        <w:t>FedNow</w:t>
      </w:r>
      <w:proofErr w:type="spellEnd"/>
      <w:r w:rsidRPr="00B15C26">
        <w:rPr>
          <w:rFonts w:cstheme="minorHAnsi"/>
          <w:sz w:val="24"/>
          <w:szCs w:val="24"/>
        </w:rPr>
        <w:t xml:space="preserve"> in the U.S. (CNN, 2023). KPMG (2023) reports that these alternatives offer advantages in transaction cost, speed, and decentralization, challenging Visa’s traditional processing model. Tollefson (2021) discusses how blockchain technology is particularly disruptive due to its decentralized nature, which reduces the need for intermediaries like Visa.</w:t>
      </w:r>
    </w:p>
    <w:p w14:paraId="6F86D46A" w14:textId="77777777" w:rsidR="00B15C26" w:rsidRPr="00B15C26" w:rsidRDefault="00B15C26" w:rsidP="00B15C26">
      <w:pPr>
        <w:spacing w:line="360" w:lineRule="auto"/>
        <w:jc w:val="both"/>
        <w:rPr>
          <w:rFonts w:cstheme="minorHAnsi"/>
          <w:sz w:val="24"/>
          <w:szCs w:val="24"/>
        </w:rPr>
      </w:pPr>
    </w:p>
    <w:p w14:paraId="04C68EFA" w14:textId="4D6F403E" w:rsidR="00B15C26" w:rsidRPr="00A35C3E" w:rsidRDefault="00B15C26" w:rsidP="00A35C3E">
      <w:pPr>
        <w:rPr>
          <w:b/>
          <w:bCs/>
          <w:sz w:val="32"/>
          <w:szCs w:val="32"/>
          <w:highlight w:val="darkGray"/>
        </w:rPr>
      </w:pPr>
      <w:r w:rsidRPr="00A35C3E">
        <w:rPr>
          <w:b/>
          <w:bCs/>
          <w:sz w:val="32"/>
          <w:szCs w:val="32"/>
          <w:highlight w:val="darkGray"/>
        </w:rPr>
        <w:t>New Markets:</w:t>
      </w:r>
    </w:p>
    <w:p w14:paraId="5067B189" w14:textId="77777777" w:rsidR="00B15C26" w:rsidRPr="00B15C26" w:rsidRDefault="00B15C26" w:rsidP="00B15C26">
      <w:pPr>
        <w:spacing w:line="360" w:lineRule="auto"/>
        <w:jc w:val="both"/>
        <w:rPr>
          <w:rFonts w:cstheme="minorHAnsi"/>
          <w:sz w:val="24"/>
          <w:szCs w:val="24"/>
        </w:rPr>
      </w:pPr>
      <w:r w:rsidRPr="00374810">
        <w:rPr>
          <w:rFonts w:cstheme="minorHAnsi"/>
          <w:b/>
          <w:bCs/>
          <w:sz w:val="24"/>
          <w:szCs w:val="24"/>
        </w:rPr>
        <w:t>B2B Payments:</w:t>
      </w:r>
      <w:r w:rsidRPr="00B15C26">
        <w:rPr>
          <w:rFonts w:cstheme="minorHAnsi"/>
          <w:sz w:val="24"/>
          <w:szCs w:val="24"/>
        </w:rPr>
        <w:t xml:space="preserve"> The B2B payments market is a substantial growth area, with Visa’s B2B Connect network facilitating efficient cross-border transactions. B2B transactions typically involve larger volumes and higher values, making them a profitable segment (PwC, 2023).</w:t>
      </w:r>
    </w:p>
    <w:p w14:paraId="3512AEC2" w14:textId="77777777" w:rsidR="00B15C26" w:rsidRPr="00B15C26" w:rsidRDefault="00B15C26" w:rsidP="00B15C26">
      <w:pPr>
        <w:spacing w:line="360" w:lineRule="auto"/>
        <w:jc w:val="both"/>
        <w:rPr>
          <w:rFonts w:cstheme="minorHAnsi"/>
          <w:sz w:val="24"/>
          <w:szCs w:val="24"/>
        </w:rPr>
      </w:pPr>
      <w:r w:rsidRPr="00B15C26">
        <w:rPr>
          <w:rFonts w:cstheme="minorHAnsi"/>
          <w:b/>
          <w:bCs/>
          <w:sz w:val="24"/>
          <w:szCs w:val="24"/>
        </w:rPr>
        <w:t>Government-to-Consumer (G2C) Payments:</w:t>
      </w:r>
      <w:r w:rsidRPr="00B15C26">
        <w:rPr>
          <w:rFonts w:cstheme="minorHAnsi"/>
          <w:sz w:val="24"/>
          <w:szCs w:val="24"/>
        </w:rPr>
        <w:t xml:space="preserve"> Visa Direct allows governments to disburse payments like social benefits and emergency aid, marking Visa's entry into the government payments sector. According to E&amp;Y (2023), government entities increasingly seek reliable digital payment solutions to enhance public service delivery.</w:t>
      </w:r>
    </w:p>
    <w:p w14:paraId="28C72816" w14:textId="77777777" w:rsidR="00B15C26" w:rsidRDefault="00B15C26" w:rsidP="00B15C26">
      <w:pPr>
        <w:spacing w:line="360" w:lineRule="auto"/>
        <w:jc w:val="both"/>
        <w:rPr>
          <w:rFonts w:cstheme="minorHAnsi"/>
          <w:sz w:val="24"/>
          <w:szCs w:val="24"/>
        </w:rPr>
      </w:pPr>
      <w:r w:rsidRPr="00B15C26">
        <w:rPr>
          <w:rFonts w:cstheme="minorHAnsi"/>
          <w:b/>
          <w:bCs/>
          <w:sz w:val="24"/>
          <w:szCs w:val="24"/>
        </w:rPr>
        <w:t>Digital Wallets and Mobile Payments:</w:t>
      </w:r>
      <w:r w:rsidRPr="00B15C26">
        <w:rPr>
          <w:rFonts w:cstheme="minorHAnsi"/>
          <w:sz w:val="24"/>
          <w:szCs w:val="24"/>
        </w:rPr>
        <w:t xml:space="preserve"> Partnerships with Apple Pay, Google Pay, and PayPal enable Visa to capture the rising demand for mobile transactions. Data from CNN (2023) indicates that mobile payments have surged post-COVID-19, especially among younger consumers, a trend supported by </w:t>
      </w:r>
      <w:proofErr w:type="spellStart"/>
      <w:r w:rsidRPr="00B15C26">
        <w:rPr>
          <w:rFonts w:cstheme="minorHAnsi"/>
          <w:sz w:val="24"/>
          <w:szCs w:val="24"/>
        </w:rPr>
        <w:t>Rysman</w:t>
      </w:r>
      <w:proofErr w:type="spellEnd"/>
      <w:r w:rsidRPr="00B15C26">
        <w:rPr>
          <w:rFonts w:cstheme="minorHAnsi"/>
          <w:sz w:val="24"/>
          <w:szCs w:val="24"/>
        </w:rPr>
        <w:t xml:space="preserve"> (2020) in his study on payment system evolution.</w:t>
      </w:r>
    </w:p>
    <w:p w14:paraId="064444D7" w14:textId="77777777" w:rsidR="00374810" w:rsidRDefault="00374810" w:rsidP="00A35C3E">
      <w:pPr>
        <w:rPr>
          <w:b/>
          <w:bCs/>
          <w:sz w:val="32"/>
          <w:szCs w:val="32"/>
          <w:highlight w:val="darkGray"/>
        </w:rPr>
      </w:pPr>
    </w:p>
    <w:p w14:paraId="042B2AE0" w14:textId="77777777" w:rsidR="00A35C3E" w:rsidRDefault="00A35C3E" w:rsidP="00A35C3E">
      <w:pPr>
        <w:rPr>
          <w:b/>
          <w:bCs/>
          <w:sz w:val="32"/>
          <w:szCs w:val="32"/>
          <w:highlight w:val="darkGray"/>
        </w:rPr>
      </w:pPr>
    </w:p>
    <w:p w14:paraId="53D780E8" w14:textId="77777777" w:rsidR="00A35C3E" w:rsidRPr="00A35C3E" w:rsidRDefault="00A35C3E" w:rsidP="00A35C3E">
      <w:pPr>
        <w:rPr>
          <w:b/>
          <w:bCs/>
          <w:sz w:val="32"/>
          <w:szCs w:val="32"/>
          <w:highlight w:val="darkGray"/>
        </w:rPr>
      </w:pPr>
    </w:p>
    <w:p w14:paraId="7B59A523" w14:textId="77777777" w:rsidR="00B15C26" w:rsidRPr="00A35C3E" w:rsidRDefault="00B15C26" w:rsidP="00A35C3E">
      <w:pPr>
        <w:rPr>
          <w:b/>
          <w:bCs/>
          <w:color w:val="FFFFFF" w:themeColor="background1"/>
          <w:sz w:val="32"/>
          <w:szCs w:val="32"/>
          <w:highlight w:val="darkGray"/>
        </w:rPr>
      </w:pPr>
      <w:r w:rsidRPr="00A35C3E">
        <w:rPr>
          <w:b/>
          <w:bCs/>
          <w:color w:val="FFFFFF" w:themeColor="background1"/>
          <w:sz w:val="32"/>
          <w:szCs w:val="32"/>
          <w:highlight w:val="darkGray"/>
        </w:rPr>
        <w:lastRenderedPageBreak/>
        <w:t>4. Key Revenue and Cost Drivers</w:t>
      </w:r>
    </w:p>
    <w:p w14:paraId="47974EF2" w14:textId="40005E38" w:rsidR="00B15C26" w:rsidRPr="00B15C26" w:rsidRDefault="00B15C26" w:rsidP="00B15C26">
      <w:pPr>
        <w:spacing w:line="360" w:lineRule="auto"/>
        <w:jc w:val="both"/>
        <w:rPr>
          <w:rFonts w:cstheme="minorHAnsi"/>
          <w:sz w:val="24"/>
          <w:szCs w:val="24"/>
        </w:rPr>
      </w:pPr>
      <w:r w:rsidRPr="00B15C26">
        <w:rPr>
          <w:rFonts w:cstheme="minorHAnsi"/>
          <w:sz w:val="24"/>
          <w:szCs w:val="24"/>
        </w:rPr>
        <w:t>Visa’s revenue and cost structure are reflective of its diverse service portfolio and extensive network:</w:t>
      </w:r>
    </w:p>
    <w:p w14:paraId="62472992" w14:textId="6398CCA2" w:rsidR="00B15C26" w:rsidRPr="00A35C3E" w:rsidRDefault="00B15C26" w:rsidP="00A35C3E">
      <w:pPr>
        <w:rPr>
          <w:b/>
          <w:bCs/>
          <w:sz w:val="32"/>
          <w:szCs w:val="32"/>
          <w:highlight w:val="darkGray"/>
        </w:rPr>
      </w:pPr>
      <w:r w:rsidRPr="00A35C3E">
        <w:rPr>
          <w:b/>
          <w:bCs/>
          <w:sz w:val="32"/>
          <w:szCs w:val="32"/>
          <w:highlight w:val="darkGray"/>
        </w:rPr>
        <w:t>Revenue Drivers:</w:t>
      </w:r>
    </w:p>
    <w:p w14:paraId="5F129E74" w14:textId="77777777" w:rsidR="00B15C26" w:rsidRPr="00B15C26" w:rsidRDefault="00B15C26" w:rsidP="00B15C26">
      <w:pPr>
        <w:spacing w:line="360" w:lineRule="auto"/>
        <w:jc w:val="both"/>
        <w:rPr>
          <w:rFonts w:cstheme="minorHAnsi"/>
          <w:sz w:val="24"/>
          <w:szCs w:val="24"/>
        </w:rPr>
      </w:pPr>
      <w:r w:rsidRPr="001E206B">
        <w:rPr>
          <w:rFonts w:cstheme="minorHAnsi"/>
          <w:b/>
          <w:bCs/>
          <w:sz w:val="24"/>
          <w:szCs w:val="24"/>
        </w:rPr>
        <w:t>Service Revenues:</w:t>
      </w:r>
      <w:r w:rsidRPr="00B15C26">
        <w:rPr>
          <w:rFonts w:cstheme="minorHAnsi"/>
          <w:sz w:val="24"/>
          <w:szCs w:val="24"/>
        </w:rPr>
        <w:t xml:space="preserve"> Generated from fees based on transaction volumes, Visa’s service revenue benefits from the growing trend of digital payments (Visa Inc., 2023).</w:t>
      </w:r>
    </w:p>
    <w:p w14:paraId="6855AEDD" w14:textId="77777777" w:rsidR="00B15C26" w:rsidRPr="00B15C26" w:rsidRDefault="00B15C26" w:rsidP="00B15C26">
      <w:pPr>
        <w:spacing w:line="360" w:lineRule="auto"/>
        <w:jc w:val="both"/>
        <w:rPr>
          <w:rFonts w:cstheme="minorHAnsi"/>
          <w:sz w:val="24"/>
          <w:szCs w:val="24"/>
        </w:rPr>
      </w:pPr>
      <w:r w:rsidRPr="001E206B">
        <w:rPr>
          <w:rFonts w:cstheme="minorHAnsi"/>
          <w:b/>
          <w:bCs/>
          <w:sz w:val="24"/>
          <w:szCs w:val="24"/>
        </w:rPr>
        <w:t>Data Processing Revenues:</w:t>
      </w:r>
      <w:r w:rsidRPr="00B15C26">
        <w:rPr>
          <w:rFonts w:cstheme="minorHAnsi"/>
          <w:sz w:val="24"/>
          <w:szCs w:val="24"/>
        </w:rPr>
        <w:t xml:space="preserve"> This revenue stream comes from transaction processing, including authorization and settlement. The adoption of value-added services has bolstered Visa’s data processing revenues, as </w:t>
      </w:r>
      <w:proofErr w:type="spellStart"/>
      <w:r w:rsidRPr="00B15C26">
        <w:rPr>
          <w:rFonts w:cstheme="minorHAnsi"/>
          <w:sz w:val="24"/>
          <w:szCs w:val="24"/>
        </w:rPr>
        <w:t>analyzed</w:t>
      </w:r>
      <w:proofErr w:type="spellEnd"/>
      <w:r w:rsidRPr="00B15C26">
        <w:rPr>
          <w:rFonts w:cstheme="minorHAnsi"/>
          <w:sz w:val="24"/>
          <w:szCs w:val="24"/>
        </w:rPr>
        <w:t xml:space="preserve"> by PwC (2023).</w:t>
      </w:r>
    </w:p>
    <w:p w14:paraId="3A22559D" w14:textId="77777777" w:rsidR="00B15C26" w:rsidRPr="00B15C26" w:rsidRDefault="00B15C26" w:rsidP="00B15C26">
      <w:pPr>
        <w:spacing w:line="360" w:lineRule="auto"/>
        <w:jc w:val="both"/>
        <w:rPr>
          <w:rFonts w:cstheme="minorHAnsi"/>
          <w:sz w:val="24"/>
          <w:szCs w:val="24"/>
        </w:rPr>
      </w:pPr>
      <w:r w:rsidRPr="001E206B">
        <w:rPr>
          <w:rFonts w:cstheme="minorHAnsi"/>
          <w:b/>
          <w:bCs/>
          <w:sz w:val="24"/>
          <w:szCs w:val="24"/>
        </w:rPr>
        <w:t>International Transaction Revenues:</w:t>
      </w:r>
      <w:r w:rsidRPr="00B15C26">
        <w:rPr>
          <w:rFonts w:cstheme="minorHAnsi"/>
          <w:sz w:val="24"/>
          <w:szCs w:val="24"/>
        </w:rPr>
        <w:t xml:space="preserve"> Cross-border transactions are a lucrative revenue source due to higher processing fees, particularly as international travel and e-commerce recover post-pandemic (BBC News, 2023).</w:t>
      </w:r>
    </w:p>
    <w:p w14:paraId="7B5A3D14" w14:textId="77EF5CFB" w:rsidR="00B15C26" w:rsidRPr="00A35C3E" w:rsidRDefault="00B15C26" w:rsidP="00A35C3E">
      <w:pPr>
        <w:rPr>
          <w:b/>
          <w:bCs/>
          <w:sz w:val="32"/>
          <w:szCs w:val="32"/>
          <w:highlight w:val="darkGray"/>
        </w:rPr>
      </w:pPr>
      <w:r w:rsidRPr="00A35C3E">
        <w:rPr>
          <w:b/>
          <w:bCs/>
          <w:sz w:val="32"/>
          <w:szCs w:val="32"/>
          <w:highlight w:val="darkGray"/>
        </w:rPr>
        <w:t>Cost Drivers:</w:t>
      </w:r>
    </w:p>
    <w:p w14:paraId="4FE63248" w14:textId="77777777" w:rsidR="00B15C26" w:rsidRPr="00B15C26" w:rsidRDefault="00B15C26" w:rsidP="00B15C26">
      <w:pPr>
        <w:spacing w:line="360" w:lineRule="auto"/>
        <w:jc w:val="both"/>
        <w:rPr>
          <w:rFonts w:cstheme="minorHAnsi"/>
          <w:sz w:val="24"/>
          <w:szCs w:val="24"/>
        </w:rPr>
      </w:pPr>
      <w:r w:rsidRPr="001E206B">
        <w:rPr>
          <w:rFonts w:cstheme="minorHAnsi"/>
          <w:b/>
          <w:bCs/>
          <w:sz w:val="24"/>
          <w:szCs w:val="24"/>
        </w:rPr>
        <w:t>Client Incentives:</w:t>
      </w:r>
      <w:r w:rsidRPr="00B15C26">
        <w:rPr>
          <w:rFonts w:cstheme="minorHAnsi"/>
          <w:sz w:val="24"/>
          <w:szCs w:val="24"/>
        </w:rPr>
        <w:t xml:space="preserve"> Visa pays incentives to banks and merchants to maintain transaction volumes, a significant expense in an increasingly competitive market (PwC, 2023).</w:t>
      </w:r>
    </w:p>
    <w:p w14:paraId="4D23E479" w14:textId="77777777" w:rsidR="00B15C26" w:rsidRPr="00B15C26" w:rsidRDefault="00B15C26" w:rsidP="00B15C26">
      <w:pPr>
        <w:spacing w:line="360" w:lineRule="auto"/>
        <w:jc w:val="both"/>
        <w:rPr>
          <w:rFonts w:cstheme="minorHAnsi"/>
          <w:sz w:val="24"/>
          <w:szCs w:val="24"/>
        </w:rPr>
      </w:pPr>
      <w:r w:rsidRPr="001E206B">
        <w:rPr>
          <w:rFonts w:cstheme="minorHAnsi"/>
          <w:b/>
          <w:bCs/>
          <w:sz w:val="24"/>
          <w:szCs w:val="24"/>
        </w:rPr>
        <w:t>Network Maintenance and Technology Investments:</w:t>
      </w:r>
      <w:r w:rsidRPr="00B15C26">
        <w:rPr>
          <w:rFonts w:cstheme="minorHAnsi"/>
          <w:sz w:val="24"/>
          <w:szCs w:val="24"/>
        </w:rPr>
        <w:t xml:space="preserve"> Maintaining </w:t>
      </w:r>
      <w:proofErr w:type="spellStart"/>
      <w:r w:rsidRPr="00B15C26">
        <w:rPr>
          <w:rFonts w:cstheme="minorHAnsi"/>
          <w:sz w:val="24"/>
          <w:szCs w:val="24"/>
        </w:rPr>
        <w:t>VisaNet</w:t>
      </w:r>
      <w:proofErr w:type="spellEnd"/>
      <w:r w:rsidRPr="00B15C26">
        <w:rPr>
          <w:rFonts w:cstheme="minorHAnsi"/>
          <w:sz w:val="24"/>
          <w:szCs w:val="24"/>
        </w:rPr>
        <w:t xml:space="preserve"> and investing in cybersecurity and AI technologies are essential but costly </w:t>
      </w:r>
      <w:proofErr w:type="spellStart"/>
      <w:r w:rsidRPr="00B15C26">
        <w:rPr>
          <w:rFonts w:cstheme="minorHAnsi"/>
          <w:sz w:val="24"/>
          <w:szCs w:val="24"/>
        </w:rPr>
        <w:t>endeavors</w:t>
      </w:r>
      <w:proofErr w:type="spellEnd"/>
      <w:r w:rsidRPr="00B15C26">
        <w:rPr>
          <w:rFonts w:cstheme="minorHAnsi"/>
          <w:sz w:val="24"/>
          <w:szCs w:val="24"/>
        </w:rPr>
        <w:t>, particularly as Visa scales up to handle increasing transaction volumes securely (CNN, 2023).</w:t>
      </w:r>
    </w:p>
    <w:p w14:paraId="7500DA82" w14:textId="77777777" w:rsidR="00B15C26" w:rsidRPr="00B15C26" w:rsidRDefault="00B15C26" w:rsidP="00B15C26">
      <w:pPr>
        <w:spacing w:line="360" w:lineRule="auto"/>
        <w:jc w:val="both"/>
        <w:rPr>
          <w:rFonts w:cstheme="minorHAnsi"/>
          <w:sz w:val="24"/>
          <w:szCs w:val="24"/>
        </w:rPr>
      </w:pPr>
      <w:r w:rsidRPr="001E206B">
        <w:rPr>
          <w:rFonts w:cstheme="minorHAnsi"/>
          <w:b/>
          <w:bCs/>
          <w:sz w:val="24"/>
          <w:szCs w:val="24"/>
        </w:rPr>
        <w:t>Regulatory Compliance and Cybersecurity:</w:t>
      </w:r>
      <w:r w:rsidRPr="00B15C26">
        <w:rPr>
          <w:rFonts w:cstheme="minorHAnsi"/>
          <w:sz w:val="24"/>
          <w:szCs w:val="24"/>
        </w:rPr>
        <w:t xml:space="preserve"> Compliance with AML and GDPR regulations is costly but critical for Visa’s operations. As the industry is highly regulated, Visa’s investments in legal compliance strengthen its reputation and trustworthiness (KPMG, 2023).</w:t>
      </w:r>
    </w:p>
    <w:p w14:paraId="3CCBA44A" w14:textId="77777777" w:rsidR="00B15C26" w:rsidRPr="00A35C3E" w:rsidRDefault="00B15C26" w:rsidP="00A35C3E">
      <w:pPr>
        <w:rPr>
          <w:b/>
          <w:bCs/>
          <w:color w:val="FFFFFF" w:themeColor="background1"/>
          <w:sz w:val="32"/>
          <w:szCs w:val="32"/>
          <w:highlight w:val="darkGray"/>
        </w:rPr>
      </w:pPr>
      <w:r w:rsidRPr="00A35C3E">
        <w:rPr>
          <w:b/>
          <w:bCs/>
          <w:color w:val="FFFFFF" w:themeColor="background1"/>
          <w:sz w:val="32"/>
          <w:szCs w:val="32"/>
          <w:highlight w:val="darkGray"/>
        </w:rPr>
        <w:t>5. Current Industry/Market Trends</w:t>
      </w:r>
    </w:p>
    <w:p w14:paraId="6E505773" w14:textId="34CF0C3C" w:rsidR="00B15C26" w:rsidRPr="00B15C26" w:rsidRDefault="00B15C26" w:rsidP="00B15C26">
      <w:pPr>
        <w:spacing w:line="360" w:lineRule="auto"/>
        <w:jc w:val="both"/>
        <w:rPr>
          <w:rFonts w:cstheme="minorHAnsi"/>
          <w:sz w:val="24"/>
          <w:szCs w:val="24"/>
        </w:rPr>
      </w:pPr>
      <w:r w:rsidRPr="00B15C26">
        <w:rPr>
          <w:rFonts w:cstheme="minorHAnsi"/>
          <w:sz w:val="24"/>
          <w:szCs w:val="24"/>
        </w:rPr>
        <w:t>Several trends are shaping Visa’s strategy and the broader digital payments market:</w:t>
      </w:r>
    </w:p>
    <w:p w14:paraId="1B37BFE8" w14:textId="77777777" w:rsidR="00B15C26" w:rsidRPr="00B15C26" w:rsidRDefault="00B15C26" w:rsidP="00B15C26">
      <w:pPr>
        <w:spacing w:line="360" w:lineRule="auto"/>
        <w:jc w:val="both"/>
        <w:rPr>
          <w:rFonts w:cstheme="minorHAnsi"/>
          <w:sz w:val="24"/>
          <w:szCs w:val="24"/>
        </w:rPr>
      </w:pPr>
      <w:r w:rsidRPr="001E206B">
        <w:rPr>
          <w:rFonts w:cstheme="minorHAnsi"/>
          <w:b/>
          <w:bCs/>
          <w:sz w:val="24"/>
          <w:szCs w:val="24"/>
        </w:rPr>
        <w:t>Shift to Digital Payments:</w:t>
      </w:r>
      <w:r w:rsidRPr="00B15C26">
        <w:rPr>
          <w:rFonts w:cstheme="minorHAnsi"/>
          <w:sz w:val="24"/>
          <w:szCs w:val="24"/>
        </w:rPr>
        <w:t xml:space="preserve"> COVID-19 has accelerated the shift away from cash, particularly in developed economies (CNN, 2023). Visa has capitalized on this shift with its support of tap-to-pay and mobile wallet solutions, which cater to changing consumer preferences for contactless payments (</w:t>
      </w:r>
      <w:proofErr w:type="spellStart"/>
      <w:r w:rsidRPr="00B15C26">
        <w:rPr>
          <w:rFonts w:cstheme="minorHAnsi"/>
          <w:sz w:val="24"/>
          <w:szCs w:val="24"/>
        </w:rPr>
        <w:t>Rysman</w:t>
      </w:r>
      <w:proofErr w:type="spellEnd"/>
      <w:r w:rsidRPr="00B15C26">
        <w:rPr>
          <w:rFonts w:cstheme="minorHAnsi"/>
          <w:sz w:val="24"/>
          <w:szCs w:val="24"/>
        </w:rPr>
        <w:t>, 2020).</w:t>
      </w:r>
    </w:p>
    <w:p w14:paraId="44C9D4C3" w14:textId="77777777" w:rsidR="00B15C26" w:rsidRPr="00B15C26" w:rsidRDefault="00B15C26" w:rsidP="00B15C26">
      <w:pPr>
        <w:spacing w:line="360" w:lineRule="auto"/>
        <w:jc w:val="both"/>
        <w:rPr>
          <w:rFonts w:cstheme="minorHAnsi"/>
          <w:sz w:val="24"/>
          <w:szCs w:val="24"/>
        </w:rPr>
      </w:pPr>
      <w:r w:rsidRPr="001E206B">
        <w:rPr>
          <w:rFonts w:cstheme="minorHAnsi"/>
          <w:b/>
          <w:bCs/>
          <w:sz w:val="24"/>
          <w:szCs w:val="24"/>
        </w:rPr>
        <w:lastRenderedPageBreak/>
        <w:t>Growth in Cross-Border Transactions:</w:t>
      </w:r>
      <w:r w:rsidRPr="00B15C26">
        <w:rPr>
          <w:rFonts w:cstheme="minorHAnsi"/>
          <w:sz w:val="24"/>
          <w:szCs w:val="24"/>
        </w:rPr>
        <w:t xml:space="preserve"> International transactions are key revenue drivers for Visa. The resumption of global travel and the expansion of e-commerce present growth opportunities, particularly through Visa Direct’s P2P and remittance services (PwC, 2023).</w:t>
      </w:r>
    </w:p>
    <w:p w14:paraId="0DF4207F" w14:textId="77777777" w:rsidR="00B15C26" w:rsidRPr="00B15C26" w:rsidRDefault="00B15C26" w:rsidP="00B15C26">
      <w:pPr>
        <w:spacing w:line="360" w:lineRule="auto"/>
        <w:jc w:val="both"/>
        <w:rPr>
          <w:rFonts w:cstheme="minorHAnsi"/>
          <w:sz w:val="24"/>
          <w:szCs w:val="24"/>
        </w:rPr>
      </w:pPr>
      <w:r w:rsidRPr="001E206B">
        <w:rPr>
          <w:rFonts w:cstheme="minorHAnsi"/>
          <w:b/>
          <w:bCs/>
          <w:sz w:val="24"/>
          <w:szCs w:val="24"/>
        </w:rPr>
        <w:t>Focus on Security and Fraud Prevention:</w:t>
      </w:r>
      <w:r w:rsidRPr="00B15C26">
        <w:rPr>
          <w:rFonts w:cstheme="minorHAnsi"/>
          <w:sz w:val="24"/>
          <w:szCs w:val="24"/>
        </w:rPr>
        <w:t xml:space="preserve"> With digital transactions on the rise, security has become a critical focus area. Visa’s investment in tokenization and AI-driven fraud detection solutions underlines the industry’s emphasis on securing digital transactions against growing cyber threats (Visa Inc., 2023; Hassani, Huang, &amp; Silva, 2020).</w:t>
      </w:r>
    </w:p>
    <w:p w14:paraId="568DA853" w14:textId="04118E80" w:rsidR="00556142" w:rsidRPr="00374810" w:rsidRDefault="00B15C26" w:rsidP="00556142">
      <w:pPr>
        <w:spacing w:line="360" w:lineRule="auto"/>
        <w:jc w:val="both"/>
        <w:rPr>
          <w:rFonts w:cstheme="minorHAnsi"/>
          <w:sz w:val="24"/>
          <w:szCs w:val="24"/>
        </w:rPr>
      </w:pPr>
      <w:r w:rsidRPr="001E206B">
        <w:rPr>
          <w:rFonts w:cstheme="minorHAnsi"/>
          <w:b/>
          <w:bCs/>
          <w:sz w:val="24"/>
          <w:szCs w:val="24"/>
        </w:rPr>
        <w:t>Adoption of Real-Time Payments and Digital Currencies:</w:t>
      </w:r>
      <w:r w:rsidRPr="00B15C26">
        <w:rPr>
          <w:rFonts w:cstheme="minorHAnsi"/>
          <w:sz w:val="24"/>
          <w:szCs w:val="24"/>
        </w:rPr>
        <w:t xml:space="preserve"> Real-time payment solutions and cryptocurrencies are increasingly accepted by consumers and businesses, posing both opportunities and threats. Visa’s partnerships with crypto exchanges indicate its strategic interest in adapting to these emerging technologies (KPMG, 2023; Tollefson, 2021).</w:t>
      </w:r>
    </w:p>
    <w:p w14:paraId="2F2E15D3" w14:textId="3094864A" w:rsidR="001E206B" w:rsidRPr="00A35C3E" w:rsidRDefault="00556142" w:rsidP="00A35C3E">
      <w:pPr>
        <w:rPr>
          <w:b/>
          <w:bCs/>
          <w:color w:val="FFFFFF" w:themeColor="background1"/>
          <w:sz w:val="32"/>
          <w:szCs w:val="32"/>
          <w:highlight w:val="darkGray"/>
        </w:rPr>
      </w:pPr>
      <w:r w:rsidRPr="00A35C3E">
        <w:rPr>
          <w:b/>
          <w:bCs/>
          <w:color w:val="FFFFFF" w:themeColor="background1"/>
          <w:sz w:val="32"/>
          <w:szCs w:val="32"/>
          <w:highlight w:val="darkGray"/>
        </w:rPr>
        <w:t>6</w:t>
      </w:r>
      <w:r w:rsidRPr="00A35C3E">
        <w:rPr>
          <w:b/>
          <w:bCs/>
          <w:color w:val="FFFFFF" w:themeColor="background1"/>
          <w:sz w:val="32"/>
          <w:szCs w:val="32"/>
          <w:highlight w:val="darkGray"/>
        </w:rPr>
        <w:t xml:space="preserve">. </w:t>
      </w:r>
      <w:r w:rsidRPr="00A35C3E">
        <w:rPr>
          <w:b/>
          <w:bCs/>
          <w:color w:val="FFFFFF" w:themeColor="background1"/>
          <w:sz w:val="32"/>
          <w:szCs w:val="32"/>
          <w:highlight w:val="darkGray"/>
        </w:rPr>
        <w:t>SWOT</w:t>
      </w:r>
      <w:r w:rsidRPr="00A35C3E">
        <w:rPr>
          <w:b/>
          <w:bCs/>
          <w:color w:val="FFFFFF" w:themeColor="background1"/>
          <w:sz w:val="32"/>
          <w:szCs w:val="32"/>
          <w:highlight w:val="darkGray"/>
        </w:rPr>
        <w:t xml:space="preserve"> Analysis</w:t>
      </w:r>
    </w:p>
    <w:tbl>
      <w:tblPr>
        <w:tblStyle w:val="TableGrid"/>
        <w:tblW w:w="0" w:type="auto"/>
        <w:tblLook w:val="04A0" w:firstRow="1" w:lastRow="0" w:firstColumn="1" w:lastColumn="0" w:noHBand="0" w:noVBand="1"/>
      </w:tblPr>
      <w:tblGrid>
        <w:gridCol w:w="960"/>
        <w:gridCol w:w="3910"/>
        <w:gridCol w:w="4146"/>
      </w:tblGrid>
      <w:tr w:rsidR="00556142" w:rsidRPr="00556142" w14:paraId="50469928" w14:textId="77777777" w:rsidTr="00556142">
        <w:trPr>
          <w:trHeight w:val="288"/>
        </w:trPr>
        <w:tc>
          <w:tcPr>
            <w:tcW w:w="960" w:type="dxa"/>
            <w:noWrap/>
            <w:hideMark/>
          </w:tcPr>
          <w:p w14:paraId="3A2C8BCA"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 </w:t>
            </w:r>
          </w:p>
        </w:tc>
        <w:tc>
          <w:tcPr>
            <w:tcW w:w="6980" w:type="dxa"/>
            <w:hideMark/>
          </w:tcPr>
          <w:p w14:paraId="59FB9860" w14:textId="77777777" w:rsidR="00556142" w:rsidRPr="00556142" w:rsidRDefault="00556142" w:rsidP="00556142">
            <w:pPr>
              <w:spacing w:line="360" w:lineRule="auto"/>
              <w:jc w:val="both"/>
              <w:rPr>
                <w:rFonts w:cstheme="minorHAnsi"/>
                <w:b/>
                <w:bCs/>
                <w:sz w:val="28"/>
                <w:szCs w:val="28"/>
              </w:rPr>
            </w:pPr>
            <w:r w:rsidRPr="00556142">
              <w:rPr>
                <w:rFonts w:cstheme="minorHAnsi"/>
                <w:b/>
                <w:bCs/>
                <w:sz w:val="28"/>
                <w:szCs w:val="28"/>
              </w:rPr>
              <w:t>Strengths</w:t>
            </w:r>
          </w:p>
        </w:tc>
        <w:tc>
          <w:tcPr>
            <w:tcW w:w="7860" w:type="dxa"/>
            <w:hideMark/>
          </w:tcPr>
          <w:p w14:paraId="24118C78" w14:textId="77777777" w:rsidR="00556142" w:rsidRPr="00556142" w:rsidRDefault="00556142" w:rsidP="00556142">
            <w:pPr>
              <w:spacing w:line="360" w:lineRule="auto"/>
              <w:jc w:val="both"/>
              <w:rPr>
                <w:rFonts w:cstheme="minorHAnsi"/>
                <w:b/>
                <w:bCs/>
                <w:sz w:val="28"/>
                <w:szCs w:val="28"/>
              </w:rPr>
            </w:pPr>
            <w:r w:rsidRPr="00556142">
              <w:rPr>
                <w:rFonts w:cstheme="minorHAnsi"/>
                <w:b/>
                <w:bCs/>
                <w:sz w:val="28"/>
                <w:szCs w:val="28"/>
              </w:rPr>
              <w:t>Weaknesses</w:t>
            </w:r>
          </w:p>
        </w:tc>
      </w:tr>
      <w:tr w:rsidR="00556142" w:rsidRPr="00556142" w14:paraId="053E3FC5" w14:textId="77777777" w:rsidTr="00556142">
        <w:trPr>
          <w:trHeight w:val="288"/>
        </w:trPr>
        <w:tc>
          <w:tcPr>
            <w:tcW w:w="960" w:type="dxa"/>
            <w:noWrap/>
            <w:hideMark/>
          </w:tcPr>
          <w:p w14:paraId="3F6E6AE6"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1</w:t>
            </w:r>
          </w:p>
        </w:tc>
        <w:tc>
          <w:tcPr>
            <w:tcW w:w="6980" w:type="dxa"/>
            <w:hideMark/>
          </w:tcPr>
          <w:p w14:paraId="0A07CB74"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Strong global brand and network, spanning over 200 countries (PwC, 2023).</w:t>
            </w:r>
          </w:p>
        </w:tc>
        <w:tc>
          <w:tcPr>
            <w:tcW w:w="7860" w:type="dxa"/>
            <w:hideMark/>
          </w:tcPr>
          <w:p w14:paraId="6814E912"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Reliance on transaction volume, which is sensitive to economic cycles (Visa Inc., 2023).</w:t>
            </w:r>
          </w:p>
        </w:tc>
      </w:tr>
      <w:tr w:rsidR="00556142" w:rsidRPr="00556142" w14:paraId="5B3A2CBC" w14:textId="77777777" w:rsidTr="00556142">
        <w:trPr>
          <w:trHeight w:val="288"/>
        </w:trPr>
        <w:tc>
          <w:tcPr>
            <w:tcW w:w="960" w:type="dxa"/>
            <w:noWrap/>
            <w:hideMark/>
          </w:tcPr>
          <w:p w14:paraId="40210F14"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2</w:t>
            </w:r>
          </w:p>
        </w:tc>
        <w:tc>
          <w:tcPr>
            <w:tcW w:w="6980" w:type="dxa"/>
            <w:hideMark/>
          </w:tcPr>
          <w:p w14:paraId="4F4C5A0A" w14:textId="77777777" w:rsidR="00556142" w:rsidRPr="00556142" w:rsidRDefault="00556142" w:rsidP="00556142">
            <w:pPr>
              <w:spacing w:line="360" w:lineRule="auto"/>
              <w:jc w:val="both"/>
              <w:rPr>
                <w:rFonts w:cstheme="minorHAnsi"/>
                <w:sz w:val="24"/>
                <w:szCs w:val="24"/>
              </w:rPr>
            </w:pPr>
            <w:proofErr w:type="spellStart"/>
            <w:r w:rsidRPr="00556142">
              <w:rPr>
                <w:rFonts w:cstheme="minorHAnsi"/>
                <w:sz w:val="24"/>
                <w:szCs w:val="24"/>
              </w:rPr>
              <w:t>VisaNet’s</w:t>
            </w:r>
            <w:proofErr w:type="spellEnd"/>
            <w:r w:rsidRPr="00556142">
              <w:rPr>
                <w:rFonts w:cstheme="minorHAnsi"/>
                <w:sz w:val="24"/>
                <w:szCs w:val="24"/>
              </w:rPr>
              <w:t xml:space="preserve"> secure, reliable payment processing infrastructure (Visa Inc., 2023).</w:t>
            </w:r>
          </w:p>
        </w:tc>
        <w:tc>
          <w:tcPr>
            <w:tcW w:w="7860" w:type="dxa"/>
            <w:hideMark/>
          </w:tcPr>
          <w:p w14:paraId="3F27216D"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High regulatory pressure in many markets, limiting flexibility (PwC, 2023).</w:t>
            </w:r>
          </w:p>
        </w:tc>
      </w:tr>
      <w:tr w:rsidR="00556142" w:rsidRPr="00556142" w14:paraId="6337039C" w14:textId="77777777" w:rsidTr="00556142">
        <w:trPr>
          <w:trHeight w:val="288"/>
        </w:trPr>
        <w:tc>
          <w:tcPr>
            <w:tcW w:w="960" w:type="dxa"/>
            <w:noWrap/>
            <w:hideMark/>
          </w:tcPr>
          <w:p w14:paraId="61D315D7"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3</w:t>
            </w:r>
          </w:p>
        </w:tc>
        <w:tc>
          <w:tcPr>
            <w:tcW w:w="6980" w:type="dxa"/>
            <w:hideMark/>
          </w:tcPr>
          <w:p w14:paraId="79F9C85F"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 xml:space="preserve">Strategic partnerships with </w:t>
            </w:r>
            <w:proofErr w:type="spellStart"/>
            <w:r w:rsidRPr="00556142">
              <w:rPr>
                <w:rFonts w:cstheme="minorHAnsi"/>
                <w:sz w:val="24"/>
                <w:szCs w:val="24"/>
              </w:rPr>
              <w:t>fintechs</w:t>
            </w:r>
            <w:proofErr w:type="spellEnd"/>
            <w:r w:rsidRPr="00556142">
              <w:rPr>
                <w:rFonts w:cstheme="minorHAnsi"/>
                <w:sz w:val="24"/>
                <w:szCs w:val="24"/>
              </w:rPr>
              <w:t xml:space="preserve"> and digital wallets (BBC News, 2023).</w:t>
            </w:r>
          </w:p>
        </w:tc>
        <w:tc>
          <w:tcPr>
            <w:tcW w:w="7860" w:type="dxa"/>
            <w:hideMark/>
          </w:tcPr>
          <w:p w14:paraId="7E88DA98"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Limited control over merchant fees, affecting profitability (</w:t>
            </w:r>
            <w:proofErr w:type="spellStart"/>
            <w:r w:rsidRPr="00556142">
              <w:rPr>
                <w:rFonts w:cstheme="minorHAnsi"/>
                <w:sz w:val="24"/>
                <w:szCs w:val="24"/>
              </w:rPr>
              <w:t>Rysman</w:t>
            </w:r>
            <w:proofErr w:type="spellEnd"/>
            <w:r w:rsidRPr="00556142">
              <w:rPr>
                <w:rFonts w:cstheme="minorHAnsi"/>
                <w:sz w:val="24"/>
                <w:szCs w:val="24"/>
              </w:rPr>
              <w:t>, 2020).</w:t>
            </w:r>
          </w:p>
        </w:tc>
      </w:tr>
      <w:tr w:rsidR="00556142" w:rsidRPr="00556142" w14:paraId="4ACF1E41" w14:textId="77777777" w:rsidTr="00556142">
        <w:trPr>
          <w:trHeight w:val="288"/>
        </w:trPr>
        <w:tc>
          <w:tcPr>
            <w:tcW w:w="960" w:type="dxa"/>
            <w:noWrap/>
            <w:hideMark/>
          </w:tcPr>
          <w:p w14:paraId="50926464"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 </w:t>
            </w:r>
          </w:p>
        </w:tc>
        <w:tc>
          <w:tcPr>
            <w:tcW w:w="6980" w:type="dxa"/>
            <w:hideMark/>
          </w:tcPr>
          <w:p w14:paraId="1B223FAD"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 </w:t>
            </w:r>
          </w:p>
        </w:tc>
        <w:tc>
          <w:tcPr>
            <w:tcW w:w="7860" w:type="dxa"/>
            <w:hideMark/>
          </w:tcPr>
          <w:p w14:paraId="0BF1802E"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 </w:t>
            </w:r>
          </w:p>
        </w:tc>
      </w:tr>
      <w:tr w:rsidR="00556142" w:rsidRPr="00556142" w14:paraId="3D0682C6" w14:textId="77777777" w:rsidTr="00556142">
        <w:trPr>
          <w:trHeight w:val="288"/>
        </w:trPr>
        <w:tc>
          <w:tcPr>
            <w:tcW w:w="960" w:type="dxa"/>
            <w:noWrap/>
            <w:hideMark/>
          </w:tcPr>
          <w:p w14:paraId="06C890A3"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 </w:t>
            </w:r>
          </w:p>
        </w:tc>
        <w:tc>
          <w:tcPr>
            <w:tcW w:w="6980" w:type="dxa"/>
            <w:hideMark/>
          </w:tcPr>
          <w:p w14:paraId="57617BB4" w14:textId="77777777" w:rsidR="00556142" w:rsidRPr="00556142" w:rsidRDefault="00556142" w:rsidP="00556142">
            <w:pPr>
              <w:spacing w:line="360" w:lineRule="auto"/>
              <w:jc w:val="both"/>
              <w:rPr>
                <w:rFonts w:cstheme="minorHAnsi"/>
                <w:b/>
                <w:bCs/>
                <w:sz w:val="28"/>
                <w:szCs w:val="28"/>
              </w:rPr>
            </w:pPr>
            <w:r w:rsidRPr="00556142">
              <w:rPr>
                <w:rFonts w:cstheme="minorHAnsi"/>
                <w:b/>
                <w:bCs/>
                <w:sz w:val="28"/>
                <w:szCs w:val="28"/>
              </w:rPr>
              <w:t>Opportunities</w:t>
            </w:r>
          </w:p>
        </w:tc>
        <w:tc>
          <w:tcPr>
            <w:tcW w:w="7860" w:type="dxa"/>
            <w:hideMark/>
          </w:tcPr>
          <w:p w14:paraId="51D394F6" w14:textId="77777777" w:rsidR="00556142" w:rsidRPr="00556142" w:rsidRDefault="00556142" w:rsidP="00556142">
            <w:pPr>
              <w:spacing w:line="360" w:lineRule="auto"/>
              <w:jc w:val="both"/>
              <w:rPr>
                <w:rFonts w:cstheme="minorHAnsi"/>
                <w:b/>
                <w:bCs/>
                <w:sz w:val="28"/>
                <w:szCs w:val="28"/>
              </w:rPr>
            </w:pPr>
            <w:r w:rsidRPr="00556142">
              <w:rPr>
                <w:rFonts w:cstheme="minorHAnsi"/>
                <w:b/>
                <w:bCs/>
                <w:sz w:val="28"/>
                <w:szCs w:val="28"/>
              </w:rPr>
              <w:t>Threats</w:t>
            </w:r>
          </w:p>
        </w:tc>
      </w:tr>
      <w:tr w:rsidR="00556142" w:rsidRPr="00556142" w14:paraId="24C6303D" w14:textId="77777777" w:rsidTr="00556142">
        <w:trPr>
          <w:trHeight w:val="288"/>
        </w:trPr>
        <w:tc>
          <w:tcPr>
            <w:tcW w:w="960" w:type="dxa"/>
            <w:noWrap/>
            <w:hideMark/>
          </w:tcPr>
          <w:p w14:paraId="3DD3C4DD"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1</w:t>
            </w:r>
          </w:p>
        </w:tc>
        <w:tc>
          <w:tcPr>
            <w:tcW w:w="6980" w:type="dxa"/>
            <w:hideMark/>
          </w:tcPr>
          <w:p w14:paraId="00343173"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Expansion in B2B and G2C markets (KPMG, 2023).</w:t>
            </w:r>
          </w:p>
        </w:tc>
        <w:tc>
          <w:tcPr>
            <w:tcW w:w="7860" w:type="dxa"/>
            <w:hideMark/>
          </w:tcPr>
          <w:p w14:paraId="6D59B01D"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Rising competition from RTP networks and blockchain (Tollefson, 2021).</w:t>
            </w:r>
          </w:p>
        </w:tc>
      </w:tr>
      <w:tr w:rsidR="00556142" w:rsidRPr="00556142" w14:paraId="1D62C945" w14:textId="77777777" w:rsidTr="00556142">
        <w:trPr>
          <w:trHeight w:val="288"/>
        </w:trPr>
        <w:tc>
          <w:tcPr>
            <w:tcW w:w="960" w:type="dxa"/>
            <w:noWrap/>
            <w:hideMark/>
          </w:tcPr>
          <w:p w14:paraId="62356502"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2</w:t>
            </w:r>
          </w:p>
        </w:tc>
        <w:tc>
          <w:tcPr>
            <w:tcW w:w="6980" w:type="dxa"/>
            <w:hideMark/>
          </w:tcPr>
          <w:p w14:paraId="3570D731"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Growth in underserved markets through fintech partnerships (PwC, 2023).</w:t>
            </w:r>
          </w:p>
        </w:tc>
        <w:tc>
          <w:tcPr>
            <w:tcW w:w="7860" w:type="dxa"/>
            <w:hideMark/>
          </w:tcPr>
          <w:p w14:paraId="44FC47FF"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 xml:space="preserve">Regulatory policies </w:t>
            </w:r>
            <w:proofErr w:type="spellStart"/>
            <w:r w:rsidRPr="00556142">
              <w:rPr>
                <w:rFonts w:cstheme="minorHAnsi"/>
                <w:sz w:val="24"/>
                <w:szCs w:val="24"/>
              </w:rPr>
              <w:t>favoring</w:t>
            </w:r>
            <w:proofErr w:type="spellEnd"/>
            <w:r w:rsidRPr="00556142">
              <w:rPr>
                <w:rFonts w:cstheme="minorHAnsi"/>
                <w:sz w:val="24"/>
                <w:szCs w:val="24"/>
              </w:rPr>
              <w:t xml:space="preserve"> local networks (CNN, 2023).</w:t>
            </w:r>
          </w:p>
        </w:tc>
      </w:tr>
      <w:tr w:rsidR="00556142" w:rsidRPr="00556142" w14:paraId="35F0E460" w14:textId="77777777" w:rsidTr="00556142">
        <w:trPr>
          <w:trHeight w:val="300"/>
        </w:trPr>
        <w:tc>
          <w:tcPr>
            <w:tcW w:w="960" w:type="dxa"/>
            <w:noWrap/>
            <w:hideMark/>
          </w:tcPr>
          <w:p w14:paraId="71D0286A"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lastRenderedPageBreak/>
              <w:t>3</w:t>
            </w:r>
          </w:p>
        </w:tc>
        <w:tc>
          <w:tcPr>
            <w:tcW w:w="6980" w:type="dxa"/>
            <w:hideMark/>
          </w:tcPr>
          <w:p w14:paraId="59AB6E3B"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Leveraging AI and data analytics for enhanced services (Hui, 2021).</w:t>
            </w:r>
          </w:p>
        </w:tc>
        <w:tc>
          <w:tcPr>
            <w:tcW w:w="7860" w:type="dxa"/>
            <w:hideMark/>
          </w:tcPr>
          <w:p w14:paraId="20B0B3DD" w14:textId="77777777" w:rsidR="00556142" w:rsidRPr="00556142" w:rsidRDefault="00556142" w:rsidP="00556142">
            <w:pPr>
              <w:spacing w:line="360" w:lineRule="auto"/>
              <w:jc w:val="both"/>
              <w:rPr>
                <w:rFonts w:cstheme="minorHAnsi"/>
                <w:sz w:val="24"/>
                <w:szCs w:val="24"/>
              </w:rPr>
            </w:pPr>
            <w:r w:rsidRPr="00556142">
              <w:rPr>
                <w:rFonts w:cstheme="minorHAnsi"/>
                <w:sz w:val="24"/>
                <w:szCs w:val="24"/>
              </w:rPr>
              <w:t>Cybersecurity threats as digital volumes grow (Hassani, Huang, &amp; Silva, 2020).</w:t>
            </w:r>
          </w:p>
        </w:tc>
      </w:tr>
    </w:tbl>
    <w:p w14:paraId="66F27425" w14:textId="77777777" w:rsidR="00556142" w:rsidRPr="00556142" w:rsidRDefault="00556142" w:rsidP="00B15C26">
      <w:pPr>
        <w:spacing w:line="360" w:lineRule="auto"/>
        <w:jc w:val="both"/>
        <w:rPr>
          <w:rFonts w:cstheme="minorHAnsi"/>
          <w:sz w:val="24"/>
          <w:szCs w:val="24"/>
        </w:rPr>
      </w:pPr>
    </w:p>
    <w:p w14:paraId="5AF054FE" w14:textId="5B9E676C" w:rsidR="00B15C26" w:rsidRPr="00A35C3E" w:rsidRDefault="00B15C26" w:rsidP="00A35C3E">
      <w:pPr>
        <w:rPr>
          <w:b/>
          <w:bCs/>
          <w:color w:val="FFFFFF" w:themeColor="background1"/>
          <w:sz w:val="32"/>
          <w:szCs w:val="32"/>
          <w:highlight w:val="darkGray"/>
        </w:rPr>
      </w:pPr>
      <w:r w:rsidRPr="00A35C3E">
        <w:rPr>
          <w:b/>
          <w:bCs/>
          <w:color w:val="FFFFFF" w:themeColor="background1"/>
          <w:sz w:val="32"/>
          <w:szCs w:val="32"/>
          <w:highlight w:val="darkGray"/>
        </w:rPr>
        <w:t>7. PESTEL Analysis</w:t>
      </w:r>
    </w:p>
    <w:p w14:paraId="50F970BC" w14:textId="77777777" w:rsidR="00B15C26" w:rsidRPr="00B15C26" w:rsidRDefault="00B15C26" w:rsidP="00B15C26">
      <w:pPr>
        <w:spacing w:line="360" w:lineRule="auto"/>
        <w:jc w:val="both"/>
        <w:rPr>
          <w:rFonts w:cstheme="minorHAnsi"/>
          <w:sz w:val="24"/>
          <w:szCs w:val="24"/>
        </w:rPr>
      </w:pPr>
      <w:r w:rsidRPr="00B15C26">
        <w:rPr>
          <w:rFonts w:cstheme="minorHAnsi"/>
          <w:sz w:val="24"/>
          <w:szCs w:val="24"/>
        </w:rPr>
        <w:t>Political: Visa’s market entry and growth in regions like China and India are influenced by local regulations that prioritize domestic networks, creating barriers to market entry (PwC, 2023).</w:t>
      </w:r>
    </w:p>
    <w:p w14:paraId="0C66BBAF" w14:textId="77777777" w:rsidR="00B15C26" w:rsidRPr="00B15C26" w:rsidRDefault="00B15C26" w:rsidP="00B15C26">
      <w:pPr>
        <w:spacing w:line="360" w:lineRule="auto"/>
        <w:jc w:val="both"/>
        <w:rPr>
          <w:rFonts w:cstheme="minorHAnsi"/>
          <w:sz w:val="24"/>
          <w:szCs w:val="24"/>
        </w:rPr>
      </w:pPr>
      <w:r w:rsidRPr="0092058F">
        <w:rPr>
          <w:rFonts w:cstheme="minorHAnsi"/>
          <w:b/>
          <w:bCs/>
          <w:sz w:val="24"/>
          <w:szCs w:val="24"/>
        </w:rPr>
        <w:t>Economic:</w:t>
      </w:r>
      <w:r w:rsidRPr="00B15C26">
        <w:rPr>
          <w:rFonts w:cstheme="minorHAnsi"/>
          <w:sz w:val="24"/>
          <w:szCs w:val="24"/>
        </w:rPr>
        <w:t xml:space="preserve"> Economic downturns can negatively impact consumer spending, but Visa’s diversified revenue streams offer resilience (KPMG, 2023).</w:t>
      </w:r>
    </w:p>
    <w:p w14:paraId="5C3AE4D1" w14:textId="77777777" w:rsidR="00B15C26" w:rsidRPr="00B15C26" w:rsidRDefault="00B15C26" w:rsidP="00B15C26">
      <w:pPr>
        <w:spacing w:line="360" w:lineRule="auto"/>
        <w:jc w:val="both"/>
        <w:rPr>
          <w:rFonts w:cstheme="minorHAnsi"/>
          <w:sz w:val="24"/>
          <w:szCs w:val="24"/>
        </w:rPr>
      </w:pPr>
      <w:r w:rsidRPr="0092058F">
        <w:rPr>
          <w:rFonts w:cstheme="minorHAnsi"/>
          <w:b/>
          <w:bCs/>
          <w:sz w:val="24"/>
          <w:szCs w:val="24"/>
        </w:rPr>
        <w:t>Social:</w:t>
      </w:r>
      <w:r w:rsidRPr="00B15C26">
        <w:rPr>
          <w:rFonts w:cstheme="minorHAnsi"/>
          <w:sz w:val="24"/>
          <w:szCs w:val="24"/>
        </w:rPr>
        <w:t xml:space="preserve"> Increased consumer preference for digital transactions supports Visa’s growth, particularly as mobile payment adoption rises in emerging markets (BBC News, 2023).</w:t>
      </w:r>
    </w:p>
    <w:p w14:paraId="5A690143" w14:textId="77777777" w:rsidR="00B15C26" w:rsidRPr="00B15C26" w:rsidRDefault="00B15C26" w:rsidP="00B15C26">
      <w:pPr>
        <w:spacing w:line="360" w:lineRule="auto"/>
        <w:jc w:val="both"/>
        <w:rPr>
          <w:rFonts w:cstheme="minorHAnsi"/>
          <w:sz w:val="24"/>
          <w:szCs w:val="24"/>
        </w:rPr>
      </w:pPr>
      <w:r w:rsidRPr="0092058F">
        <w:rPr>
          <w:rFonts w:cstheme="minorHAnsi"/>
          <w:b/>
          <w:bCs/>
          <w:sz w:val="24"/>
          <w:szCs w:val="24"/>
        </w:rPr>
        <w:t>Technological:</w:t>
      </w:r>
      <w:r w:rsidRPr="00B15C26">
        <w:rPr>
          <w:rFonts w:cstheme="minorHAnsi"/>
          <w:sz w:val="24"/>
          <w:szCs w:val="24"/>
        </w:rPr>
        <w:t xml:space="preserve"> Blockchain and AI technologies influence Visa's strategy. Investments in fraud detection technologies underscore Visa’s commitment to maintaining its competitive edge (Hui, 2021).</w:t>
      </w:r>
    </w:p>
    <w:p w14:paraId="0962514B" w14:textId="77777777" w:rsidR="00B15C26" w:rsidRPr="00B15C26" w:rsidRDefault="00B15C26" w:rsidP="00B15C26">
      <w:pPr>
        <w:spacing w:line="360" w:lineRule="auto"/>
        <w:jc w:val="both"/>
        <w:rPr>
          <w:rFonts w:cstheme="minorHAnsi"/>
          <w:sz w:val="24"/>
          <w:szCs w:val="24"/>
        </w:rPr>
      </w:pPr>
      <w:r w:rsidRPr="0092058F">
        <w:rPr>
          <w:rFonts w:cstheme="minorHAnsi"/>
          <w:b/>
          <w:bCs/>
          <w:sz w:val="24"/>
          <w:szCs w:val="24"/>
        </w:rPr>
        <w:t>Environmental:</w:t>
      </w:r>
      <w:r w:rsidRPr="00B15C26">
        <w:rPr>
          <w:rFonts w:cstheme="minorHAnsi"/>
          <w:sz w:val="24"/>
          <w:szCs w:val="24"/>
        </w:rPr>
        <w:t xml:space="preserve"> Visa's focus on sustainability and energy-efficient operations has bolstered its reputation among environmentally conscious consumers (Visa Inc., 2023).</w:t>
      </w:r>
    </w:p>
    <w:p w14:paraId="1BD55795" w14:textId="77777777" w:rsidR="00B15C26" w:rsidRPr="00B15C26" w:rsidRDefault="00B15C26" w:rsidP="00B15C26">
      <w:pPr>
        <w:spacing w:line="360" w:lineRule="auto"/>
        <w:jc w:val="both"/>
        <w:rPr>
          <w:rFonts w:cstheme="minorHAnsi"/>
          <w:sz w:val="24"/>
          <w:szCs w:val="24"/>
        </w:rPr>
      </w:pPr>
      <w:r w:rsidRPr="0092058F">
        <w:rPr>
          <w:rFonts w:cstheme="minorHAnsi"/>
          <w:b/>
          <w:bCs/>
          <w:sz w:val="24"/>
          <w:szCs w:val="24"/>
        </w:rPr>
        <w:t>Legal:</w:t>
      </w:r>
      <w:r w:rsidRPr="00B15C26">
        <w:rPr>
          <w:rFonts w:cstheme="minorHAnsi"/>
          <w:sz w:val="24"/>
          <w:szCs w:val="24"/>
        </w:rPr>
        <w:t xml:space="preserve"> Visa's operations are subject to strict regulatory frameworks, including GDPR, which influence its data handling and processing strategies (PwC, 2023).</w:t>
      </w:r>
    </w:p>
    <w:p w14:paraId="628D9E7B" w14:textId="77777777" w:rsidR="00B15C26" w:rsidRPr="00A35C3E" w:rsidRDefault="00B15C26" w:rsidP="00A35C3E">
      <w:pPr>
        <w:rPr>
          <w:b/>
          <w:bCs/>
          <w:color w:val="FFFFFF" w:themeColor="background1"/>
          <w:sz w:val="32"/>
          <w:szCs w:val="32"/>
          <w:highlight w:val="darkGray"/>
        </w:rPr>
      </w:pPr>
      <w:r w:rsidRPr="00A35C3E">
        <w:rPr>
          <w:b/>
          <w:bCs/>
          <w:color w:val="FFFFFF" w:themeColor="background1"/>
          <w:sz w:val="32"/>
          <w:szCs w:val="32"/>
          <w:highlight w:val="darkGray"/>
        </w:rPr>
        <w:t>8. Competitive Environment Analysis</w:t>
      </w:r>
    </w:p>
    <w:p w14:paraId="69DE9C1C" w14:textId="53755604" w:rsidR="00374810" w:rsidRPr="00374810" w:rsidRDefault="00374810" w:rsidP="00B15C26">
      <w:pPr>
        <w:spacing w:line="360" w:lineRule="auto"/>
        <w:jc w:val="both"/>
        <w:rPr>
          <w:rFonts w:cstheme="minorHAnsi"/>
          <w:sz w:val="24"/>
          <w:szCs w:val="24"/>
        </w:rPr>
      </w:pPr>
      <w:r w:rsidRPr="00374810">
        <w:rPr>
          <w:sz w:val="24"/>
          <w:szCs w:val="24"/>
        </w:rPr>
        <w:t xml:space="preserve">Visa operates in a highly competitive environment shaped by various influential players and industry disruptors. Mastercard and American Express, as global networks, closely match Visa in both market reach and innovation, driving Visa to continually enhance its service offerings to maintain competitive parity. In addition, local networks like China’s UnionPay benefit from government support, presenting distinct competitive challenges that Visa must navigate in specific regions. Furthermore, alternative payment providers, such as digital wallets and real-time payment systems like </w:t>
      </w:r>
      <w:proofErr w:type="spellStart"/>
      <w:r w:rsidRPr="00374810">
        <w:rPr>
          <w:sz w:val="24"/>
          <w:szCs w:val="24"/>
        </w:rPr>
        <w:t>FedNow</w:t>
      </w:r>
      <w:proofErr w:type="spellEnd"/>
      <w:r w:rsidRPr="00374810">
        <w:rPr>
          <w:sz w:val="24"/>
          <w:szCs w:val="24"/>
        </w:rPr>
        <w:t xml:space="preserve">, present low-cost options that appeal to customers, particularly in high-growth markets like India and the United States. Adding to the complexity, the emergence of blockchain-based payment solutions and cryptocurrencies introduces a </w:t>
      </w:r>
      <w:r w:rsidRPr="00374810">
        <w:rPr>
          <w:sz w:val="24"/>
          <w:szCs w:val="24"/>
        </w:rPr>
        <w:lastRenderedPageBreak/>
        <w:t>potentially disruptive shift, challenging Visa's traditional transaction model as the industry evolves.</w:t>
      </w:r>
    </w:p>
    <w:p w14:paraId="5B89D9BC" w14:textId="2ED62F3A" w:rsidR="00D6533B" w:rsidRPr="00A35C3E" w:rsidRDefault="00AC5C78" w:rsidP="00A35C3E">
      <w:pPr>
        <w:rPr>
          <w:b/>
          <w:bCs/>
          <w:color w:val="FFFFFF" w:themeColor="background1"/>
          <w:sz w:val="32"/>
          <w:szCs w:val="32"/>
          <w:highlight w:val="darkGray"/>
        </w:rPr>
      </w:pPr>
      <w:r w:rsidRPr="00A35C3E">
        <w:rPr>
          <w:b/>
          <w:bCs/>
          <w:color w:val="FFFFFF" w:themeColor="background1"/>
          <w:sz w:val="32"/>
          <w:szCs w:val="32"/>
          <w:highlight w:val="darkGray"/>
        </w:rPr>
        <w:t>Reference</w:t>
      </w:r>
    </w:p>
    <w:p w14:paraId="302A7970" w14:textId="30568F9B" w:rsidR="00D6533B" w:rsidRPr="00AC5C78" w:rsidRDefault="00D6533B" w:rsidP="00D6533B">
      <w:pPr>
        <w:pStyle w:val="NormalWeb"/>
        <w:rPr>
          <w:rFonts w:asciiTheme="minorHAnsi" w:hAnsiTheme="minorHAnsi" w:cstheme="minorHAnsi"/>
        </w:rPr>
      </w:pPr>
      <w:r w:rsidRPr="00AC5C78">
        <w:rPr>
          <w:rFonts w:asciiTheme="minorHAnsi" w:hAnsiTheme="minorHAnsi" w:cstheme="minorHAnsi"/>
        </w:rPr>
        <w:t xml:space="preserve">  BBC News. (2023). Regulatory compliance in financial services. </w:t>
      </w:r>
      <w:r w:rsidRPr="00AC5C78">
        <w:rPr>
          <w:rStyle w:val="Emphasis"/>
          <w:rFonts w:asciiTheme="minorHAnsi" w:hAnsiTheme="minorHAnsi" w:cstheme="minorHAnsi"/>
        </w:rPr>
        <w:t>BBC News</w:t>
      </w:r>
      <w:r w:rsidRPr="00AC5C78">
        <w:rPr>
          <w:rFonts w:asciiTheme="minorHAnsi" w:hAnsiTheme="minorHAnsi" w:cstheme="minorHAnsi"/>
        </w:rPr>
        <w:t xml:space="preserve">. Retrieved from </w:t>
      </w:r>
      <w:hyperlink r:id="rId6" w:tgtFrame="_new" w:history="1">
        <w:r w:rsidRPr="00AC5C78">
          <w:rPr>
            <w:rStyle w:val="Hyperlink"/>
            <w:rFonts w:asciiTheme="minorHAnsi" w:hAnsiTheme="minorHAnsi" w:cstheme="minorHAnsi"/>
          </w:rPr>
          <w:t>https://www.bbc.com/news</w:t>
        </w:r>
      </w:hyperlink>
    </w:p>
    <w:p w14:paraId="68817E0C" w14:textId="03CFED14" w:rsidR="00D6533B" w:rsidRPr="00AC5C78" w:rsidRDefault="00D6533B" w:rsidP="00D6533B">
      <w:pPr>
        <w:pStyle w:val="NormalWeb"/>
        <w:rPr>
          <w:rFonts w:asciiTheme="minorHAnsi" w:hAnsiTheme="minorHAnsi" w:cstheme="minorHAnsi"/>
        </w:rPr>
      </w:pPr>
      <w:r w:rsidRPr="00AC5C78">
        <w:rPr>
          <w:rFonts w:asciiTheme="minorHAnsi" w:hAnsiTheme="minorHAnsi" w:cstheme="minorHAnsi"/>
        </w:rPr>
        <w:t xml:space="preserve">  CNN. (2023). The impact of digital wallets and payment networks. </w:t>
      </w:r>
      <w:r w:rsidRPr="00AC5C78">
        <w:rPr>
          <w:rStyle w:val="Emphasis"/>
          <w:rFonts w:asciiTheme="minorHAnsi" w:hAnsiTheme="minorHAnsi" w:cstheme="minorHAnsi"/>
        </w:rPr>
        <w:t>CNN</w:t>
      </w:r>
      <w:r w:rsidRPr="00AC5C78">
        <w:rPr>
          <w:rFonts w:asciiTheme="minorHAnsi" w:hAnsiTheme="minorHAnsi" w:cstheme="minorHAnsi"/>
        </w:rPr>
        <w:t xml:space="preserve">. Retrieved from </w:t>
      </w:r>
      <w:hyperlink r:id="rId7" w:tgtFrame="_new" w:history="1">
        <w:r w:rsidRPr="00AC5C78">
          <w:rPr>
            <w:rStyle w:val="Hyperlink"/>
            <w:rFonts w:asciiTheme="minorHAnsi" w:hAnsiTheme="minorHAnsi" w:cstheme="minorHAnsi"/>
          </w:rPr>
          <w:t>https://www.cnn.com</w:t>
        </w:r>
      </w:hyperlink>
    </w:p>
    <w:p w14:paraId="4ACD93AF" w14:textId="151345C3" w:rsidR="00D6533B" w:rsidRPr="00AC5C78" w:rsidRDefault="00D6533B" w:rsidP="00D6533B">
      <w:pPr>
        <w:pStyle w:val="NormalWeb"/>
        <w:rPr>
          <w:rFonts w:asciiTheme="minorHAnsi" w:hAnsiTheme="minorHAnsi" w:cstheme="minorHAnsi"/>
        </w:rPr>
      </w:pPr>
      <w:r w:rsidRPr="00AC5C78">
        <w:rPr>
          <w:rFonts w:asciiTheme="minorHAnsi" w:hAnsiTheme="minorHAnsi" w:cstheme="minorHAnsi"/>
        </w:rPr>
        <w:t xml:space="preserve"> Foss, N., &amp; Stone, M. (2020). Premium service strategies in financial institutions. </w:t>
      </w:r>
      <w:r w:rsidRPr="00AC5C78">
        <w:rPr>
          <w:rStyle w:val="Emphasis"/>
          <w:rFonts w:asciiTheme="minorHAnsi" w:hAnsiTheme="minorHAnsi" w:cstheme="minorHAnsi"/>
        </w:rPr>
        <w:t>Journal of Marketing</w:t>
      </w:r>
      <w:r w:rsidRPr="00AC5C78">
        <w:rPr>
          <w:rFonts w:asciiTheme="minorHAnsi" w:hAnsiTheme="minorHAnsi" w:cstheme="minorHAnsi"/>
        </w:rPr>
        <w:t>, 84(3), 132-144.</w:t>
      </w:r>
    </w:p>
    <w:p w14:paraId="4BA78E0B" w14:textId="1F6808C8" w:rsidR="00D6533B" w:rsidRPr="00AC5C78" w:rsidRDefault="00D6533B" w:rsidP="00D6533B">
      <w:pPr>
        <w:pStyle w:val="NormalWeb"/>
        <w:rPr>
          <w:rFonts w:asciiTheme="minorHAnsi" w:hAnsiTheme="minorHAnsi" w:cstheme="minorHAnsi"/>
        </w:rPr>
      </w:pPr>
      <w:r w:rsidRPr="00AC5C78">
        <w:rPr>
          <w:rFonts w:asciiTheme="minorHAnsi" w:hAnsiTheme="minorHAnsi" w:cstheme="minorHAnsi"/>
        </w:rPr>
        <w:t xml:space="preserve">  Gartner. (2021). Innovations in financial transaction security. </w:t>
      </w:r>
      <w:r w:rsidRPr="00AC5C78">
        <w:rPr>
          <w:rStyle w:val="Emphasis"/>
          <w:rFonts w:asciiTheme="minorHAnsi" w:hAnsiTheme="minorHAnsi" w:cstheme="minorHAnsi"/>
        </w:rPr>
        <w:t>Gartner Research</w:t>
      </w:r>
      <w:r w:rsidRPr="00AC5C78">
        <w:rPr>
          <w:rFonts w:asciiTheme="minorHAnsi" w:hAnsiTheme="minorHAnsi" w:cstheme="minorHAnsi"/>
        </w:rPr>
        <w:t xml:space="preserve">. Retrieved from </w:t>
      </w:r>
      <w:hyperlink r:id="rId8" w:tgtFrame="_new" w:history="1">
        <w:r w:rsidRPr="00AC5C78">
          <w:rPr>
            <w:rStyle w:val="Hyperlink"/>
            <w:rFonts w:asciiTheme="minorHAnsi" w:hAnsiTheme="minorHAnsi" w:cstheme="minorHAnsi"/>
          </w:rPr>
          <w:t>https://www.gartner.com</w:t>
        </w:r>
      </w:hyperlink>
    </w:p>
    <w:p w14:paraId="7601244B" w14:textId="7525AA4F" w:rsidR="00D6533B" w:rsidRPr="00AC5C78" w:rsidRDefault="00D6533B" w:rsidP="00D6533B">
      <w:pPr>
        <w:pStyle w:val="NormalWeb"/>
        <w:rPr>
          <w:rFonts w:asciiTheme="minorHAnsi" w:hAnsiTheme="minorHAnsi" w:cstheme="minorHAnsi"/>
        </w:rPr>
      </w:pPr>
      <w:r w:rsidRPr="00AC5C78">
        <w:rPr>
          <w:rFonts w:asciiTheme="minorHAnsi" w:hAnsiTheme="minorHAnsi" w:cstheme="minorHAnsi"/>
        </w:rPr>
        <w:t xml:space="preserve">  Hassani, H., Huang, X., &amp; Silva, E. S. (2020). Fintech innovation and financial services transformation. </w:t>
      </w:r>
      <w:r w:rsidRPr="00AC5C78">
        <w:rPr>
          <w:rStyle w:val="Emphasis"/>
          <w:rFonts w:asciiTheme="minorHAnsi" w:hAnsiTheme="minorHAnsi" w:cstheme="minorHAnsi"/>
        </w:rPr>
        <w:t>Financial Innovation, 6</w:t>
      </w:r>
      <w:r w:rsidRPr="00AC5C78">
        <w:rPr>
          <w:rFonts w:asciiTheme="minorHAnsi" w:hAnsiTheme="minorHAnsi" w:cstheme="minorHAnsi"/>
        </w:rPr>
        <w:t>(1), 1-21.</w:t>
      </w:r>
    </w:p>
    <w:p w14:paraId="24DA4B75" w14:textId="410387BE" w:rsidR="00D6533B" w:rsidRPr="00AC5C78" w:rsidRDefault="00D6533B" w:rsidP="00D6533B">
      <w:pPr>
        <w:pStyle w:val="NormalWeb"/>
        <w:rPr>
          <w:rFonts w:asciiTheme="minorHAnsi" w:hAnsiTheme="minorHAnsi" w:cstheme="minorHAnsi"/>
        </w:rPr>
      </w:pPr>
      <w:r w:rsidRPr="00AC5C78">
        <w:rPr>
          <w:rFonts w:asciiTheme="minorHAnsi" w:hAnsiTheme="minorHAnsi" w:cstheme="minorHAnsi"/>
        </w:rPr>
        <w:t xml:space="preserve">  Hui, K. L. (2021). AI-driven fraud prevention in the digital payments industry. </w:t>
      </w:r>
      <w:r w:rsidRPr="00AC5C78">
        <w:rPr>
          <w:rStyle w:val="Emphasis"/>
          <w:rFonts w:asciiTheme="minorHAnsi" w:hAnsiTheme="minorHAnsi" w:cstheme="minorHAnsi"/>
        </w:rPr>
        <w:t>Journal of Financial Services Research, 59</w:t>
      </w:r>
      <w:r w:rsidRPr="00AC5C78">
        <w:rPr>
          <w:rFonts w:asciiTheme="minorHAnsi" w:hAnsiTheme="minorHAnsi" w:cstheme="minorHAnsi"/>
        </w:rPr>
        <w:t>(4), 123-139.</w:t>
      </w:r>
    </w:p>
    <w:p w14:paraId="658D84DE" w14:textId="3F7B655B" w:rsidR="00D6533B" w:rsidRPr="00AC5C78" w:rsidRDefault="00D6533B" w:rsidP="00D6533B">
      <w:pPr>
        <w:pStyle w:val="NormalWeb"/>
        <w:rPr>
          <w:rFonts w:asciiTheme="minorHAnsi" w:hAnsiTheme="minorHAnsi" w:cstheme="minorHAnsi"/>
        </w:rPr>
      </w:pPr>
      <w:r w:rsidRPr="00AC5C78">
        <w:rPr>
          <w:rFonts w:asciiTheme="minorHAnsi" w:hAnsiTheme="minorHAnsi" w:cstheme="minorHAnsi"/>
        </w:rPr>
        <w:t xml:space="preserve">  Jain, S. (2021). Adoption of digital payment systems: A literature review. </w:t>
      </w:r>
      <w:r w:rsidRPr="00AC5C78">
        <w:rPr>
          <w:rStyle w:val="Emphasis"/>
          <w:rFonts w:asciiTheme="minorHAnsi" w:hAnsiTheme="minorHAnsi" w:cstheme="minorHAnsi"/>
        </w:rPr>
        <w:t>Journal of Business Research, 117</w:t>
      </w:r>
      <w:r w:rsidRPr="00AC5C78">
        <w:rPr>
          <w:rFonts w:asciiTheme="minorHAnsi" w:hAnsiTheme="minorHAnsi" w:cstheme="minorHAnsi"/>
        </w:rPr>
        <w:t>, 1-11.</w:t>
      </w:r>
    </w:p>
    <w:p w14:paraId="012F2FCA" w14:textId="2E61C576" w:rsidR="00D6533B" w:rsidRPr="00AC5C78" w:rsidRDefault="00D6533B" w:rsidP="00D6533B">
      <w:pPr>
        <w:pStyle w:val="NormalWeb"/>
        <w:rPr>
          <w:rFonts w:asciiTheme="minorHAnsi" w:hAnsiTheme="minorHAnsi" w:cstheme="minorHAnsi"/>
        </w:rPr>
      </w:pPr>
      <w:r w:rsidRPr="00AC5C78">
        <w:rPr>
          <w:rFonts w:asciiTheme="minorHAnsi" w:hAnsiTheme="minorHAnsi" w:cstheme="minorHAnsi"/>
        </w:rPr>
        <w:t xml:space="preserve"> KPMG. (2023). Digital payments and financial growth. </w:t>
      </w:r>
      <w:r w:rsidRPr="00AC5C78">
        <w:rPr>
          <w:rStyle w:val="Emphasis"/>
          <w:rFonts w:asciiTheme="minorHAnsi" w:hAnsiTheme="minorHAnsi" w:cstheme="minorHAnsi"/>
        </w:rPr>
        <w:t>KPMG Insights</w:t>
      </w:r>
      <w:r w:rsidRPr="00AC5C78">
        <w:rPr>
          <w:rFonts w:asciiTheme="minorHAnsi" w:hAnsiTheme="minorHAnsi" w:cstheme="minorHAnsi"/>
        </w:rPr>
        <w:t xml:space="preserve">. Retrieved from </w:t>
      </w:r>
      <w:hyperlink r:id="rId9" w:tgtFrame="_new" w:history="1">
        <w:r w:rsidRPr="00AC5C78">
          <w:rPr>
            <w:rStyle w:val="Hyperlink"/>
            <w:rFonts w:asciiTheme="minorHAnsi" w:hAnsiTheme="minorHAnsi" w:cstheme="minorHAnsi"/>
          </w:rPr>
          <w:t>https://home.kpmg/</w:t>
        </w:r>
      </w:hyperlink>
    </w:p>
    <w:p w14:paraId="0A490485" w14:textId="77E10D44" w:rsidR="00D6533B" w:rsidRPr="00AC5C78" w:rsidRDefault="00D6533B" w:rsidP="00D6533B">
      <w:pPr>
        <w:pStyle w:val="NormalWeb"/>
        <w:rPr>
          <w:rFonts w:asciiTheme="minorHAnsi" w:hAnsiTheme="minorHAnsi" w:cstheme="minorHAnsi"/>
        </w:rPr>
      </w:pPr>
      <w:r w:rsidRPr="00AC5C78">
        <w:rPr>
          <w:rFonts w:asciiTheme="minorHAnsi" w:hAnsiTheme="minorHAnsi" w:cstheme="minorHAnsi"/>
        </w:rPr>
        <w:t xml:space="preserve">  PwC. (2023). Global financial technology trends. </w:t>
      </w:r>
      <w:r w:rsidRPr="00AC5C78">
        <w:rPr>
          <w:rStyle w:val="Emphasis"/>
          <w:rFonts w:asciiTheme="minorHAnsi" w:hAnsiTheme="minorHAnsi" w:cstheme="minorHAnsi"/>
        </w:rPr>
        <w:t>PwC Reports</w:t>
      </w:r>
      <w:r w:rsidRPr="00AC5C78">
        <w:rPr>
          <w:rFonts w:asciiTheme="minorHAnsi" w:hAnsiTheme="minorHAnsi" w:cstheme="minorHAnsi"/>
        </w:rPr>
        <w:t xml:space="preserve">. Retrieved from </w:t>
      </w:r>
      <w:hyperlink r:id="rId10" w:tgtFrame="_new" w:history="1">
        <w:r w:rsidRPr="00AC5C78">
          <w:rPr>
            <w:rStyle w:val="Hyperlink"/>
            <w:rFonts w:asciiTheme="minorHAnsi" w:hAnsiTheme="minorHAnsi" w:cstheme="minorHAnsi"/>
          </w:rPr>
          <w:t>https://www.pwc.com</w:t>
        </w:r>
      </w:hyperlink>
    </w:p>
    <w:p w14:paraId="2E3F1545" w14:textId="0FC6DBE6" w:rsidR="00D6533B" w:rsidRPr="00AC5C78" w:rsidRDefault="00D6533B" w:rsidP="00D6533B">
      <w:pPr>
        <w:pStyle w:val="NormalWeb"/>
        <w:rPr>
          <w:rFonts w:asciiTheme="minorHAnsi" w:hAnsiTheme="minorHAnsi" w:cstheme="minorHAnsi"/>
        </w:rPr>
      </w:pPr>
      <w:r w:rsidRPr="00AC5C78">
        <w:rPr>
          <w:rFonts w:asciiTheme="minorHAnsi" w:hAnsiTheme="minorHAnsi" w:cstheme="minorHAnsi"/>
        </w:rPr>
        <w:t xml:space="preserve">  </w:t>
      </w:r>
      <w:proofErr w:type="spellStart"/>
      <w:r w:rsidRPr="00AC5C78">
        <w:rPr>
          <w:rFonts w:asciiTheme="minorHAnsi" w:hAnsiTheme="minorHAnsi" w:cstheme="minorHAnsi"/>
        </w:rPr>
        <w:t>Rysman</w:t>
      </w:r>
      <w:proofErr w:type="spellEnd"/>
      <w:r w:rsidRPr="00AC5C78">
        <w:rPr>
          <w:rFonts w:asciiTheme="minorHAnsi" w:hAnsiTheme="minorHAnsi" w:cstheme="minorHAnsi"/>
        </w:rPr>
        <w:t xml:space="preserve">, M. (2020). The evolution of payment systems in a digital age. </w:t>
      </w:r>
      <w:r w:rsidRPr="00AC5C78">
        <w:rPr>
          <w:rStyle w:val="Emphasis"/>
          <w:rFonts w:asciiTheme="minorHAnsi" w:hAnsiTheme="minorHAnsi" w:cstheme="minorHAnsi"/>
        </w:rPr>
        <w:t>Review of Network Economics, 18</w:t>
      </w:r>
      <w:r w:rsidRPr="00AC5C78">
        <w:rPr>
          <w:rFonts w:asciiTheme="minorHAnsi" w:hAnsiTheme="minorHAnsi" w:cstheme="minorHAnsi"/>
        </w:rPr>
        <w:t>(3), 239-256.</w:t>
      </w:r>
    </w:p>
    <w:p w14:paraId="451FCAD3" w14:textId="4D467737" w:rsidR="00D6533B" w:rsidRPr="00AC5C78" w:rsidRDefault="00D6533B" w:rsidP="00D6533B">
      <w:pPr>
        <w:pStyle w:val="NormalWeb"/>
        <w:rPr>
          <w:rFonts w:asciiTheme="minorHAnsi" w:hAnsiTheme="minorHAnsi" w:cstheme="minorHAnsi"/>
        </w:rPr>
      </w:pPr>
      <w:r w:rsidRPr="00AC5C78">
        <w:rPr>
          <w:rFonts w:asciiTheme="minorHAnsi" w:hAnsiTheme="minorHAnsi" w:cstheme="minorHAnsi"/>
        </w:rPr>
        <w:t xml:space="preserve">Tollefson, J. (2021). Blockchain’s disruptive potential in payments. </w:t>
      </w:r>
      <w:r w:rsidRPr="00AC5C78">
        <w:rPr>
          <w:rStyle w:val="Emphasis"/>
          <w:rFonts w:asciiTheme="minorHAnsi" w:hAnsiTheme="minorHAnsi" w:cstheme="minorHAnsi"/>
        </w:rPr>
        <w:t>Business Horizons, 64</w:t>
      </w:r>
      <w:r w:rsidRPr="00AC5C78">
        <w:rPr>
          <w:rFonts w:asciiTheme="minorHAnsi" w:hAnsiTheme="minorHAnsi" w:cstheme="minorHAnsi"/>
        </w:rPr>
        <w:t>(5), 573-584.</w:t>
      </w:r>
    </w:p>
    <w:p w14:paraId="6FB4DF2C" w14:textId="0D460149" w:rsidR="00D6533B" w:rsidRPr="00AC5C78" w:rsidRDefault="00D6533B" w:rsidP="00D6533B">
      <w:pPr>
        <w:pStyle w:val="NormalWeb"/>
        <w:rPr>
          <w:rFonts w:asciiTheme="minorHAnsi" w:hAnsiTheme="minorHAnsi" w:cstheme="minorHAnsi"/>
        </w:rPr>
      </w:pPr>
      <w:r w:rsidRPr="00AC5C78">
        <w:rPr>
          <w:rFonts w:asciiTheme="minorHAnsi" w:hAnsiTheme="minorHAnsi" w:cstheme="minorHAnsi"/>
        </w:rPr>
        <w:t xml:space="preserve"> Visa Inc. (2023). </w:t>
      </w:r>
      <w:r w:rsidRPr="00AC5C78">
        <w:rPr>
          <w:rStyle w:val="Emphasis"/>
          <w:rFonts w:asciiTheme="minorHAnsi" w:hAnsiTheme="minorHAnsi" w:cstheme="minorHAnsi"/>
        </w:rPr>
        <w:t>Fiscal 2023 Annual Report</w:t>
      </w:r>
      <w:r w:rsidRPr="00AC5C78">
        <w:rPr>
          <w:rFonts w:asciiTheme="minorHAnsi" w:hAnsiTheme="minorHAnsi" w:cstheme="minorHAnsi"/>
        </w:rPr>
        <w:t xml:space="preserve">. Retrieved from </w:t>
      </w:r>
      <w:hyperlink r:id="rId11" w:tgtFrame="_new" w:history="1">
        <w:r w:rsidRPr="00AC5C78">
          <w:rPr>
            <w:rStyle w:val="Hyperlink"/>
            <w:rFonts w:asciiTheme="minorHAnsi" w:hAnsiTheme="minorHAnsi" w:cstheme="minorHAnsi"/>
          </w:rPr>
          <w:t>https://usa.visa.com</w:t>
        </w:r>
      </w:hyperlink>
    </w:p>
    <w:p w14:paraId="08E28D54" w14:textId="4EFCA4D1" w:rsidR="00D6533B" w:rsidRPr="00AC5C78" w:rsidRDefault="00D6533B" w:rsidP="00D6533B">
      <w:pPr>
        <w:pStyle w:val="NormalWeb"/>
        <w:rPr>
          <w:rFonts w:asciiTheme="minorHAnsi" w:hAnsiTheme="minorHAnsi" w:cstheme="minorHAnsi"/>
        </w:rPr>
      </w:pPr>
      <w:r w:rsidRPr="00AC5C78">
        <w:rPr>
          <w:rFonts w:asciiTheme="minorHAnsi" w:hAnsiTheme="minorHAnsi" w:cstheme="minorHAnsi"/>
        </w:rPr>
        <w:t xml:space="preserve"> Zhang, H., Hassani, H., Huang, X., &amp; Silva, E. S. (2020). FinTech and the transformation of the financial industry. </w:t>
      </w:r>
      <w:r w:rsidRPr="00AC5C78">
        <w:rPr>
          <w:rStyle w:val="Emphasis"/>
          <w:rFonts w:asciiTheme="minorHAnsi" w:hAnsiTheme="minorHAnsi" w:cstheme="minorHAnsi"/>
        </w:rPr>
        <w:t>Financial Innovation, 6</w:t>
      </w:r>
      <w:r w:rsidRPr="00AC5C78">
        <w:rPr>
          <w:rFonts w:asciiTheme="minorHAnsi" w:hAnsiTheme="minorHAnsi" w:cstheme="minorHAnsi"/>
        </w:rPr>
        <w:t>(1), 1-21.</w:t>
      </w:r>
    </w:p>
    <w:p w14:paraId="3FEC6E5D" w14:textId="2281CE9D" w:rsidR="001A6647" w:rsidRPr="00AC5C78" w:rsidRDefault="001A6647" w:rsidP="00B15C26">
      <w:pPr>
        <w:rPr>
          <w:rFonts w:cstheme="minorHAnsi"/>
        </w:rPr>
      </w:pPr>
    </w:p>
    <w:sectPr w:rsidR="001A6647" w:rsidRPr="00AC5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189"/>
    <w:multiLevelType w:val="multilevel"/>
    <w:tmpl w:val="CEB22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62B28"/>
    <w:multiLevelType w:val="multilevel"/>
    <w:tmpl w:val="BCE2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D6219"/>
    <w:multiLevelType w:val="multilevel"/>
    <w:tmpl w:val="35F4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364D4"/>
    <w:multiLevelType w:val="multilevel"/>
    <w:tmpl w:val="C5CEF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C75F9"/>
    <w:multiLevelType w:val="multilevel"/>
    <w:tmpl w:val="3FA6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B318D"/>
    <w:multiLevelType w:val="multilevel"/>
    <w:tmpl w:val="7348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E1445"/>
    <w:multiLevelType w:val="multilevel"/>
    <w:tmpl w:val="A1A6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1969EA"/>
    <w:multiLevelType w:val="multilevel"/>
    <w:tmpl w:val="230A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052539">
    <w:abstractNumId w:val="1"/>
  </w:num>
  <w:num w:numId="2" w16cid:durableId="998311805">
    <w:abstractNumId w:val="4"/>
  </w:num>
  <w:num w:numId="3" w16cid:durableId="2016295894">
    <w:abstractNumId w:val="0"/>
  </w:num>
  <w:num w:numId="4" w16cid:durableId="496652258">
    <w:abstractNumId w:val="3"/>
  </w:num>
  <w:num w:numId="5" w16cid:durableId="2099984314">
    <w:abstractNumId w:val="6"/>
  </w:num>
  <w:num w:numId="6" w16cid:durableId="1779372294">
    <w:abstractNumId w:val="7"/>
  </w:num>
  <w:num w:numId="7" w16cid:durableId="902758872">
    <w:abstractNumId w:val="2"/>
  </w:num>
  <w:num w:numId="8" w16cid:durableId="664168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26"/>
    <w:rsid w:val="0003209B"/>
    <w:rsid w:val="001A6647"/>
    <w:rsid w:val="001E206B"/>
    <w:rsid w:val="00374810"/>
    <w:rsid w:val="00556142"/>
    <w:rsid w:val="005B161B"/>
    <w:rsid w:val="00717B60"/>
    <w:rsid w:val="0092058F"/>
    <w:rsid w:val="00A30EBD"/>
    <w:rsid w:val="00A35C3E"/>
    <w:rsid w:val="00AC5C78"/>
    <w:rsid w:val="00B15C26"/>
    <w:rsid w:val="00BC5EC6"/>
    <w:rsid w:val="00C2679C"/>
    <w:rsid w:val="00D6533B"/>
    <w:rsid w:val="00E52C97"/>
    <w:rsid w:val="00F9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9BFF4"/>
  <w15:chartTrackingRefBased/>
  <w15:docId w15:val="{4B8FF578-2CC2-403B-97A4-7EF23AE0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53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6533B"/>
    <w:rPr>
      <w:i/>
      <w:iCs/>
    </w:rPr>
  </w:style>
  <w:style w:type="character" w:styleId="Hyperlink">
    <w:name w:val="Hyperlink"/>
    <w:basedOn w:val="DefaultParagraphFont"/>
    <w:uiPriority w:val="99"/>
    <w:semiHidden/>
    <w:unhideWhenUsed/>
    <w:rsid w:val="00D65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7081">
      <w:bodyDiv w:val="1"/>
      <w:marLeft w:val="0"/>
      <w:marRight w:val="0"/>
      <w:marTop w:val="0"/>
      <w:marBottom w:val="0"/>
      <w:divBdr>
        <w:top w:val="none" w:sz="0" w:space="0" w:color="auto"/>
        <w:left w:val="none" w:sz="0" w:space="0" w:color="auto"/>
        <w:bottom w:val="none" w:sz="0" w:space="0" w:color="auto"/>
        <w:right w:val="none" w:sz="0" w:space="0" w:color="auto"/>
      </w:divBdr>
    </w:div>
    <w:div w:id="485249170">
      <w:bodyDiv w:val="1"/>
      <w:marLeft w:val="0"/>
      <w:marRight w:val="0"/>
      <w:marTop w:val="0"/>
      <w:marBottom w:val="0"/>
      <w:divBdr>
        <w:top w:val="none" w:sz="0" w:space="0" w:color="auto"/>
        <w:left w:val="none" w:sz="0" w:space="0" w:color="auto"/>
        <w:bottom w:val="none" w:sz="0" w:space="0" w:color="auto"/>
        <w:right w:val="none" w:sz="0" w:space="0" w:color="auto"/>
      </w:divBdr>
    </w:div>
    <w:div w:id="1276980714">
      <w:bodyDiv w:val="1"/>
      <w:marLeft w:val="0"/>
      <w:marRight w:val="0"/>
      <w:marTop w:val="0"/>
      <w:marBottom w:val="0"/>
      <w:divBdr>
        <w:top w:val="none" w:sz="0" w:space="0" w:color="auto"/>
        <w:left w:val="none" w:sz="0" w:space="0" w:color="auto"/>
        <w:bottom w:val="none" w:sz="0" w:space="0" w:color="auto"/>
        <w:right w:val="none" w:sz="0" w:space="0" w:color="auto"/>
      </w:divBdr>
    </w:div>
    <w:div w:id="1574240687">
      <w:bodyDiv w:val="1"/>
      <w:marLeft w:val="0"/>
      <w:marRight w:val="0"/>
      <w:marTop w:val="0"/>
      <w:marBottom w:val="0"/>
      <w:divBdr>
        <w:top w:val="none" w:sz="0" w:space="0" w:color="auto"/>
        <w:left w:val="none" w:sz="0" w:space="0" w:color="auto"/>
        <w:bottom w:val="none" w:sz="0" w:space="0" w:color="auto"/>
        <w:right w:val="none" w:sz="0" w:space="0" w:color="auto"/>
      </w:divBdr>
    </w:div>
    <w:div w:id="18205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tn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nn.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bc.com/news" TargetMode="External"/><Relationship Id="rId11" Type="http://schemas.openxmlformats.org/officeDocument/2006/relationships/hyperlink" Target="https://usa.visa.com" TargetMode="External"/><Relationship Id="rId5" Type="http://schemas.openxmlformats.org/officeDocument/2006/relationships/webSettings" Target="webSettings.xml"/><Relationship Id="rId10" Type="http://schemas.openxmlformats.org/officeDocument/2006/relationships/hyperlink" Target="https://www.pwc.com" TargetMode="External"/><Relationship Id="rId4" Type="http://schemas.openxmlformats.org/officeDocument/2006/relationships/settings" Target="settings.xml"/><Relationship Id="rId9" Type="http://schemas.openxmlformats.org/officeDocument/2006/relationships/hyperlink" Target="https://home.kp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D491-A062-4E9B-82B6-546740FC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1513</Words>
  <Characters>9739</Characters>
  <Application>Microsoft Office Word</Application>
  <DocSecurity>0</DocSecurity>
  <Lines>191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FRANK-WISDOM EJOOR</dc:creator>
  <cp:keywords/>
  <dc:description/>
  <cp:lastModifiedBy>FRANK-WISDOM EJOOR</cp:lastModifiedBy>
  <cp:revision>2</cp:revision>
  <dcterms:created xsi:type="dcterms:W3CDTF">2024-10-31T17:26:00Z</dcterms:created>
  <dcterms:modified xsi:type="dcterms:W3CDTF">2024-10-31T17:26:00Z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f663ecb3-9604-440f-801a-9b170c0ececf</vt:lpwstr>
  </property>
</Properties>
</file>