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E5A75" w14:textId="04575240" w:rsidR="00A81773" w:rsidRPr="007F4DBE" w:rsidRDefault="00A81773" w:rsidP="00A81773">
      <w:pPr>
        <w:jc w:val="center"/>
        <w:rPr>
          <w:b/>
          <w:bCs/>
          <w:i/>
          <w:iCs/>
          <w:sz w:val="28"/>
          <w:szCs w:val="28"/>
        </w:rPr>
      </w:pPr>
      <w:r w:rsidRPr="007F4DBE">
        <w:rPr>
          <w:b/>
          <w:bCs/>
          <w:i/>
          <w:iCs/>
          <w:sz w:val="28"/>
          <w:szCs w:val="28"/>
        </w:rPr>
        <w:t xml:space="preserve">Revenues and costs drivers’ analysis </w:t>
      </w:r>
    </w:p>
    <w:p w14:paraId="4CB093C3" w14:textId="264A4293" w:rsidR="00A81773" w:rsidRPr="007F4DBE" w:rsidRDefault="00A81773" w:rsidP="00A81773">
      <w:pPr>
        <w:jc w:val="center"/>
        <w:rPr>
          <w:b/>
          <w:bCs/>
          <w:sz w:val="28"/>
          <w:szCs w:val="28"/>
        </w:rPr>
      </w:pPr>
      <w:r w:rsidRPr="007F4DBE">
        <w:rPr>
          <w:b/>
          <w:bCs/>
          <w:sz w:val="28"/>
          <w:szCs w:val="28"/>
        </w:rPr>
        <w:t>Marriott International and Johnson &amp; Johnson</w:t>
      </w:r>
    </w:p>
    <w:p w14:paraId="099AC9AB" w14:textId="77777777" w:rsidR="00A81773" w:rsidRPr="00A81773" w:rsidRDefault="00A81773" w:rsidP="00A81773">
      <w:pPr>
        <w:jc w:val="center"/>
        <w:rPr>
          <w:b/>
          <w:bCs/>
          <w:i/>
          <w:iCs/>
          <w:sz w:val="28"/>
          <w:szCs w:val="28"/>
        </w:rPr>
      </w:pPr>
    </w:p>
    <w:p w14:paraId="704BD761" w14:textId="1C42F1C6" w:rsidR="00A81773" w:rsidRPr="000947A4" w:rsidRDefault="00A81773" w:rsidP="00A81773">
      <w:pPr>
        <w:jc w:val="both"/>
      </w:pPr>
      <w:r w:rsidRPr="000947A4">
        <w:t xml:space="preserve">The analysis illustrates the main drivers of revenues and costs of both companies. Analysis in writing is provided along with </w:t>
      </w:r>
      <w:r w:rsidR="00C83233">
        <w:t>tables</w:t>
      </w:r>
      <w:r w:rsidRPr="000947A4">
        <w:t>.</w:t>
      </w:r>
      <w:r w:rsidR="00C83233">
        <w:t xml:space="preserve"> The source of information is each company’s 10-K form. </w:t>
      </w:r>
      <w:r w:rsidRPr="000947A4">
        <w:t xml:space="preserve">Comparisons are </w:t>
      </w:r>
      <w:r w:rsidR="00C83233">
        <w:t xml:space="preserve">drawn </w:t>
      </w:r>
      <w:r w:rsidRPr="000947A4">
        <w:t>between FY 2023 and 2022, and among competitors.</w:t>
      </w:r>
      <w:r w:rsidR="00C83233">
        <w:t xml:space="preserve"> </w:t>
      </w:r>
    </w:p>
    <w:p w14:paraId="61055098" w14:textId="0A300BB5" w:rsidR="00A81773" w:rsidRPr="000947A4" w:rsidRDefault="00A81773" w:rsidP="00A81773">
      <w:pPr>
        <w:jc w:val="both"/>
      </w:pPr>
      <w:r w:rsidRPr="000947A4">
        <w:t xml:space="preserve">When analysing cost drivers for J&amp;J, the predominant drivers are identified as COGS (costs of goods sold), Research &amp; Development, and Selling, Marketing &amp; Administrative. For Marriott, the cost drivers are </w:t>
      </w:r>
      <w:r w:rsidR="00AF029A" w:rsidRPr="000947A4">
        <w:t>identified</w:t>
      </w:r>
      <w:r w:rsidRPr="000947A4">
        <w:t xml:space="preserve"> as </w:t>
      </w:r>
      <w:r w:rsidR="00AF029A" w:rsidRPr="000947A4">
        <w:t xml:space="preserve">the costs associated with the lease and ownership of the properties, Amortization &amp; Depreciation, and General – Administrative – other costs. </w:t>
      </w:r>
    </w:p>
    <w:p w14:paraId="58E93E29" w14:textId="41BF94BB" w:rsidR="00AF029A" w:rsidRPr="000947A4" w:rsidRDefault="00AF029A" w:rsidP="00A81773">
      <w:pPr>
        <w:jc w:val="both"/>
      </w:pPr>
      <w:r w:rsidRPr="000947A4">
        <w:t>When it comes to analysing the revenue drivers, for J&amp;J, these are identified as the revenue the company is generating by selling its goods, categorized by geography and segmentation. A brief explanation is provided as to which these categories and segments are. On the other hand, for Marriott, the revenue drivers are categorized as the average daily room rate, the occupancy rate, and the REVPAR which indicates the performance of the company by measuring the revenue it generates from its available rooms over a period. It's a currency figure that combines a hotel's average daily rate and occupancy rate. </w:t>
      </w:r>
    </w:p>
    <w:p w14:paraId="1B71D3ED" w14:textId="77777777" w:rsidR="00AF029A" w:rsidRPr="000947A4" w:rsidRDefault="00AF029A" w:rsidP="00A81773">
      <w:pPr>
        <w:jc w:val="both"/>
      </w:pPr>
    </w:p>
    <w:p w14:paraId="284C642D" w14:textId="77777777" w:rsidR="00AF029A" w:rsidRDefault="00AF029A" w:rsidP="00A81773">
      <w:pPr>
        <w:jc w:val="both"/>
        <w:rPr>
          <w:sz w:val="28"/>
          <w:szCs w:val="28"/>
        </w:rPr>
      </w:pPr>
    </w:p>
    <w:p w14:paraId="7D8596A5" w14:textId="77777777" w:rsidR="00AF029A" w:rsidRDefault="00AF029A" w:rsidP="00A81773">
      <w:pPr>
        <w:jc w:val="both"/>
        <w:rPr>
          <w:sz w:val="28"/>
          <w:szCs w:val="28"/>
        </w:rPr>
      </w:pPr>
    </w:p>
    <w:p w14:paraId="265D53B6" w14:textId="77777777" w:rsidR="00AF029A" w:rsidRDefault="00AF029A" w:rsidP="00A81773">
      <w:pPr>
        <w:jc w:val="both"/>
        <w:rPr>
          <w:sz w:val="28"/>
          <w:szCs w:val="28"/>
        </w:rPr>
      </w:pPr>
    </w:p>
    <w:p w14:paraId="5D2BB65C" w14:textId="77777777" w:rsidR="00AF029A" w:rsidRDefault="00AF029A" w:rsidP="00A81773">
      <w:pPr>
        <w:jc w:val="both"/>
        <w:rPr>
          <w:sz w:val="28"/>
          <w:szCs w:val="28"/>
        </w:rPr>
      </w:pPr>
    </w:p>
    <w:p w14:paraId="72F9953D" w14:textId="77777777" w:rsidR="00AF029A" w:rsidRPr="00BB1667" w:rsidRDefault="00AF029A" w:rsidP="00BB1667">
      <w:pPr>
        <w:jc w:val="both"/>
        <w:rPr>
          <w:sz w:val="28"/>
          <w:szCs w:val="28"/>
        </w:rPr>
      </w:pPr>
    </w:p>
    <w:p w14:paraId="705AC82F" w14:textId="22FD1535" w:rsidR="00AF029A" w:rsidRPr="00AF029A" w:rsidRDefault="00AF029A" w:rsidP="00854A2B">
      <w:pPr>
        <w:pStyle w:val="ListParagraph"/>
        <w:ind w:left="0"/>
        <w:jc w:val="center"/>
        <w:rPr>
          <w:sz w:val="28"/>
          <w:szCs w:val="28"/>
        </w:rPr>
      </w:pPr>
      <w:r w:rsidRPr="00AF029A">
        <w:rPr>
          <w:noProof/>
          <w:sz w:val="28"/>
          <w:szCs w:val="28"/>
        </w:rPr>
        <w:lastRenderedPageBreak/>
        <w:drawing>
          <wp:inline distT="0" distB="0" distL="0" distR="0" wp14:anchorId="6223625A" wp14:editId="6CD8FCAF">
            <wp:extent cx="5997375" cy="2732297"/>
            <wp:effectExtent l="0" t="0" r="0" b="0"/>
            <wp:docPr id="1379770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70694" name=""/>
                    <pic:cNvPicPr/>
                  </pic:nvPicPr>
                  <pic:blipFill>
                    <a:blip r:embed="rId5"/>
                    <a:stretch>
                      <a:fillRect/>
                    </a:stretch>
                  </pic:blipFill>
                  <pic:spPr>
                    <a:xfrm>
                      <a:off x="0" y="0"/>
                      <a:ext cx="6092917" cy="2775824"/>
                    </a:xfrm>
                    <a:prstGeom prst="rect">
                      <a:avLst/>
                    </a:prstGeom>
                  </pic:spPr>
                </pic:pic>
              </a:graphicData>
            </a:graphic>
          </wp:inline>
        </w:drawing>
      </w:r>
    </w:p>
    <w:p w14:paraId="76C567BD" w14:textId="7329103C" w:rsidR="00A81773" w:rsidRPr="000947A4" w:rsidRDefault="00A81773" w:rsidP="00A81773">
      <w:pPr>
        <w:jc w:val="both"/>
        <w:rPr>
          <w:i/>
          <w:iCs/>
          <w:sz w:val="28"/>
          <w:szCs w:val="28"/>
        </w:rPr>
      </w:pPr>
    </w:p>
    <w:p w14:paraId="616FBA2D" w14:textId="7CB90E72" w:rsidR="00D93B62" w:rsidRPr="000947A4" w:rsidRDefault="00854A2B" w:rsidP="00A81773">
      <w:pPr>
        <w:jc w:val="both"/>
        <w:rPr>
          <w:b/>
          <w:bCs/>
          <w:i/>
          <w:iCs/>
        </w:rPr>
      </w:pPr>
      <w:r w:rsidRPr="000947A4">
        <w:rPr>
          <w:b/>
          <w:bCs/>
          <w:i/>
          <w:iCs/>
        </w:rPr>
        <w:t>Table 1.</w:t>
      </w:r>
      <w:r w:rsidR="00D93B62" w:rsidRPr="000947A4">
        <w:rPr>
          <w:b/>
          <w:bCs/>
          <w:i/>
          <w:iCs/>
        </w:rPr>
        <w:t xml:space="preserve"> Revenue Drivers</w:t>
      </w:r>
      <w:r w:rsidR="00BB1667">
        <w:rPr>
          <w:b/>
          <w:bCs/>
          <w:i/>
          <w:iCs/>
        </w:rPr>
        <w:t xml:space="preserve"> of Marriot</w:t>
      </w:r>
    </w:p>
    <w:p w14:paraId="6255BFD2" w14:textId="459ADF27" w:rsidR="00854A2B" w:rsidRPr="000947A4" w:rsidRDefault="00D93B62" w:rsidP="00A81773">
      <w:pPr>
        <w:jc w:val="both"/>
      </w:pPr>
      <w:r w:rsidRPr="000947A4">
        <w:t xml:space="preserve"> A</w:t>
      </w:r>
      <w:r w:rsidR="00854A2B" w:rsidRPr="000947A4">
        <w:t xml:space="preserve"> good illustration of the various metrics and geographical exposure of the company</w:t>
      </w:r>
      <w:r w:rsidRPr="000947A4">
        <w:t xml:space="preserve"> is provided. </w:t>
      </w:r>
      <w:r w:rsidR="00854A2B" w:rsidRPr="000947A4">
        <w:t>The segmentation between the company’s owned properties and the ones it leases, demonstrates insightful data such as the fact that in every geographical area besides Asia Pacific excl. China, the company is generating significant higher REVPAR in the properties it owns compared to the ones it leases. This makes sense as the investment in owning a property is significantly higher than in leasing it, hence requiring a higher rate of return. Orthodoxically, the average room rate is much higher in owned properties than in leased ones. There is a lot of improvement in the company’s performance since 2022 as the industry is steadily recovering from the pandemic. In all the metrics and across all geographies, the company is scoring</w:t>
      </w:r>
      <w:r w:rsidRPr="000947A4">
        <w:t xml:space="preserve"> higher, </w:t>
      </w:r>
    </w:p>
    <w:p w14:paraId="3900EBBD" w14:textId="77777777" w:rsidR="00D93B62" w:rsidRDefault="00D93B62" w:rsidP="00A81773">
      <w:pPr>
        <w:jc w:val="both"/>
        <w:rPr>
          <w:sz w:val="28"/>
          <w:szCs w:val="28"/>
        </w:rPr>
      </w:pPr>
    </w:p>
    <w:p w14:paraId="5645482B" w14:textId="77777777" w:rsidR="00D93B62" w:rsidRDefault="00D93B62" w:rsidP="00A81773">
      <w:pPr>
        <w:jc w:val="both"/>
        <w:rPr>
          <w:sz w:val="28"/>
          <w:szCs w:val="28"/>
        </w:rPr>
      </w:pPr>
    </w:p>
    <w:p w14:paraId="690F84B1" w14:textId="77777777" w:rsidR="00D93B62" w:rsidRDefault="00D93B62" w:rsidP="00A81773">
      <w:pPr>
        <w:jc w:val="both"/>
        <w:rPr>
          <w:sz w:val="28"/>
          <w:szCs w:val="28"/>
        </w:rPr>
      </w:pPr>
    </w:p>
    <w:p w14:paraId="41DA915E" w14:textId="77777777" w:rsidR="00D93B62" w:rsidRDefault="00D93B62" w:rsidP="00A81773">
      <w:pPr>
        <w:jc w:val="both"/>
        <w:rPr>
          <w:sz w:val="28"/>
          <w:szCs w:val="28"/>
        </w:rPr>
      </w:pPr>
    </w:p>
    <w:p w14:paraId="31E54131" w14:textId="77777777" w:rsidR="00D93B62" w:rsidRDefault="00D93B62" w:rsidP="00A81773">
      <w:pPr>
        <w:jc w:val="both"/>
        <w:rPr>
          <w:sz w:val="28"/>
          <w:szCs w:val="28"/>
        </w:rPr>
      </w:pPr>
    </w:p>
    <w:p w14:paraId="5979EC64" w14:textId="77777777" w:rsidR="00D93B62" w:rsidRDefault="00D93B62" w:rsidP="00A81773">
      <w:pPr>
        <w:jc w:val="both"/>
        <w:rPr>
          <w:sz w:val="28"/>
          <w:szCs w:val="28"/>
        </w:rPr>
      </w:pPr>
    </w:p>
    <w:p w14:paraId="58A7FC11" w14:textId="03D396E5" w:rsidR="00D93B62" w:rsidRDefault="00D93B62" w:rsidP="000947A4">
      <w:pPr>
        <w:jc w:val="center"/>
        <w:rPr>
          <w:sz w:val="28"/>
          <w:szCs w:val="28"/>
        </w:rPr>
      </w:pPr>
      <w:r w:rsidRPr="00D93B62">
        <w:rPr>
          <w:noProof/>
          <w:sz w:val="28"/>
          <w:szCs w:val="28"/>
        </w:rPr>
        <w:lastRenderedPageBreak/>
        <w:drawing>
          <wp:inline distT="0" distB="0" distL="0" distR="0" wp14:anchorId="3D80E558" wp14:editId="0478C01C">
            <wp:extent cx="5881879" cy="1127051"/>
            <wp:effectExtent l="0" t="0" r="0" b="3810"/>
            <wp:docPr id="2050178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178127" name=""/>
                    <pic:cNvPicPr/>
                  </pic:nvPicPr>
                  <pic:blipFill>
                    <a:blip r:embed="rId6"/>
                    <a:stretch>
                      <a:fillRect/>
                    </a:stretch>
                  </pic:blipFill>
                  <pic:spPr>
                    <a:xfrm>
                      <a:off x="0" y="0"/>
                      <a:ext cx="6034016" cy="1156203"/>
                    </a:xfrm>
                    <a:prstGeom prst="rect">
                      <a:avLst/>
                    </a:prstGeom>
                  </pic:spPr>
                </pic:pic>
              </a:graphicData>
            </a:graphic>
          </wp:inline>
        </w:drawing>
      </w:r>
    </w:p>
    <w:p w14:paraId="1832DA77" w14:textId="77777777" w:rsidR="000947A4" w:rsidRPr="000947A4" w:rsidRDefault="000947A4" w:rsidP="000947A4">
      <w:pPr>
        <w:jc w:val="center"/>
        <w:rPr>
          <w:b/>
          <w:bCs/>
          <w:sz w:val="28"/>
          <w:szCs w:val="28"/>
        </w:rPr>
      </w:pPr>
    </w:p>
    <w:p w14:paraId="5CBD6081" w14:textId="6553C8B5" w:rsidR="00D93B62" w:rsidRPr="000947A4" w:rsidRDefault="00D93B62" w:rsidP="00D93B62">
      <w:pPr>
        <w:rPr>
          <w:b/>
          <w:bCs/>
          <w:i/>
          <w:iCs/>
        </w:rPr>
      </w:pPr>
      <w:r w:rsidRPr="000947A4">
        <w:rPr>
          <w:b/>
          <w:bCs/>
          <w:i/>
          <w:iCs/>
        </w:rPr>
        <w:t>Table 2. Cost Drivers</w:t>
      </w:r>
      <w:r w:rsidR="00BB1667">
        <w:rPr>
          <w:b/>
          <w:bCs/>
          <w:i/>
          <w:iCs/>
        </w:rPr>
        <w:t xml:space="preserve"> of Marriott</w:t>
      </w:r>
    </w:p>
    <w:p w14:paraId="1B6380F4" w14:textId="65A1FB50" w:rsidR="00390368" w:rsidRDefault="00D93B62" w:rsidP="00390368">
      <w:pPr>
        <w:jc w:val="both"/>
        <w:rPr>
          <w:sz w:val="28"/>
          <w:szCs w:val="28"/>
        </w:rPr>
      </w:pPr>
      <w:r w:rsidRPr="000947A4">
        <w:t xml:space="preserve">In the post-pandemic era, the company has seen expansion growth justifying its increase in owned and leased properties compared to 2022. Similarly for the General, Admin., other costs. </w:t>
      </w:r>
      <w:r w:rsidR="00390368" w:rsidRPr="000947A4">
        <w:t xml:space="preserve">On the other hand, the Depreciation &amp; Amortization costs have decreased which might imply that the company being in a health expansion mode might be able to achieve better deals with its creditors by restructuring some of its long-term debts, hence spread the costs of some of its assets across a longer </w:t>
      </w:r>
      <w:proofErr w:type="gramStart"/>
      <w:r w:rsidR="00390368" w:rsidRPr="000947A4">
        <w:t>period of time</w:t>
      </w:r>
      <w:proofErr w:type="gramEnd"/>
      <w:r w:rsidR="00390368" w:rsidRPr="000947A4">
        <w:t xml:space="preserve">. What comes as a very optimistic sign is that compared to 2022, </w:t>
      </w:r>
      <w:proofErr w:type="gramStart"/>
      <w:r w:rsidR="00390368" w:rsidRPr="000947A4">
        <w:t>all of</w:t>
      </w:r>
      <w:proofErr w:type="gramEnd"/>
      <w:r w:rsidR="00390368" w:rsidRPr="000947A4">
        <w:t xml:space="preserve"> the company’s cost drivers have been reduced relatively to its sales-revenues</w:t>
      </w:r>
      <w:r w:rsidR="00390368">
        <w:rPr>
          <w:sz w:val="28"/>
          <w:szCs w:val="28"/>
        </w:rPr>
        <w:t xml:space="preserve">. </w:t>
      </w:r>
    </w:p>
    <w:p w14:paraId="3DD4EB36" w14:textId="77777777" w:rsidR="00D93B62" w:rsidRDefault="00D93B62" w:rsidP="00D93B62">
      <w:pPr>
        <w:jc w:val="center"/>
        <w:rPr>
          <w:sz w:val="28"/>
          <w:szCs w:val="28"/>
        </w:rPr>
      </w:pPr>
    </w:p>
    <w:p w14:paraId="31060F01" w14:textId="77777777" w:rsidR="00D93B62" w:rsidRDefault="00D93B62" w:rsidP="00D93B62">
      <w:pPr>
        <w:rPr>
          <w:sz w:val="28"/>
          <w:szCs w:val="28"/>
        </w:rPr>
      </w:pPr>
    </w:p>
    <w:p w14:paraId="141A4CA6" w14:textId="77777777" w:rsidR="00390368" w:rsidRDefault="00390368" w:rsidP="00D93B62">
      <w:pPr>
        <w:rPr>
          <w:sz w:val="28"/>
          <w:szCs w:val="28"/>
        </w:rPr>
      </w:pPr>
    </w:p>
    <w:p w14:paraId="74368860" w14:textId="77777777" w:rsidR="00390368" w:rsidRDefault="00390368" w:rsidP="00D93B62">
      <w:pPr>
        <w:rPr>
          <w:sz w:val="28"/>
          <w:szCs w:val="28"/>
        </w:rPr>
      </w:pPr>
    </w:p>
    <w:p w14:paraId="7B8C2B6D" w14:textId="77777777" w:rsidR="00390368" w:rsidRDefault="00390368" w:rsidP="00D93B62">
      <w:pPr>
        <w:rPr>
          <w:sz w:val="28"/>
          <w:szCs w:val="28"/>
        </w:rPr>
      </w:pPr>
    </w:p>
    <w:p w14:paraId="60EDB1D7" w14:textId="77777777" w:rsidR="00390368" w:rsidRDefault="00390368" w:rsidP="00D93B62">
      <w:pPr>
        <w:rPr>
          <w:sz w:val="28"/>
          <w:szCs w:val="28"/>
        </w:rPr>
      </w:pPr>
    </w:p>
    <w:p w14:paraId="5168CFD1" w14:textId="77777777" w:rsidR="00390368" w:rsidRDefault="00390368" w:rsidP="00D93B62">
      <w:pPr>
        <w:rPr>
          <w:sz w:val="28"/>
          <w:szCs w:val="28"/>
        </w:rPr>
      </w:pPr>
    </w:p>
    <w:p w14:paraId="46EEA8C7" w14:textId="77777777" w:rsidR="00390368" w:rsidRDefault="00390368" w:rsidP="00D93B62">
      <w:pPr>
        <w:rPr>
          <w:sz w:val="28"/>
          <w:szCs w:val="28"/>
        </w:rPr>
      </w:pPr>
    </w:p>
    <w:p w14:paraId="0C1F5B89" w14:textId="77777777" w:rsidR="00390368" w:rsidRDefault="00390368" w:rsidP="00D93B62">
      <w:pPr>
        <w:rPr>
          <w:sz w:val="28"/>
          <w:szCs w:val="28"/>
        </w:rPr>
      </w:pPr>
    </w:p>
    <w:p w14:paraId="72931D42" w14:textId="77777777" w:rsidR="00390368" w:rsidRDefault="00390368" w:rsidP="00D93B62">
      <w:pPr>
        <w:rPr>
          <w:sz w:val="28"/>
          <w:szCs w:val="28"/>
        </w:rPr>
      </w:pPr>
    </w:p>
    <w:p w14:paraId="0A50101B" w14:textId="77777777" w:rsidR="00390368" w:rsidRDefault="00390368" w:rsidP="00D93B62">
      <w:pPr>
        <w:rPr>
          <w:sz w:val="28"/>
          <w:szCs w:val="28"/>
        </w:rPr>
      </w:pPr>
    </w:p>
    <w:p w14:paraId="12280A34" w14:textId="77777777" w:rsidR="00390368" w:rsidRDefault="00390368" w:rsidP="00D93B62">
      <w:pPr>
        <w:rPr>
          <w:sz w:val="28"/>
          <w:szCs w:val="28"/>
        </w:rPr>
      </w:pPr>
    </w:p>
    <w:p w14:paraId="4240B143" w14:textId="59C4B450" w:rsidR="00390368" w:rsidRDefault="00390368" w:rsidP="00D93B62">
      <w:pPr>
        <w:rPr>
          <w:sz w:val="28"/>
          <w:szCs w:val="28"/>
        </w:rPr>
      </w:pPr>
      <w:r w:rsidRPr="00390368">
        <w:rPr>
          <w:noProof/>
          <w:sz w:val="28"/>
          <w:szCs w:val="28"/>
        </w:rPr>
        <w:lastRenderedPageBreak/>
        <w:drawing>
          <wp:inline distT="0" distB="0" distL="0" distR="0" wp14:anchorId="6A4645B0" wp14:editId="3D2334FE">
            <wp:extent cx="5731510" cy="1467293"/>
            <wp:effectExtent l="0" t="0" r="0" b="6350"/>
            <wp:docPr id="1636213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13057" name=""/>
                    <pic:cNvPicPr/>
                  </pic:nvPicPr>
                  <pic:blipFill>
                    <a:blip r:embed="rId7"/>
                    <a:stretch>
                      <a:fillRect/>
                    </a:stretch>
                  </pic:blipFill>
                  <pic:spPr>
                    <a:xfrm>
                      <a:off x="0" y="0"/>
                      <a:ext cx="5753481" cy="1472918"/>
                    </a:xfrm>
                    <a:prstGeom prst="rect">
                      <a:avLst/>
                    </a:prstGeom>
                  </pic:spPr>
                </pic:pic>
              </a:graphicData>
            </a:graphic>
          </wp:inline>
        </w:drawing>
      </w:r>
    </w:p>
    <w:p w14:paraId="5653D4B2" w14:textId="77777777" w:rsidR="00390368" w:rsidRPr="000947A4" w:rsidRDefault="00390368" w:rsidP="000947A4">
      <w:pPr>
        <w:jc w:val="both"/>
        <w:rPr>
          <w:b/>
          <w:bCs/>
        </w:rPr>
      </w:pPr>
    </w:p>
    <w:p w14:paraId="4B1571AF" w14:textId="743356F7" w:rsidR="00390368" w:rsidRPr="000947A4" w:rsidRDefault="00390368" w:rsidP="000947A4">
      <w:pPr>
        <w:jc w:val="both"/>
        <w:rPr>
          <w:b/>
          <w:bCs/>
          <w:i/>
          <w:iCs/>
        </w:rPr>
      </w:pPr>
      <w:r w:rsidRPr="000947A4">
        <w:rPr>
          <w:b/>
          <w:bCs/>
          <w:i/>
          <w:iCs/>
        </w:rPr>
        <w:t>Table 3. Revenues drivers of Hilton</w:t>
      </w:r>
    </w:p>
    <w:p w14:paraId="322CB58C" w14:textId="266A22B6" w:rsidR="00390368" w:rsidRPr="000947A4" w:rsidRDefault="00390368" w:rsidP="000947A4">
      <w:pPr>
        <w:jc w:val="both"/>
      </w:pPr>
      <w:r w:rsidRPr="000947A4">
        <w:t xml:space="preserve">A comparison is conducted in one of Marriott’s main competitors </w:t>
      </w:r>
      <w:r w:rsidR="000947A4" w:rsidRPr="000947A4">
        <w:t>– a</w:t>
      </w:r>
      <w:r w:rsidRPr="000947A4">
        <w:t xml:space="preserve"> company operating in the Hospitality Industry, internationally, and with a focus on prime locations and services. </w:t>
      </w:r>
      <w:r w:rsidR="000947A4" w:rsidRPr="000947A4">
        <w:t xml:space="preserve">The occupancy rate is slightly higher perhaps because its lower rates, hence appeal to a larger public. As expected, a lot of improvement on its metrics compared to 2022. </w:t>
      </w:r>
    </w:p>
    <w:p w14:paraId="4C9762AA" w14:textId="77777777" w:rsidR="000947A4" w:rsidRDefault="000947A4" w:rsidP="00D93B62">
      <w:pPr>
        <w:rPr>
          <w:sz w:val="28"/>
          <w:szCs w:val="28"/>
        </w:rPr>
      </w:pPr>
    </w:p>
    <w:p w14:paraId="2AEE6B65" w14:textId="7D8869A9" w:rsidR="000947A4" w:rsidRDefault="000947A4" w:rsidP="00D93B62">
      <w:pPr>
        <w:rPr>
          <w:sz w:val="28"/>
          <w:szCs w:val="28"/>
        </w:rPr>
      </w:pPr>
      <w:r w:rsidRPr="000947A4">
        <w:rPr>
          <w:noProof/>
          <w:sz w:val="28"/>
          <w:szCs w:val="28"/>
        </w:rPr>
        <w:drawing>
          <wp:inline distT="0" distB="0" distL="0" distR="0" wp14:anchorId="754A7931" wp14:editId="6FE8CFBD">
            <wp:extent cx="5731510" cy="882502"/>
            <wp:effectExtent l="0" t="0" r="0" b="0"/>
            <wp:docPr id="614397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397321" name=""/>
                    <pic:cNvPicPr/>
                  </pic:nvPicPr>
                  <pic:blipFill>
                    <a:blip r:embed="rId8"/>
                    <a:stretch>
                      <a:fillRect/>
                    </a:stretch>
                  </pic:blipFill>
                  <pic:spPr>
                    <a:xfrm>
                      <a:off x="0" y="0"/>
                      <a:ext cx="5755833" cy="886247"/>
                    </a:xfrm>
                    <a:prstGeom prst="rect">
                      <a:avLst/>
                    </a:prstGeom>
                  </pic:spPr>
                </pic:pic>
              </a:graphicData>
            </a:graphic>
          </wp:inline>
        </w:drawing>
      </w:r>
    </w:p>
    <w:p w14:paraId="6D93F75F" w14:textId="77777777" w:rsidR="000947A4" w:rsidRPr="000947A4" w:rsidRDefault="000947A4" w:rsidP="00D93B62">
      <w:pPr>
        <w:rPr>
          <w:b/>
          <w:bCs/>
        </w:rPr>
      </w:pPr>
    </w:p>
    <w:p w14:paraId="0F1DF1FD" w14:textId="0D894F49" w:rsidR="000947A4" w:rsidRPr="000947A4" w:rsidRDefault="000947A4" w:rsidP="00D93B62">
      <w:pPr>
        <w:rPr>
          <w:b/>
          <w:bCs/>
          <w:i/>
          <w:iCs/>
        </w:rPr>
      </w:pPr>
      <w:r w:rsidRPr="000947A4">
        <w:rPr>
          <w:b/>
          <w:bCs/>
          <w:i/>
          <w:iCs/>
        </w:rPr>
        <w:t>Table 4. Costs drivers of Hilton</w:t>
      </w:r>
    </w:p>
    <w:p w14:paraId="794012AC" w14:textId="729B3A49" w:rsidR="000947A4" w:rsidRDefault="000947A4" w:rsidP="000947A4">
      <w:pPr>
        <w:jc w:val="both"/>
        <w:rPr>
          <w:sz w:val="28"/>
          <w:szCs w:val="28"/>
        </w:rPr>
      </w:pPr>
      <w:r w:rsidRPr="000947A4">
        <w:t>In the cost driver analysis, similarly to Marriott, Hilton has improved its metrics compared to 2022. However, an important insight is that its costs relatively to its sales are significantly higher than Marriott which as a more premium hotel, is generating more flexibility to its pricing and margins</w:t>
      </w:r>
      <w:r>
        <w:rPr>
          <w:sz w:val="28"/>
          <w:szCs w:val="28"/>
        </w:rPr>
        <w:t xml:space="preserve">. </w:t>
      </w:r>
    </w:p>
    <w:p w14:paraId="5B305055" w14:textId="77777777" w:rsidR="000947A4" w:rsidRDefault="000947A4" w:rsidP="000947A4">
      <w:pPr>
        <w:jc w:val="both"/>
        <w:rPr>
          <w:sz w:val="28"/>
          <w:szCs w:val="28"/>
        </w:rPr>
      </w:pPr>
    </w:p>
    <w:p w14:paraId="100BF4A8" w14:textId="77777777" w:rsidR="00257358" w:rsidRDefault="00257358" w:rsidP="00257358">
      <w:pPr>
        <w:jc w:val="both"/>
        <w:rPr>
          <w:sz w:val="28"/>
          <w:szCs w:val="28"/>
        </w:rPr>
      </w:pPr>
    </w:p>
    <w:p w14:paraId="5EE01E19" w14:textId="77777777" w:rsidR="00BB1667" w:rsidRDefault="00BB1667" w:rsidP="00257358">
      <w:pPr>
        <w:jc w:val="both"/>
        <w:rPr>
          <w:sz w:val="28"/>
          <w:szCs w:val="28"/>
        </w:rPr>
      </w:pPr>
    </w:p>
    <w:p w14:paraId="0F4A3D26" w14:textId="67FBD5D7" w:rsidR="00257358" w:rsidRDefault="00257358" w:rsidP="00257358">
      <w:pPr>
        <w:jc w:val="both"/>
        <w:rPr>
          <w:sz w:val="28"/>
          <w:szCs w:val="28"/>
        </w:rPr>
      </w:pPr>
      <w:r w:rsidRPr="00257358">
        <w:rPr>
          <w:noProof/>
          <w:sz w:val="28"/>
          <w:szCs w:val="28"/>
        </w:rPr>
        <w:lastRenderedPageBreak/>
        <w:drawing>
          <wp:inline distT="0" distB="0" distL="0" distR="0" wp14:anchorId="4347806F" wp14:editId="7D3FF2AF">
            <wp:extent cx="5731510" cy="1457325"/>
            <wp:effectExtent l="0" t="0" r="0" b="3175"/>
            <wp:docPr id="757939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39978" name=""/>
                    <pic:cNvPicPr/>
                  </pic:nvPicPr>
                  <pic:blipFill>
                    <a:blip r:embed="rId9"/>
                    <a:stretch>
                      <a:fillRect/>
                    </a:stretch>
                  </pic:blipFill>
                  <pic:spPr>
                    <a:xfrm>
                      <a:off x="0" y="0"/>
                      <a:ext cx="5731510" cy="1457325"/>
                    </a:xfrm>
                    <a:prstGeom prst="rect">
                      <a:avLst/>
                    </a:prstGeom>
                  </pic:spPr>
                </pic:pic>
              </a:graphicData>
            </a:graphic>
          </wp:inline>
        </w:drawing>
      </w:r>
    </w:p>
    <w:p w14:paraId="14DA9B26" w14:textId="77777777" w:rsidR="00257358" w:rsidRPr="009D06D5" w:rsidRDefault="00257358" w:rsidP="00257358">
      <w:pPr>
        <w:jc w:val="both"/>
        <w:rPr>
          <w:b/>
          <w:bCs/>
          <w:i/>
          <w:iCs/>
          <w:sz w:val="28"/>
          <w:szCs w:val="28"/>
        </w:rPr>
      </w:pPr>
    </w:p>
    <w:p w14:paraId="162D1071" w14:textId="29897BF3" w:rsidR="00257358" w:rsidRPr="009D06D5" w:rsidRDefault="00257358" w:rsidP="00257358">
      <w:pPr>
        <w:jc w:val="both"/>
        <w:rPr>
          <w:b/>
          <w:bCs/>
          <w:i/>
          <w:iCs/>
        </w:rPr>
      </w:pPr>
      <w:r w:rsidRPr="009D06D5">
        <w:rPr>
          <w:b/>
          <w:bCs/>
          <w:i/>
          <w:iCs/>
        </w:rPr>
        <w:t>Table 5. Johnson &amp; Johnson revenue drivers</w:t>
      </w:r>
    </w:p>
    <w:p w14:paraId="271E41CF" w14:textId="39175603" w:rsidR="00257358" w:rsidRPr="009D06D5" w:rsidRDefault="00257358" w:rsidP="009D06D5">
      <w:pPr>
        <w:jc w:val="both"/>
      </w:pPr>
      <w:r w:rsidRPr="009D06D5">
        <w:t>The company is categorizing its products in two distinct segments for which a detailed table</w:t>
      </w:r>
      <w:r w:rsidR="009D06D5">
        <w:t xml:space="preserve"> (</w:t>
      </w:r>
      <w:r w:rsidR="009D06D5" w:rsidRPr="009D06D5">
        <w:rPr>
          <w:b/>
          <w:bCs/>
        </w:rPr>
        <w:t>table 7</w:t>
      </w:r>
      <w:r w:rsidR="009D06D5">
        <w:t>)</w:t>
      </w:r>
      <w:r w:rsidRPr="009D06D5">
        <w:t xml:space="preserve"> is provided below. The segments are “Innovative Medicine including Covid19 vaccine” and “MedTech”. </w:t>
      </w:r>
    </w:p>
    <w:p w14:paraId="2BCFEE98" w14:textId="1CA88F18" w:rsidR="00257358" w:rsidRPr="009D06D5" w:rsidRDefault="00257358" w:rsidP="009D06D5">
      <w:pPr>
        <w:jc w:val="both"/>
      </w:pPr>
      <w:r w:rsidRPr="009D06D5">
        <w:t xml:space="preserve">In the U.S markets the company has improved its sales of “Innovative Medicines” by almost 10%, compared to 2022.  It </w:t>
      </w:r>
      <w:r w:rsidR="009D06D5" w:rsidRPr="009D06D5">
        <w:t>is lagging</w:t>
      </w:r>
      <w:r w:rsidRPr="009D06D5">
        <w:t xml:space="preserve"> however the same performance on an international lever where it sees sales reduced by 2.5%. </w:t>
      </w:r>
    </w:p>
    <w:p w14:paraId="5992C359" w14:textId="32122A2A" w:rsidR="00257358" w:rsidRDefault="00257358" w:rsidP="009D06D5">
      <w:pPr>
        <w:jc w:val="both"/>
      </w:pPr>
      <w:r w:rsidRPr="009D06D5">
        <w:t>In the “</w:t>
      </w:r>
      <w:r w:rsidR="009D06D5" w:rsidRPr="009D06D5">
        <w:t>MedTech</w:t>
      </w:r>
      <w:r w:rsidRPr="009D06D5">
        <w:t xml:space="preserve">” segment it is performing much better, accomplishing an increase in both geographical areas by </w:t>
      </w:r>
      <w:r w:rsidR="009D06D5">
        <w:t xml:space="preserve">nearly 14% and 12.5% respectively. </w:t>
      </w:r>
    </w:p>
    <w:p w14:paraId="2173AEBF" w14:textId="77777777" w:rsidR="009D06D5" w:rsidRDefault="009D06D5" w:rsidP="009D06D5">
      <w:pPr>
        <w:jc w:val="both"/>
      </w:pPr>
    </w:p>
    <w:p w14:paraId="19D42A61" w14:textId="2F14F874" w:rsidR="009D06D5" w:rsidRDefault="009D06D5" w:rsidP="009D06D5">
      <w:pPr>
        <w:jc w:val="both"/>
      </w:pPr>
      <w:r w:rsidRPr="009D06D5">
        <w:rPr>
          <w:noProof/>
        </w:rPr>
        <w:drawing>
          <wp:inline distT="0" distB="0" distL="0" distR="0" wp14:anchorId="528C35A2" wp14:editId="6C673681">
            <wp:extent cx="5731510" cy="733647"/>
            <wp:effectExtent l="0" t="0" r="0" b="3175"/>
            <wp:docPr id="54195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95652" name=""/>
                    <pic:cNvPicPr/>
                  </pic:nvPicPr>
                  <pic:blipFill>
                    <a:blip r:embed="rId10"/>
                    <a:stretch>
                      <a:fillRect/>
                    </a:stretch>
                  </pic:blipFill>
                  <pic:spPr>
                    <a:xfrm>
                      <a:off x="0" y="0"/>
                      <a:ext cx="5748366" cy="735805"/>
                    </a:xfrm>
                    <a:prstGeom prst="rect">
                      <a:avLst/>
                    </a:prstGeom>
                  </pic:spPr>
                </pic:pic>
              </a:graphicData>
            </a:graphic>
          </wp:inline>
        </w:drawing>
      </w:r>
    </w:p>
    <w:p w14:paraId="5834B44F" w14:textId="77777777" w:rsidR="009D06D5" w:rsidRDefault="009D06D5" w:rsidP="009D06D5">
      <w:pPr>
        <w:jc w:val="both"/>
      </w:pPr>
    </w:p>
    <w:p w14:paraId="72084F8B" w14:textId="4D4D5B8C" w:rsidR="009D06D5" w:rsidRDefault="009D06D5" w:rsidP="009D06D5">
      <w:pPr>
        <w:jc w:val="both"/>
      </w:pPr>
      <w:r>
        <w:t>Table 6. Johnson &amp; Johnson costs drivers</w:t>
      </w:r>
    </w:p>
    <w:p w14:paraId="44F58D28" w14:textId="77777777" w:rsidR="0010138D" w:rsidRDefault="009D06D5" w:rsidP="009D06D5">
      <w:pPr>
        <w:jc w:val="both"/>
      </w:pPr>
      <w:r>
        <w:t xml:space="preserve">The costs analysis demonstrates the company’s significant increased costs across all categories, compared to 2022. Notably, </w:t>
      </w:r>
      <w:r w:rsidR="0010138D">
        <w:t xml:space="preserve">the biggest increase lies on the category of “Selling, Marketing &amp; Administration”, perhaps reflecting the company’s acknowledgment in lacking the sales and promotion needed internationally, compared to domestically in the U.S. As per the comparison between its costs to its revenues, they are also increased compared to 2022. </w:t>
      </w:r>
    </w:p>
    <w:p w14:paraId="5D7B0019" w14:textId="77777777" w:rsidR="0010138D" w:rsidRDefault="0010138D" w:rsidP="009D06D5">
      <w:pPr>
        <w:jc w:val="both"/>
      </w:pPr>
    </w:p>
    <w:p w14:paraId="1BC1E2C1" w14:textId="77777777" w:rsidR="0010138D" w:rsidRDefault="0010138D" w:rsidP="009D06D5">
      <w:pPr>
        <w:jc w:val="both"/>
      </w:pPr>
    </w:p>
    <w:p w14:paraId="34A2DF83" w14:textId="286DB957" w:rsidR="0010138D" w:rsidRDefault="0010138D" w:rsidP="009D06D5">
      <w:pPr>
        <w:jc w:val="both"/>
      </w:pPr>
    </w:p>
    <w:p w14:paraId="15756A37" w14:textId="0F53DE56" w:rsidR="009D06D5" w:rsidRDefault="008C72D2" w:rsidP="0010138D">
      <w:r w:rsidRPr="008C72D2">
        <w:rPr>
          <w:noProof/>
        </w:rPr>
        <w:lastRenderedPageBreak/>
        <w:drawing>
          <wp:inline distT="0" distB="0" distL="0" distR="0" wp14:anchorId="1F853AC6" wp14:editId="2E897121">
            <wp:extent cx="6060440" cy="2847319"/>
            <wp:effectExtent l="0" t="0" r="0" b="0"/>
            <wp:docPr id="2128342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342126" name=""/>
                    <pic:cNvPicPr/>
                  </pic:nvPicPr>
                  <pic:blipFill>
                    <a:blip r:embed="rId11"/>
                    <a:stretch>
                      <a:fillRect/>
                    </a:stretch>
                  </pic:blipFill>
                  <pic:spPr>
                    <a:xfrm>
                      <a:off x="0" y="0"/>
                      <a:ext cx="6153104" cy="2890854"/>
                    </a:xfrm>
                    <a:prstGeom prst="rect">
                      <a:avLst/>
                    </a:prstGeom>
                  </pic:spPr>
                </pic:pic>
              </a:graphicData>
            </a:graphic>
          </wp:inline>
        </w:drawing>
      </w:r>
    </w:p>
    <w:p w14:paraId="095E7523" w14:textId="77777777" w:rsidR="008C72D2" w:rsidRPr="00C83233" w:rsidRDefault="008C72D2" w:rsidP="0010138D">
      <w:pPr>
        <w:rPr>
          <w:b/>
          <w:bCs/>
          <w:i/>
          <w:iCs/>
        </w:rPr>
      </w:pPr>
    </w:p>
    <w:p w14:paraId="06AF9F50" w14:textId="3E3EA4B0" w:rsidR="008C72D2" w:rsidRPr="00C83233" w:rsidRDefault="008C72D2" w:rsidP="0010138D">
      <w:pPr>
        <w:rPr>
          <w:b/>
          <w:bCs/>
          <w:i/>
          <w:iCs/>
        </w:rPr>
      </w:pPr>
      <w:r w:rsidRPr="00C83233">
        <w:rPr>
          <w:b/>
          <w:bCs/>
          <w:i/>
          <w:iCs/>
        </w:rPr>
        <w:t xml:space="preserve">Table 7. Categorization of segments “Innovative Medicine” &amp; “MedTech” </w:t>
      </w:r>
    </w:p>
    <w:p w14:paraId="2559DAF5" w14:textId="77777777" w:rsidR="00C83233" w:rsidRDefault="00C83233" w:rsidP="0010138D"/>
    <w:p w14:paraId="2551FE0F" w14:textId="37CA2FB7" w:rsidR="00C83233" w:rsidRDefault="00C83233" w:rsidP="0010138D">
      <w:r w:rsidRPr="00C83233">
        <w:rPr>
          <w:noProof/>
        </w:rPr>
        <w:drawing>
          <wp:inline distT="0" distB="0" distL="0" distR="0" wp14:anchorId="62955EDD" wp14:editId="619AEA68">
            <wp:extent cx="6060440" cy="1913255"/>
            <wp:effectExtent l="0" t="0" r="0" b="4445"/>
            <wp:docPr id="698975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75887" name=""/>
                    <pic:cNvPicPr/>
                  </pic:nvPicPr>
                  <pic:blipFill>
                    <a:blip r:embed="rId12"/>
                    <a:stretch>
                      <a:fillRect/>
                    </a:stretch>
                  </pic:blipFill>
                  <pic:spPr>
                    <a:xfrm>
                      <a:off x="0" y="0"/>
                      <a:ext cx="6073646" cy="1917424"/>
                    </a:xfrm>
                    <a:prstGeom prst="rect">
                      <a:avLst/>
                    </a:prstGeom>
                  </pic:spPr>
                </pic:pic>
              </a:graphicData>
            </a:graphic>
          </wp:inline>
        </w:drawing>
      </w:r>
    </w:p>
    <w:p w14:paraId="7E37EA2F" w14:textId="77777777" w:rsidR="00C83233" w:rsidRDefault="00C83233" w:rsidP="0010138D"/>
    <w:p w14:paraId="61261FEC" w14:textId="2C47F27C" w:rsidR="00C83233" w:rsidRPr="00C83233" w:rsidRDefault="00C83233" w:rsidP="0010138D">
      <w:pPr>
        <w:rPr>
          <w:b/>
          <w:bCs/>
          <w:i/>
          <w:iCs/>
        </w:rPr>
      </w:pPr>
      <w:r w:rsidRPr="00C83233">
        <w:rPr>
          <w:b/>
          <w:bCs/>
          <w:i/>
          <w:iCs/>
        </w:rPr>
        <w:t>Table 8. Revenues drivers of Pfizer</w:t>
      </w:r>
    </w:p>
    <w:p w14:paraId="4122603F" w14:textId="445549D8" w:rsidR="00111E72" w:rsidRDefault="00111E72" w:rsidP="00111E72">
      <w:pPr>
        <w:jc w:val="both"/>
      </w:pPr>
      <w:r>
        <w:t xml:space="preserve">An example of measuring the revenues drivers of another competitor, that of Pfizer pharmaceutical company. In contrast with Johnson &amp; Johnson, Pfizer has failed to increase its sales from 2022 to a dramatic extent. Its segments include the categories of “Biopharma” and “Business Innovation”. In all geographic regions has suffered less revenues, apart from the sales in “U.S – Business Innovation”, which have remained the same. </w:t>
      </w:r>
    </w:p>
    <w:p w14:paraId="44751F99" w14:textId="77777777" w:rsidR="00111E72" w:rsidRDefault="00111E72" w:rsidP="00111E72">
      <w:pPr>
        <w:jc w:val="both"/>
      </w:pPr>
    </w:p>
    <w:p w14:paraId="1E5F2FD7" w14:textId="77997F81" w:rsidR="00111E72" w:rsidRDefault="00111E72" w:rsidP="00111E72">
      <w:pPr>
        <w:jc w:val="both"/>
      </w:pPr>
      <w:r w:rsidRPr="00111E72">
        <w:rPr>
          <w:noProof/>
        </w:rPr>
        <w:lastRenderedPageBreak/>
        <w:drawing>
          <wp:inline distT="0" distB="0" distL="0" distR="0" wp14:anchorId="56BD7D9C" wp14:editId="24D9EC76">
            <wp:extent cx="5937813" cy="1029970"/>
            <wp:effectExtent l="0" t="0" r="6350" b="0"/>
            <wp:docPr id="1474448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48504" name=""/>
                    <pic:cNvPicPr/>
                  </pic:nvPicPr>
                  <pic:blipFill>
                    <a:blip r:embed="rId13"/>
                    <a:stretch>
                      <a:fillRect/>
                    </a:stretch>
                  </pic:blipFill>
                  <pic:spPr>
                    <a:xfrm>
                      <a:off x="0" y="0"/>
                      <a:ext cx="5994135" cy="1039740"/>
                    </a:xfrm>
                    <a:prstGeom prst="rect">
                      <a:avLst/>
                    </a:prstGeom>
                  </pic:spPr>
                </pic:pic>
              </a:graphicData>
            </a:graphic>
          </wp:inline>
        </w:drawing>
      </w:r>
    </w:p>
    <w:p w14:paraId="58F87B6F" w14:textId="77777777" w:rsidR="00111E72" w:rsidRPr="00111E72" w:rsidRDefault="00111E72" w:rsidP="00111E72">
      <w:pPr>
        <w:jc w:val="both"/>
        <w:rPr>
          <w:b/>
          <w:bCs/>
          <w:i/>
          <w:iCs/>
        </w:rPr>
      </w:pPr>
    </w:p>
    <w:p w14:paraId="5FD792B0" w14:textId="08FAFC4A" w:rsidR="00111E72" w:rsidRDefault="00111E72" w:rsidP="00111E72">
      <w:pPr>
        <w:jc w:val="both"/>
        <w:rPr>
          <w:b/>
          <w:bCs/>
          <w:i/>
          <w:iCs/>
        </w:rPr>
      </w:pPr>
      <w:r w:rsidRPr="00111E72">
        <w:rPr>
          <w:b/>
          <w:bCs/>
          <w:i/>
          <w:iCs/>
        </w:rPr>
        <w:t>Table 9. Costs drivers of Pfizer</w:t>
      </w:r>
    </w:p>
    <w:p w14:paraId="27D831A4" w14:textId="559DEE42" w:rsidR="007F4DBE" w:rsidRPr="007F4DBE" w:rsidRDefault="007F4DBE" w:rsidP="00111E72">
      <w:pPr>
        <w:jc w:val="both"/>
      </w:pPr>
      <w:r w:rsidRPr="007F4DBE">
        <w:t xml:space="preserve">The nominal value of the </w:t>
      </w:r>
      <w:r>
        <w:t xml:space="preserve">GOGS and R&amp;D of Pfizer have been reduced compared to 2022. However, the Selling, Marketing and Administrative has increased. Furthermore, the percentage of its costs/sales of 2023 is significantly higher than in 2022, although the company generated much less revenues. </w:t>
      </w:r>
    </w:p>
    <w:p w14:paraId="5621ECC0" w14:textId="77777777" w:rsidR="00111E72" w:rsidRPr="00111E72" w:rsidRDefault="00111E72" w:rsidP="00111E72">
      <w:pPr>
        <w:jc w:val="both"/>
        <w:rPr>
          <w:b/>
          <w:bCs/>
          <w:i/>
          <w:iCs/>
        </w:rPr>
      </w:pPr>
    </w:p>
    <w:sectPr w:rsidR="00111E72" w:rsidRPr="00111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26DEB"/>
    <w:multiLevelType w:val="hybridMultilevel"/>
    <w:tmpl w:val="8B8C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565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73"/>
    <w:rsid w:val="000947A4"/>
    <w:rsid w:val="0010138D"/>
    <w:rsid w:val="00111E72"/>
    <w:rsid w:val="00257358"/>
    <w:rsid w:val="00390368"/>
    <w:rsid w:val="00581278"/>
    <w:rsid w:val="007F4DBE"/>
    <w:rsid w:val="00854A2B"/>
    <w:rsid w:val="008C72D2"/>
    <w:rsid w:val="009D06D5"/>
    <w:rsid w:val="00A81773"/>
    <w:rsid w:val="00AF029A"/>
    <w:rsid w:val="00BB1667"/>
    <w:rsid w:val="00C83233"/>
    <w:rsid w:val="00C967C3"/>
    <w:rsid w:val="00D93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28725E"/>
  <w15:chartTrackingRefBased/>
  <w15:docId w15:val="{86B0BBEA-EBE9-2A40-A53F-5C2EF286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7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7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7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7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7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7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7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7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7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7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7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7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7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7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7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773"/>
    <w:rPr>
      <w:rFonts w:eastAsiaTheme="majorEastAsia" w:cstheme="majorBidi"/>
      <w:color w:val="272727" w:themeColor="text1" w:themeTint="D8"/>
    </w:rPr>
  </w:style>
  <w:style w:type="paragraph" w:styleId="Title">
    <w:name w:val="Title"/>
    <w:basedOn w:val="Normal"/>
    <w:next w:val="Normal"/>
    <w:link w:val="TitleChar"/>
    <w:uiPriority w:val="10"/>
    <w:qFormat/>
    <w:rsid w:val="00A81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7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7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7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773"/>
    <w:pPr>
      <w:spacing w:before="160"/>
      <w:jc w:val="center"/>
    </w:pPr>
    <w:rPr>
      <w:i/>
      <w:iCs/>
      <w:color w:val="404040" w:themeColor="text1" w:themeTint="BF"/>
    </w:rPr>
  </w:style>
  <w:style w:type="character" w:customStyle="1" w:styleId="QuoteChar">
    <w:name w:val="Quote Char"/>
    <w:basedOn w:val="DefaultParagraphFont"/>
    <w:link w:val="Quote"/>
    <w:uiPriority w:val="29"/>
    <w:rsid w:val="00A81773"/>
    <w:rPr>
      <w:i/>
      <w:iCs/>
      <w:color w:val="404040" w:themeColor="text1" w:themeTint="BF"/>
    </w:rPr>
  </w:style>
  <w:style w:type="paragraph" w:styleId="ListParagraph">
    <w:name w:val="List Paragraph"/>
    <w:basedOn w:val="Normal"/>
    <w:uiPriority w:val="34"/>
    <w:qFormat/>
    <w:rsid w:val="00A81773"/>
    <w:pPr>
      <w:ind w:left="720"/>
      <w:contextualSpacing/>
    </w:pPr>
  </w:style>
  <w:style w:type="character" w:styleId="IntenseEmphasis">
    <w:name w:val="Intense Emphasis"/>
    <w:basedOn w:val="DefaultParagraphFont"/>
    <w:uiPriority w:val="21"/>
    <w:qFormat/>
    <w:rsid w:val="00A81773"/>
    <w:rPr>
      <w:i/>
      <w:iCs/>
      <w:color w:val="0F4761" w:themeColor="accent1" w:themeShade="BF"/>
    </w:rPr>
  </w:style>
  <w:style w:type="paragraph" w:styleId="IntenseQuote">
    <w:name w:val="Intense Quote"/>
    <w:basedOn w:val="Normal"/>
    <w:next w:val="Normal"/>
    <w:link w:val="IntenseQuoteChar"/>
    <w:uiPriority w:val="30"/>
    <w:qFormat/>
    <w:rsid w:val="00A81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773"/>
    <w:rPr>
      <w:i/>
      <w:iCs/>
      <w:color w:val="0F4761" w:themeColor="accent1" w:themeShade="BF"/>
    </w:rPr>
  </w:style>
  <w:style w:type="character" w:styleId="IntenseReference">
    <w:name w:val="Intense Reference"/>
    <w:basedOn w:val="DefaultParagraphFont"/>
    <w:uiPriority w:val="32"/>
    <w:qFormat/>
    <w:rsid w:val="00A81773"/>
    <w:rPr>
      <w:b/>
      <w:bCs/>
      <w:smallCaps/>
      <w:color w:val="0F4761" w:themeColor="accent1" w:themeShade="BF"/>
      <w:spacing w:val="5"/>
    </w:rPr>
  </w:style>
  <w:style w:type="table" w:styleId="TableGrid">
    <w:name w:val="Table Grid"/>
    <w:basedOn w:val="TableNormal"/>
    <w:uiPriority w:val="39"/>
    <w:rsid w:val="00390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7470">
      <w:bodyDiv w:val="1"/>
      <w:marLeft w:val="0"/>
      <w:marRight w:val="0"/>
      <w:marTop w:val="0"/>
      <w:marBottom w:val="0"/>
      <w:divBdr>
        <w:top w:val="none" w:sz="0" w:space="0" w:color="auto"/>
        <w:left w:val="none" w:sz="0" w:space="0" w:color="auto"/>
        <w:bottom w:val="none" w:sz="0" w:space="0" w:color="auto"/>
        <w:right w:val="none" w:sz="0" w:space="0" w:color="auto"/>
      </w:divBdr>
    </w:div>
    <w:div w:id="142434186">
      <w:bodyDiv w:val="1"/>
      <w:marLeft w:val="0"/>
      <w:marRight w:val="0"/>
      <w:marTop w:val="0"/>
      <w:marBottom w:val="0"/>
      <w:divBdr>
        <w:top w:val="none" w:sz="0" w:space="0" w:color="auto"/>
        <w:left w:val="none" w:sz="0" w:space="0" w:color="auto"/>
        <w:bottom w:val="none" w:sz="0" w:space="0" w:color="auto"/>
        <w:right w:val="none" w:sz="0" w:space="0" w:color="auto"/>
      </w:divBdr>
    </w:div>
    <w:div w:id="286206526">
      <w:bodyDiv w:val="1"/>
      <w:marLeft w:val="0"/>
      <w:marRight w:val="0"/>
      <w:marTop w:val="0"/>
      <w:marBottom w:val="0"/>
      <w:divBdr>
        <w:top w:val="none" w:sz="0" w:space="0" w:color="auto"/>
        <w:left w:val="none" w:sz="0" w:space="0" w:color="auto"/>
        <w:bottom w:val="none" w:sz="0" w:space="0" w:color="auto"/>
        <w:right w:val="none" w:sz="0" w:space="0" w:color="auto"/>
      </w:divBdr>
    </w:div>
    <w:div w:id="310017152">
      <w:bodyDiv w:val="1"/>
      <w:marLeft w:val="0"/>
      <w:marRight w:val="0"/>
      <w:marTop w:val="0"/>
      <w:marBottom w:val="0"/>
      <w:divBdr>
        <w:top w:val="none" w:sz="0" w:space="0" w:color="auto"/>
        <w:left w:val="none" w:sz="0" w:space="0" w:color="auto"/>
        <w:bottom w:val="none" w:sz="0" w:space="0" w:color="auto"/>
        <w:right w:val="none" w:sz="0" w:space="0" w:color="auto"/>
      </w:divBdr>
    </w:div>
    <w:div w:id="318382879">
      <w:bodyDiv w:val="1"/>
      <w:marLeft w:val="0"/>
      <w:marRight w:val="0"/>
      <w:marTop w:val="0"/>
      <w:marBottom w:val="0"/>
      <w:divBdr>
        <w:top w:val="none" w:sz="0" w:space="0" w:color="auto"/>
        <w:left w:val="none" w:sz="0" w:space="0" w:color="auto"/>
        <w:bottom w:val="none" w:sz="0" w:space="0" w:color="auto"/>
        <w:right w:val="none" w:sz="0" w:space="0" w:color="auto"/>
      </w:divBdr>
    </w:div>
    <w:div w:id="493692410">
      <w:bodyDiv w:val="1"/>
      <w:marLeft w:val="0"/>
      <w:marRight w:val="0"/>
      <w:marTop w:val="0"/>
      <w:marBottom w:val="0"/>
      <w:divBdr>
        <w:top w:val="none" w:sz="0" w:space="0" w:color="auto"/>
        <w:left w:val="none" w:sz="0" w:space="0" w:color="auto"/>
        <w:bottom w:val="none" w:sz="0" w:space="0" w:color="auto"/>
        <w:right w:val="none" w:sz="0" w:space="0" w:color="auto"/>
      </w:divBdr>
    </w:div>
    <w:div w:id="621113928">
      <w:bodyDiv w:val="1"/>
      <w:marLeft w:val="0"/>
      <w:marRight w:val="0"/>
      <w:marTop w:val="0"/>
      <w:marBottom w:val="0"/>
      <w:divBdr>
        <w:top w:val="none" w:sz="0" w:space="0" w:color="auto"/>
        <w:left w:val="none" w:sz="0" w:space="0" w:color="auto"/>
        <w:bottom w:val="none" w:sz="0" w:space="0" w:color="auto"/>
        <w:right w:val="none" w:sz="0" w:space="0" w:color="auto"/>
      </w:divBdr>
    </w:div>
    <w:div w:id="635915190">
      <w:bodyDiv w:val="1"/>
      <w:marLeft w:val="0"/>
      <w:marRight w:val="0"/>
      <w:marTop w:val="0"/>
      <w:marBottom w:val="0"/>
      <w:divBdr>
        <w:top w:val="none" w:sz="0" w:space="0" w:color="auto"/>
        <w:left w:val="none" w:sz="0" w:space="0" w:color="auto"/>
        <w:bottom w:val="none" w:sz="0" w:space="0" w:color="auto"/>
        <w:right w:val="none" w:sz="0" w:space="0" w:color="auto"/>
      </w:divBdr>
    </w:div>
    <w:div w:id="645208342">
      <w:bodyDiv w:val="1"/>
      <w:marLeft w:val="0"/>
      <w:marRight w:val="0"/>
      <w:marTop w:val="0"/>
      <w:marBottom w:val="0"/>
      <w:divBdr>
        <w:top w:val="none" w:sz="0" w:space="0" w:color="auto"/>
        <w:left w:val="none" w:sz="0" w:space="0" w:color="auto"/>
        <w:bottom w:val="none" w:sz="0" w:space="0" w:color="auto"/>
        <w:right w:val="none" w:sz="0" w:space="0" w:color="auto"/>
      </w:divBdr>
    </w:div>
    <w:div w:id="946038604">
      <w:bodyDiv w:val="1"/>
      <w:marLeft w:val="0"/>
      <w:marRight w:val="0"/>
      <w:marTop w:val="0"/>
      <w:marBottom w:val="0"/>
      <w:divBdr>
        <w:top w:val="none" w:sz="0" w:space="0" w:color="auto"/>
        <w:left w:val="none" w:sz="0" w:space="0" w:color="auto"/>
        <w:bottom w:val="none" w:sz="0" w:space="0" w:color="auto"/>
        <w:right w:val="none" w:sz="0" w:space="0" w:color="auto"/>
      </w:divBdr>
    </w:div>
    <w:div w:id="1058087812">
      <w:bodyDiv w:val="1"/>
      <w:marLeft w:val="0"/>
      <w:marRight w:val="0"/>
      <w:marTop w:val="0"/>
      <w:marBottom w:val="0"/>
      <w:divBdr>
        <w:top w:val="none" w:sz="0" w:space="0" w:color="auto"/>
        <w:left w:val="none" w:sz="0" w:space="0" w:color="auto"/>
        <w:bottom w:val="none" w:sz="0" w:space="0" w:color="auto"/>
        <w:right w:val="none" w:sz="0" w:space="0" w:color="auto"/>
      </w:divBdr>
    </w:div>
    <w:div w:id="1129588934">
      <w:bodyDiv w:val="1"/>
      <w:marLeft w:val="0"/>
      <w:marRight w:val="0"/>
      <w:marTop w:val="0"/>
      <w:marBottom w:val="0"/>
      <w:divBdr>
        <w:top w:val="none" w:sz="0" w:space="0" w:color="auto"/>
        <w:left w:val="none" w:sz="0" w:space="0" w:color="auto"/>
        <w:bottom w:val="none" w:sz="0" w:space="0" w:color="auto"/>
        <w:right w:val="none" w:sz="0" w:space="0" w:color="auto"/>
      </w:divBdr>
    </w:div>
    <w:div w:id="1173646665">
      <w:bodyDiv w:val="1"/>
      <w:marLeft w:val="0"/>
      <w:marRight w:val="0"/>
      <w:marTop w:val="0"/>
      <w:marBottom w:val="0"/>
      <w:divBdr>
        <w:top w:val="none" w:sz="0" w:space="0" w:color="auto"/>
        <w:left w:val="none" w:sz="0" w:space="0" w:color="auto"/>
        <w:bottom w:val="none" w:sz="0" w:space="0" w:color="auto"/>
        <w:right w:val="none" w:sz="0" w:space="0" w:color="auto"/>
      </w:divBdr>
    </w:div>
    <w:div w:id="1271543820">
      <w:bodyDiv w:val="1"/>
      <w:marLeft w:val="0"/>
      <w:marRight w:val="0"/>
      <w:marTop w:val="0"/>
      <w:marBottom w:val="0"/>
      <w:divBdr>
        <w:top w:val="none" w:sz="0" w:space="0" w:color="auto"/>
        <w:left w:val="none" w:sz="0" w:space="0" w:color="auto"/>
        <w:bottom w:val="none" w:sz="0" w:space="0" w:color="auto"/>
        <w:right w:val="none" w:sz="0" w:space="0" w:color="auto"/>
      </w:divBdr>
    </w:div>
    <w:div w:id="1464081878">
      <w:bodyDiv w:val="1"/>
      <w:marLeft w:val="0"/>
      <w:marRight w:val="0"/>
      <w:marTop w:val="0"/>
      <w:marBottom w:val="0"/>
      <w:divBdr>
        <w:top w:val="none" w:sz="0" w:space="0" w:color="auto"/>
        <w:left w:val="none" w:sz="0" w:space="0" w:color="auto"/>
        <w:bottom w:val="none" w:sz="0" w:space="0" w:color="auto"/>
        <w:right w:val="none" w:sz="0" w:space="0" w:color="auto"/>
      </w:divBdr>
    </w:div>
    <w:div w:id="1791048593">
      <w:bodyDiv w:val="1"/>
      <w:marLeft w:val="0"/>
      <w:marRight w:val="0"/>
      <w:marTop w:val="0"/>
      <w:marBottom w:val="0"/>
      <w:divBdr>
        <w:top w:val="none" w:sz="0" w:space="0" w:color="auto"/>
        <w:left w:val="none" w:sz="0" w:space="0" w:color="auto"/>
        <w:bottom w:val="none" w:sz="0" w:space="0" w:color="auto"/>
        <w:right w:val="none" w:sz="0" w:space="0" w:color="auto"/>
      </w:divBdr>
    </w:div>
    <w:div w:id="1832137706">
      <w:bodyDiv w:val="1"/>
      <w:marLeft w:val="0"/>
      <w:marRight w:val="0"/>
      <w:marTop w:val="0"/>
      <w:marBottom w:val="0"/>
      <w:divBdr>
        <w:top w:val="none" w:sz="0" w:space="0" w:color="auto"/>
        <w:left w:val="none" w:sz="0" w:space="0" w:color="auto"/>
        <w:bottom w:val="none" w:sz="0" w:space="0" w:color="auto"/>
        <w:right w:val="none" w:sz="0" w:space="0" w:color="auto"/>
      </w:divBdr>
    </w:div>
    <w:div w:id="214585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7</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Leras</dc:creator>
  <cp:keywords/>
  <dc:description/>
  <cp:lastModifiedBy>Petros Leras</cp:lastModifiedBy>
  <cp:revision>3</cp:revision>
  <dcterms:created xsi:type="dcterms:W3CDTF">2024-10-25T13:29:00Z</dcterms:created>
  <dcterms:modified xsi:type="dcterms:W3CDTF">2024-10-25T20:59:00Z</dcterms:modified>
</cp:coreProperties>
</file>