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1DAA" w14:textId="4996A7B1" w:rsidR="00461775" w:rsidRPr="00E42C36" w:rsidRDefault="000E5A60" w:rsidP="000E5A60">
      <w:pPr>
        <w:jc w:val="center"/>
        <w:rPr>
          <w:rFonts w:ascii="Arial" w:hAnsi="Arial" w:cs="Arial"/>
          <w:sz w:val="24"/>
          <w:szCs w:val="24"/>
        </w:rPr>
      </w:pPr>
      <w:r w:rsidRPr="00E42C36">
        <w:rPr>
          <w:rFonts w:ascii="Arial" w:hAnsi="Arial" w:cs="Arial"/>
          <w:sz w:val="24"/>
          <w:szCs w:val="24"/>
        </w:rPr>
        <w:t xml:space="preserve">Task 4 - Revenue and Cost Drivers </w:t>
      </w:r>
    </w:p>
    <w:p w14:paraId="6B25AAE2" w14:textId="0B8E6DF5" w:rsidR="000E5A60" w:rsidRPr="00E42C36" w:rsidRDefault="000E5A60" w:rsidP="000E5A60">
      <w:pPr>
        <w:jc w:val="center"/>
        <w:rPr>
          <w:rFonts w:ascii="Arial" w:hAnsi="Arial" w:cs="Arial"/>
          <w:b/>
          <w:bCs/>
          <w:sz w:val="24"/>
          <w:szCs w:val="24"/>
        </w:rPr>
      </w:pPr>
      <w:r w:rsidRPr="00E42C36">
        <w:rPr>
          <w:rFonts w:ascii="Arial" w:hAnsi="Arial" w:cs="Arial"/>
          <w:b/>
          <w:bCs/>
          <w:sz w:val="24"/>
          <w:szCs w:val="24"/>
        </w:rPr>
        <w:t>J&amp;J</w:t>
      </w:r>
    </w:p>
    <w:p w14:paraId="607CBBF0" w14:textId="76AAD17C" w:rsidR="000E5A60" w:rsidRDefault="000E5A60" w:rsidP="000E5A60">
      <w:pPr>
        <w:rPr>
          <w:rFonts w:ascii="Arial" w:hAnsi="Arial" w:cs="Arial"/>
          <w:sz w:val="24"/>
          <w:szCs w:val="24"/>
        </w:rPr>
      </w:pPr>
      <w:r>
        <w:rPr>
          <w:rFonts w:ascii="Arial" w:hAnsi="Arial" w:cs="Arial"/>
          <w:sz w:val="24"/>
          <w:szCs w:val="24"/>
        </w:rPr>
        <w:t>US revenue increas</w:t>
      </w:r>
      <w:r w:rsidR="00B83169">
        <w:rPr>
          <w:rFonts w:ascii="Arial" w:hAnsi="Arial" w:cs="Arial"/>
          <w:sz w:val="24"/>
          <w:szCs w:val="24"/>
        </w:rPr>
        <w:t>ed</w:t>
      </w:r>
      <w:r>
        <w:rPr>
          <w:rFonts w:ascii="Arial" w:hAnsi="Arial" w:cs="Arial"/>
          <w:sz w:val="24"/>
          <w:szCs w:val="24"/>
        </w:rPr>
        <w:t xml:space="preserve"> by 10.6% between </w:t>
      </w:r>
      <w:r w:rsidR="00B83169">
        <w:rPr>
          <w:rFonts w:ascii="Arial" w:hAnsi="Arial" w:cs="Arial"/>
          <w:sz w:val="24"/>
          <w:szCs w:val="24"/>
        </w:rPr>
        <w:t>‘</w:t>
      </w:r>
      <w:r>
        <w:rPr>
          <w:rFonts w:ascii="Arial" w:hAnsi="Arial" w:cs="Arial"/>
          <w:sz w:val="24"/>
          <w:szCs w:val="24"/>
        </w:rPr>
        <w:t xml:space="preserve">22 and </w:t>
      </w:r>
      <w:r w:rsidR="00B83169">
        <w:rPr>
          <w:rFonts w:ascii="Arial" w:hAnsi="Arial" w:cs="Arial"/>
          <w:sz w:val="24"/>
          <w:szCs w:val="24"/>
        </w:rPr>
        <w:t>’</w:t>
      </w:r>
      <w:r>
        <w:rPr>
          <w:rFonts w:ascii="Arial" w:hAnsi="Arial" w:cs="Arial"/>
          <w:sz w:val="24"/>
          <w:szCs w:val="24"/>
        </w:rPr>
        <w:t>23</w:t>
      </w:r>
      <w:r w:rsidR="00B83169">
        <w:rPr>
          <w:rFonts w:ascii="Arial" w:hAnsi="Arial" w:cs="Arial"/>
          <w:sz w:val="24"/>
          <w:szCs w:val="24"/>
        </w:rPr>
        <w:t xml:space="preserve">, </w:t>
      </w:r>
      <w:r>
        <w:rPr>
          <w:rFonts w:ascii="Arial" w:hAnsi="Arial" w:cs="Arial"/>
          <w:sz w:val="24"/>
          <w:szCs w:val="24"/>
        </w:rPr>
        <w:t>be</w:t>
      </w:r>
      <w:r w:rsidR="00B83169">
        <w:rPr>
          <w:rFonts w:ascii="Arial" w:hAnsi="Arial" w:cs="Arial"/>
          <w:sz w:val="24"/>
          <w:szCs w:val="24"/>
        </w:rPr>
        <w:t>ing</w:t>
      </w:r>
      <w:r>
        <w:rPr>
          <w:rFonts w:ascii="Arial" w:hAnsi="Arial" w:cs="Arial"/>
          <w:sz w:val="24"/>
          <w:szCs w:val="24"/>
        </w:rPr>
        <w:t xml:space="preserve"> the main revenue growth driver, which has seen overall customer revenue increase by 6.5% during this period. </w:t>
      </w:r>
    </w:p>
    <w:p w14:paraId="789B92B7" w14:textId="25955C62" w:rsidR="00880E0F" w:rsidRDefault="00880E0F" w:rsidP="000E5A60">
      <w:pPr>
        <w:rPr>
          <w:rFonts w:ascii="Arial" w:hAnsi="Arial" w:cs="Arial"/>
          <w:sz w:val="24"/>
          <w:szCs w:val="24"/>
        </w:rPr>
      </w:pPr>
      <w:r>
        <w:rPr>
          <w:rFonts w:ascii="Arial" w:hAnsi="Arial" w:cs="Arial"/>
          <w:sz w:val="24"/>
          <w:szCs w:val="24"/>
        </w:rPr>
        <w:t xml:space="preserve">Largest products Sterlara </w:t>
      </w:r>
      <w:r w:rsidR="00E14959">
        <w:rPr>
          <w:rFonts w:ascii="Arial" w:hAnsi="Arial" w:cs="Arial"/>
          <w:sz w:val="24"/>
          <w:szCs w:val="24"/>
        </w:rPr>
        <w:t xml:space="preserve">12.4 % </w:t>
      </w:r>
      <w:r>
        <w:rPr>
          <w:rFonts w:ascii="Arial" w:hAnsi="Arial" w:cs="Arial"/>
          <w:sz w:val="24"/>
          <w:szCs w:val="24"/>
        </w:rPr>
        <w:t>and Darzalex</w:t>
      </w:r>
      <w:r w:rsidR="00E14959">
        <w:rPr>
          <w:rFonts w:ascii="Arial" w:hAnsi="Arial" w:cs="Arial"/>
          <w:sz w:val="24"/>
          <w:szCs w:val="24"/>
        </w:rPr>
        <w:t xml:space="preserve"> 11.8%</w:t>
      </w:r>
      <w:r w:rsidR="00B83169">
        <w:rPr>
          <w:rFonts w:ascii="Arial" w:hAnsi="Arial" w:cs="Arial"/>
          <w:sz w:val="24"/>
          <w:szCs w:val="24"/>
        </w:rPr>
        <w:t xml:space="preserve"> accounting for a combined 24%</w:t>
      </w:r>
      <w:r w:rsidR="00E14959">
        <w:rPr>
          <w:rFonts w:ascii="Arial" w:hAnsi="Arial" w:cs="Arial"/>
          <w:sz w:val="24"/>
          <w:szCs w:val="24"/>
        </w:rPr>
        <w:t xml:space="preserve"> of revenue</w:t>
      </w:r>
      <w:r>
        <w:rPr>
          <w:rFonts w:ascii="Arial" w:hAnsi="Arial" w:cs="Arial"/>
          <w:sz w:val="24"/>
          <w:szCs w:val="24"/>
        </w:rPr>
        <w:t xml:space="preserve">. </w:t>
      </w:r>
    </w:p>
    <w:p w14:paraId="12277E24" w14:textId="6EEFF79E" w:rsidR="00A034FF" w:rsidRPr="00B83169" w:rsidRDefault="00A034FF" w:rsidP="000E5A60">
      <w:pPr>
        <w:rPr>
          <w:rFonts w:ascii="Arial" w:hAnsi="Arial" w:cs="Arial"/>
          <w:sz w:val="24"/>
          <w:szCs w:val="24"/>
        </w:rPr>
      </w:pPr>
      <w:r>
        <w:rPr>
          <w:rFonts w:ascii="Arial" w:hAnsi="Arial" w:cs="Arial"/>
          <w:sz w:val="24"/>
          <w:szCs w:val="24"/>
        </w:rPr>
        <w:t>R&amp;D expenditure return</w:t>
      </w:r>
      <w:r w:rsidR="00B83169">
        <w:rPr>
          <w:rFonts w:ascii="Arial" w:hAnsi="Arial" w:cs="Arial"/>
          <w:sz w:val="24"/>
          <w:szCs w:val="24"/>
        </w:rPr>
        <w:t>:</w:t>
      </w:r>
      <w:r>
        <w:rPr>
          <w:rFonts w:ascii="Arial" w:hAnsi="Arial" w:cs="Arial"/>
          <w:sz w:val="24"/>
          <w:szCs w:val="24"/>
        </w:rPr>
        <w:t xml:space="preserve"> </w:t>
      </w:r>
      <w:r w:rsidR="00B83169">
        <w:rPr>
          <w:rFonts w:ascii="Arial" w:hAnsi="Arial" w:cs="Arial"/>
          <w:sz w:val="24"/>
          <w:szCs w:val="24"/>
        </w:rPr>
        <w:t>M</w:t>
      </w:r>
      <w:r>
        <w:rPr>
          <w:rFonts w:ascii="Arial" w:hAnsi="Arial" w:cs="Arial"/>
          <w:sz w:val="24"/>
          <w:szCs w:val="24"/>
        </w:rPr>
        <w:t>ed tech</w:t>
      </w:r>
      <w:r w:rsidR="00B83169">
        <w:rPr>
          <w:rFonts w:ascii="Arial" w:hAnsi="Arial" w:cs="Arial"/>
          <w:sz w:val="24"/>
          <w:szCs w:val="24"/>
        </w:rPr>
        <w:t xml:space="preserve"> R&amp;D</w:t>
      </w:r>
      <w:r w:rsidR="00312ACD">
        <w:rPr>
          <w:rFonts w:ascii="Arial" w:hAnsi="Arial" w:cs="Arial"/>
          <w:sz w:val="24"/>
          <w:szCs w:val="24"/>
        </w:rPr>
        <w:t xml:space="preserve"> at 10.3% of sales</w:t>
      </w:r>
      <w:r>
        <w:rPr>
          <w:rFonts w:ascii="Arial" w:hAnsi="Arial" w:cs="Arial"/>
          <w:sz w:val="24"/>
          <w:szCs w:val="24"/>
        </w:rPr>
        <w:t xml:space="preserve"> and innovation</w:t>
      </w:r>
      <w:r w:rsidR="00B83169">
        <w:rPr>
          <w:rFonts w:ascii="Arial" w:hAnsi="Arial" w:cs="Arial"/>
          <w:sz w:val="24"/>
          <w:szCs w:val="24"/>
        </w:rPr>
        <w:t xml:space="preserve"> R&amp;D</w:t>
      </w:r>
      <w:r w:rsidR="00312ACD">
        <w:rPr>
          <w:rFonts w:ascii="Arial" w:hAnsi="Arial" w:cs="Arial"/>
          <w:sz w:val="24"/>
          <w:szCs w:val="24"/>
        </w:rPr>
        <w:t xml:space="preserve"> at 21.8% of sales</w:t>
      </w:r>
      <w:r>
        <w:rPr>
          <w:rFonts w:ascii="Arial" w:hAnsi="Arial" w:cs="Arial"/>
          <w:sz w:val="24"/>
          <w:szCs w:val="24"/>
        </w:rPr>
        <w:t>.</w:t>
      </w:r>
      <w:r w:rsidR="00312ACD">
        <w:rPr>
          <w:rFonts w:ascii="Arial" w:hAnsi="Arial" w:cs="Arial"/>
          <w:sz w:val="24"/>
          <w:szCs w:val="24"/>
        </w:rPr>
        <w:t xml:space="preserve"> Overall, 6.7% increase year-on-year in R&amp;D expenditure. Accounting for 17.7% of sales.  </w:t>
      </w:r>
    </w:p>
    <w:p w14:paraId="2C2170CB" w14:textId="483D11FE" w:rsidR="00312ACD" w:rsidRDefault="00DD3E68" w:rsidP="000E5A60">
      <w:pPr>
        <w:rPr>
          <w:rFonts w:ascii="Arial" w:hAnsi="Arial" w:cs="Arial"/>
          <w:sz w:val="24"/>
          <w:szCs w:val="24"/>
        </w:rPr>
      </w:pPr>
      <w:r>
        <w:rPr>
          <w:rFonts w:ascii="Arial" w:hAnsi="Arial" w:cs="Arial"/>
          <w:sz w:val="24"/>
          <w:szCs w:val="24"/>
        </w:rPr>
        <w:t xml:space="preserve">Litigation costs 8% of revenue, making it material. </w:t>
      </w:r>
    </w:p>
    <w:p w14:paraId="268BBEB0" w14:textId="359C28B1" w:rsidR="00514522" w:rsidRDefault="00514522" w:rsidP="000E5A60">
      <w:pPr>
        <w:rPr>
          <w:rFonts w:ascii="Arial" w:hAnsi="Arial" w:cs="Arial"/>
          <w:sz w:val="24"/>
          <w:szCs w:val="24"/>
        </w:rPr>
      </w:pPr>
      <w:r>
        <w:rPr>
          <w:rFonts w:ascii="Arial" w:hAnsi="Arial" w:cs="Arial"/>
          <w:sz w:val="24"/>
          <w:szCs w:val="24"/>
        </w:rPr>
        <w:t xml:space="preserve">Profitability from </w:t>
      </w:r>
      <w:r w:rsidR="00B83169">
        <w:rPr>
          <w:rFonts w:ascii="Arial" w:hAnsi="Arial" w:cs="Arial"/>
          <w:sz w:val="24"/>
          <w:szCs w:val="24"/>
        </w:rPr>
        <w:t xml:space="preserve">J&amp;J’s </w:t>
      </w:r>
      <w:r>
        <w:rPr>
          <w:rFonts w:ascii="Arial" w:hAnsi="Arial" w:cs="Arial"/>
          <w:sz w:val="24"/>
          <w:szCs w:val="24"/>
        </w:rPr>
        <w:t>R&amp;D – 46% return $15 billion spent and income</w:t>
      </w:r>
      <w:r w:rsidR="00B83169">
        <w:rPr>
          <w:rFonts w:ascii="Arial" w:hAnsi="Arial" w:cs="Arial"/>
          <w:sz w:val="24"/>
          <w:szCs w:val="24"/>
        </w:rPr>
        <w:t xml:space="preserve"> from</w:t>
      </w:r>
      <w:r>
        <w:rPr>
          <w:rFonts w:ascii="Arial" w:hAnsi="Arial" w:cs="Arial"/>
          <w:sz w:val="24"/>
          <w:szCs w:val="24"/>
        </w:rPr>
        <w:t xml:space="preserve"> Innovative and Medtech</w:t>
      </w:r>
      <w:r w:rsidR="00B83169">
        <w:rPr>
          <w:rFonts w:ascii="Arial" w:hAnsi="Arial" w:cs="Arial"/>
          <w:sz w:val="24"/>
          <w:szCs w:val="24"/>
        </w:rPr>
        <w:t xml:space="preserve"> segment at a</w:t>
      </w:r>
      <w:r>
        <w:rPr>
          <w:rFonts w:ascii="Arial" w:hAnsi="Arial" w:cs="Arial"/>
          <w:sz w:val="24"/>
          <w:szCs w:val="24"/>
        </w:rPr>
        <w:t xml:space="preserve"> combine</w:t>
      </w:r>
      <w:r w:rsidR="00B83169">
        <w:rPr>
          <w:rFonts w:ascii="Arial" w:hAnsi="Arial" w:cs="Arial"/>
          <w:sz w:val="24"/>
          <w:szCs w:val="24"/>
        </w:rPr>
        <w:t>d</w:t>
      </w:r>
      <w:r>
        <w:rPr>
          <w:rFonts w:ascii="Arial" w:hAnsi="Arial" w:cs="Arial"/>
          <w:sz w:val="24"/>
          <w:szCs w:val="24"/>
        </w:rPr>
        <w:t xml:space="preserve"> $22 billion.</w:t>
      </w:r>
    </w:p>
    <w:p w14:paraId="25160A1F" w14:textId="3B18668B" w:rsidR="00F6299F" w:rsidRDefault="00F6299F" w:rsidP="000E5A60">
      <w:pPr>
        <w:rPr>
          <w:rFonts w:ascii="Arial" w:hAnsi="Arial" w:cs="Arial"/>
          <w:sz w:val="24"/>
          <w:szCs w:val="24"/>
        </w:rPr>
      </w:pPr>
      <w:r>
        <w:rPr>
          <w:rFonts w:ascii="Arial" w:hAnsi="Arial" w:cs="Arial"/>
          <w:noProof/>
          <w:sz w:val="24"/>
          <w:szCs w:val="24"/>
        </w:rPr>
        <w:drawing>
          <wp:inline distT="0" distB="0" distL="0" distR="0" wp14:anchorId="3222A3C3" wp14:editId="3175920E">
            <wp:extent cx="5486400" cy="3200400"/>
            <wp:effectExtent l="0" t="0" r="0" b="0"/>
            <wp:docPr id="142278133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5CAD29B1" w14:textId="7F203CF8" w:rsidR="00E55B0E" w:rsidRDefault="003C1991" w:rsidP="000E5A60">
      <w:pPr>
        <w:rPr>
          <w:rFonts w:ascii="Arial" w:hAnsi="Arial" w:cs="Arial"/>
          <w:sz w:val="24"/>
          <w:szCs w:val="24"/>
        </w:rPr>
      </w:pPr>
      <w:r>
        <w:rPr>
          <w:rFonts w:ascii="Arial" w:hAnsi="Arial" w:cs="Arial"/>
          <w:sz w:val="24"/>
          <w:szCs w:val="24"/>
        </w:rPr>
        <w:t xml:space="preserve">An </w:t>
      </w:r>
      <w:r w:rsidR="003462B8">
        <w:rPr>
          <w:rFonts w:ascii="Arial" w:hAnsi="Arial" w:cs="Arial"/>
          <w:sz w:val="24"/>
          <w:szCs w:val="24"/>
        </w:rPr>
        <w:t xml:space="preserve">8% increase in </w:t>
      </w:r>
      <w:r w:rsidR="00FB4A08">
        <w:rPr>
          <w:rFonts w:ascii="Arial" w:hAnsi="Arial" w:cs="Arial"/>
          <w:sz w:val="24"/>
          <w:szCs w:val="24"/>
        </w:rPr>
        <w:t>COS</w:t>
      </w:r>
      <w:r>
        <w:rPr>
          <w:rFonts w:ascii="Arial" w:hAnsi="Arial" w:cs="Arial"/>
          <w:sz w:val="24"/>
          <w:szCs w:val="24"/>
        </w:rPr>
        <w:t xml:space="preserve"> can be</w:t>
      </w:r>
      <w:r w:rsidR="003462B8">
        <w:rPr>
          <w:rFonts w:ascii="Arial" w:hAnsi="Arial" w:cs="Arial"/>
          <w:sz w:val="24"/>
          <w:szCs w:val="24"/>
        </w:rPr>
        <w:t xml:space="preserve"> attributed to commodity inflation</w:t>
      </w:r>
      <w:r>
        <w:rPr>
          <w:rFonts w:ascii="Arial" w:hAnsi="Arial" w:cs="Arial"/>
          <w:sz w:val="24"/>
          <w:szCs w:val="24"/>
        </w:rPr>
        <w:t xml:space="preserve"> and</w:t>
      </w:r>
      <w:r w:rsidR="003462B8">
        <w:rPr>
          <w:rFonts w:ascii="Arial" w:hAnsi="Arial" w:cs="Arial"/>
          <w:sz w:val="24"/>
          <w:szCs w:val="24"/>
        </w:rPr>
        <w:t xml:space="preserve"> restructuring costs associated with excessive inventory. </w:t>
      </w:r>
      <w:r w:rsidR="00FB4A08">
        <w:rPr>
          <w:rFonts w:ascii="Arial" w:hAnsi="Arial" w:cs="Arial"/>
          <w:sz w:val="24"/>
          <w:szCs w:val="24"/>
        </w:rPr>
        <w:t xml:space="preserve">This is supported by a slowdown in the growth in sales volume by 1.5 percentage points </w:t>
      </w:r>
      <w:r w:rsidR="00375754">
        <w:rPr>
          <w:rFonts w:ascii="Arial" w:hAnsi="Arial" w:cs="Arial"/>
          <w:sz w:val="24"/>
          <w:szCs w:val="24"/>
        </w:rPr>
        <w:t>since</w:t>
      </w:r>
      <w:r w:rsidR="00FB4A08">
        <w:rPr>
          <w:rFonts w:ascii="Arial" w:hAnsi="Arial" w:cs="Arial"/>
          <w:sz w:val="24"/>
          <w:szCs w:val="24"/>
        </w:rPr>
        <w:t xml:space="preserve"> 2022. However, i</w:t>
      </w:r>
      <w:r w:rsidR="00E55B0E">
        <w:rPr>
          <w:rFonts w:ascii="Arial" w:hAnsi="Arial" w:cs="Arial"/>
          <w:sz w:val="24"/>
          <w:szCs w:val="24"/>
        </w:rPr>
        <w:t>nflation has been partially offset by both a minor price increase by 0.6% with sales volume increasing by 6</w:t>
      </w:r>
      <w:r w:rsidR="00E35B45">
        <w:rPr>
          <w:rFonts w:ascii="Arial" w:hAnsi="Arial" w:cs="Arial"/>
          <w:sz w:val="24"/>
          <w:szCs w:val="24"/>
        </w:rPr>
        <w:t>.8</w:t>
      </w:r>
      <w:r w:rsidR="00E55B0E">
        <w:rPr>
          <w:rFonts w:ascii="Arial" w:hAnsi="Arial" w:cs="Arial"/>
          <w:sz w:val="24"/>
          <w:szCs w:val="24"/>
        </w:rPr>
        <w:t>% from 2022.</w:t>
      </w:r>
      <w:r w:rsidR="00B97906">
        <w:rPr>
          <w:rFonts w:ascii="Arial" w:hAnsi="Arial" w:cs="Arial"/>
          <w:sz w:val="24"/>
          <w:szCs w:val="24"/>
        </w:rPr>
        <w:t xml:space="preserve"> This shows that J&amp;J has somewhat been able to pass on costs to its customers. </w:t>
      </w:r>
      <w:r w:rsidR="00E55B0E">
        <w:rPr>
          <w:rFonts w:ascii="Arial" w:hAnsi="Arial" w:cs="Arial"/>
          <w:sz w:val="24"/>
          <w:szCs w:val="24"/>
        </w:rPr>
        <w:t xml:space="preserve"> </w:t>
      </w:r>
    </w:p>
    <w:p w14:paraId="0521C35C" w14:textId="06FB54E6" w:rsidR="00E811EE" w:rsidRDefault="00E811EE" w:rsidP="000E5A60">
      <w:pPr>
        <w:rPr>
          <w:rFonts w:ascii="Arial" w:hAnsi="Arial" w:cs="Arial"/>
          <w:sz w:val="24"/>
          <w:szCs w:val="24"/>
        </w:rPr>
      </w:pPr>
      <w:r w:rsidRPr="00B83169">
        <w:rPr>
          <w:rFonts w:ascii="Arial" w:hAnsi="Arial" w:cs="Arial"/>
          <w:b/>
          <w:bCs/>
          <w:sz w:val="24"/>
          <w:szCs w:val="24"/>
        </w:rPr>
        <w:t>Merck &amp; Co Comparison</w:t>
      </w:r>
    </w:p>
    <w:p w14:paraId="7E6B5813" w14:textId="596864F2" w:rsidR="00E811EE" w:rsidRDefault="00E811EE" w:rsidP="000E5A60">
      <w:pPr>
        <w:rPr>
          <w:rFonts w:ascii="Arial" w:hAnsi="Arial" w:cs="Arial"/>
          <w:sz w:val="24"/>
          <w:szCs w:val="24"/>
        </w:rPr>
      </w:pPr>
      <w:r>
        <w:rPr>
          <w:rFonts w:ascii="Arial" w:hAnsi="Arial" w:cs="Arial"/>
          <w:sz w:val="24"/>
          <w:szCs w:val="24"/>
        </w:rPr>
        <w:t>In contrast, Merck &amp; Co’s R&amp;D costs have adversely impacted its net margins and net income. With a 2.3 times increase in R&amp;D expenditure</w:t>
      </w:r>
      <w:r w:rsidR="0021388A">
        <w:rPr>
          <w:rFonts w:ascii="Arial" w:hAnsi="Arial" w:cs="Arial"/>
          <w:sz w:val="24"/>
          <w:szCs w:val="24"/>
        </w:rPr>
        <w:t xml:space="preserve"> accounting for 50% of its revenue</w:t>
      </w:r>
      <w:r>
        <w:rPr>
          <w:rFonts w:ascii="Arial" w:hAnsi="Arial" w:cs="Arial"/>
          <w:sz w:val="24"/>
          <w:szCs w:val="24"/>
        </w:rPr>
        <w:t xml:space="preserve">, Merck has seen its net income fall by 97% and its net margin has been reduced by almost 24 percentage points. </w:t>
      </w:r>
      <w:r w:rsidR="00E60575">
        <w:rPr>
          <w:rFonts w:ascii="Arial" w:hAnsi="Arial" w:cs="Arial"/>
          <w:sz w:val="24"/>
          <w:szCs w:val="24"/>
        </w:rPr>
        <w:t xml:space="preserve">Merck only managed to deliver just over a </w:t>
      </w:r>
      <w:r w:rsidR="00E60575">
        <w:rPr>
          <w:rFonts w:ascii="Arial" w:hAnsi="Arial" w:cs="Arial"/>
          <w:sz w:val="24"/>
          <w:szCs w:val="24"/>
        </w:rPr>
        <w:lastRenderedPageBreak/>
        <w:t xml:space="preserve">1% return of net income on its $30 billion expenditure on R&amp;D. </w:t>
      </w:r>
      <w:r>
        <w:rPr>
          <w:rFonts w:ascii="Arial" w:hAnsi="Arial" w:cs="Arial"/>
          <w:sz w:val="24"/>
          <w:szCs w:val="24"/>
        </w:rPr>
        <w:t>J&amp;J increased its R&amp;D expenditure with only a 6.7% rise in expenditure</w:t>
      </w:r>
      <w:r w:rsidR="00F6299F">
        <w:rPr>
          <w:rFonts w:ascii="Arial" w:hAnsi="Arial" w:cs="Arial"/>
          <w:sz w:val="24"/>
          <w:szCs w:val="24"/>
        </w:rPr>
        <w:t xml:space="preserve"> from 2022</w:t>
      </w:r>
      <w:r>
        <w:rPr>
          <w:rFonts w:ascii="Arial" w:hAnsi="Arial" w:cs="Arial"/>
          <w:sz w:val="24"/>
          <w:szCs w:val="24"/>
        </w:rPr>
        <w:t xml:space="preserve">, suggesting a </w:t>
      </w:r>
      <w:r w:rsidR="0021388A">
        <w:rPr>
          <w:rFonts w:ascii="Arial" w:hAnsi="Arial" w:cs="Arial"/>
          <w:sz w:val="24"/>
          <w:szCs w:val="24"/>
        </w:rPr>
        <w:t>steadier</w:t>
      </w:r>
      <w:r>
        <w:rPr>
          <w:rFonts w:ascii="Arial" w:hAnsi="Arial" w:cs="Arial"/>
          <w:sz w:val="24"/>
          <w:szCs w:val="24"/>
        </w:rPr>
        <w:t xml:space="preserve"> increase</w:t>
      </w:r>
      <w:r w:rsidR="00B22316">
        <w:rPr>
          <w:rFonts w:ascii="Arial" w:hAnsi="Arial" w:cs="Arial"/>
          <w:sz w:val="24"/>
          <w:szCs w:val="24"/>
        </w:rPr>
        <w:t xml:space="preserve"> </w:t>
      </w:r>
      <w:r>
        <w:rPr>
          <w:rFonts w:ascii="Arial" w:hAnsi="Arial" w:cs="Arial"/>
          <w:sz w:val="24"/>
          <w:szCs w:val="24"/>
        </w:rPr>
        <w:t>was more appropriate and their use of this expenditure was far more judicious than Merck’s</w:t>
      </w:r>
      <w:r w:rsidR="00E60575">
        <w:rPr>
          <w:rFonts w:ascii="Arial" w:hAnsi="Arial" w:cs="Arial"/>
          <w:sz w:val="24"/>
          <w:szCs w:val="24"/>
        </w:rPr>
        <w:t>, with a far superior 46% return</w:t>
      </w:r>
      <w:r w:rsidR="00B22316">
        <w:rPr>
          <w:rFonts w:ascii="Arial" w:hAnsi="Arial" w:cs="Arial"/>
          <w:sz w:val="24"/>
          <w:szCs w:val="24"/>
        </w:rPr>
        <w:t xml:space="preserve"> on R&amp;D alone</w:t>
      </w:r>
      <w:r w:rsidR="00E60575">
        <w:rPr>
          <w:rFonts w:ascii="Arial" w:hAnsi="Arial" w:cs="Arial"/>
          <w:sz w:val="24"/>
          <w:szCs w:val="24"/>
        </w:rPr>
        <w:t>.</w:t>
      </w:r>
    </w:p>
    <w:p w14:paraId="2617166D" w14:textId="21BC8486" w:rsidR="00F6299F" w:rsidRDefault="003557F6" w:rsidP="000E5A60">
      <w:pPr>
        <w:rPr>
          <w:rFonts w:ascii="Arial" w:hAnsi="Arial" w:cs="Arial"/>
          <w:sz w:val="24"/>
          <w:szCs w:val="24"/>
        </w:rPr>
      </w:pPr>
      <w:r>
        <w:rPr>
          <w:rFonts w:ascii="Arial" w:hAnsi="Arial" w:cs="Arial"/>
          <w:noProof/>
          <w:sz w:val="24"/>
          <w:szCs w:val="24"/>
        </w:rPr>
        <w:drawing>
          <wp:inline distT="0" distB="0" distL="0" distR="0" wp14:anchorId="5834DB2D" wp14:editId="1F58E414">
            <wp:extent cx="5486400" cy="3200400"/>
            <wp:effectExtent l="0" t="0" r="0" b="0"/>
            <wp:docPr id="61187895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41133C8" w14:textId="6A77B48A" w:rsidR="00E811EE" w:rsidRDefault="004F4734" w:rsidP="000E5A60">
      <w:pPr>
        <w:rPr>
          <w:rFonts w:ascii="Arial" w:hAnsi="Arial" w:cs="Arial"/>
          <w:sz w:val="24"/>
          <w:szCs w:val="24"/>
        </w:rPr>
      </w:pPr>
      <w:r>
        <w:rPr>
          <w:rFonts w:ascii="Arial" w:hAnsi="Arial" w:cs="Arial"/>
          <w:sz w:val="24"/>
          <w:szCs w:val="24"/>
        </w:rPr>
        <w:t>J&amp;J has utilised further investment in its acquisition of PPE in 2023, more efficiently than Merck. This is supported by J&amp;J’s superior asset turnover ratio of 4.29 in comparison to Merck’s at 2.7.</w:t>
      </w:r>
    </w:p>
    <w:p w14:paraId="2244A0B3" w14:textId="4B1BF51C" w:rsidR="003557F6" w:rsidRDefault="003557F6" w:rsidP="000E5A60">
      <w:pPr>
        <w:rPr>
          <w:rFonts w:ascii="Arial" w:hAnsi="Arial" w:cs="Arial"/>
          <w:sz w:val="24"/>
          <w:szCs w:val="24"/>
        </w:rPr>
      </w:pPr>
      <w:r>
        <w:rPr>
          <w:rFonts w:ascii="Arial" w:hAnsi="Arial" w:cs="Arial"/>
          <w:noProof/>
          <w:sz w:val="24"/>
          <w:szCs w:val="24"/>
        </w:rPr>
        <w:drawing>
          <wp:inline distT="0" distB="0" distL="0" distR="0" wp14:anchorId="0A970898" wp14:editId="3DECEF21">
            <wp:extent cx="5486400" cy="3200400"/>
            <wp:effectExtent l="0" t="0" r="0" b="0"/>
            <wp:docPr id="6671542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6842080" w14:textId="459EA74B" w:rsidR="00E42C36" w:rsidRDefault="00E42C36" w:rsidP="00E42C36">
      <w:pPr>
        <w:jc w:val="center"/>
        <w:rPr>
          <w:rFonts w:ascii="Arial" w:hAnsi="Arial" w:cs="Arial"/>
          <w:b/>
          <w:bCs/>
          <w:sz w:val="24"/>
          <w:szCs w:val="24"/>
        </w:rPr>
      </w:pPr>
      <w:r w:rsidRPr="00E42C36">
        <w:rPr>
          <w:rFonts w:ascii="Arial" w:hAnsi="Arial" w:cs="Arial"/>
          <w:b/>
          <w:bCs/>
          <w:sz w:val="24"/>
          <w:szCs w:val="24"/>
        </w:rPr>
        <w:t>Marriott</w:t>
      </w:r>
    </w:p>
    <w:p w14:paraId="71BB255B" w14:textId="27B896BC" w:rsidR="00B253EE" w:rsidRDefault="00B253EE" w:rsidP="008F6A3C">
      <w:pPr>
        <w:rPr>
          <w:rFonts w:ascii="Arial" w:hAnsi="Arial" w:cs="Arial"/>
          <w:sz w:val="24"/>
          <w:szCs w:val="24"/>
        </w:rPr>
      </w:pPr>
      <w:r>
        <w:rPr>
          <w:noProof/>
        </w:rPr>
        <w:lastRenderedPageBreak/>
        <w:drawing>
          <wp:inline distT="0" distB="0" distL="0" distR="0" wp14:anchorId="6F7B8508" wp14:editId="383BCA59">
            <wp:extent cx="5731510" cy="2936240"/>
            <wp:effectExtent l="0" t="0" r="2540" b="0"/>
            <wp:docPr id="1011534141" name="Picture 1" descr="A table with numbers and percent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34141" name="Picture 1" descr="A table with numbers and percentages&#10;&#10;Description automatically generated"/>
                    <pic:cNvPicPr/>
                  </pic:nvPicPr>
                  <pic:blipFill>
                    <a:blip r:embed="rId7"/>
                    <a:stretch>
                      <a:fillRect/>
                    </a:stretch>
                  </pic:blipFill>
                  <pic:spPr>
                    <a:xfrm>
                      <a:off x="0" y="0"/>
                      <a:ext cx="5731510" cy="2936240"/>
                    </a:xfrm>
                    <a:prstGeom prst="rect">
                      <a:avLst/>
                    </a:prstGeom>
                  </pic:spPr>
                </pic:pic>
              </a:graphicData>
            </a:graphic>
          </wp:inline>
        </w:drawing>
      </w:r>
    </w:p>
    <w:p w14:paraId="7C82EFF5" w14:textId="32DA09EA" w:rsidR="008F6A3C" w:rsidRDefault="001355A9" w:rsidP="008F6A3C">
      <w:pPr>
        <w:rPr>
          <w:rFonts w:ascii="Arial" w:hAnsi="Arial" w:cs="Arial"/>
          <w:sz w:val="24"/>
          <w:szCs w:val="24"/>
        </w:rPr>
      </w:pPr>
      <w:r>
        <w:rPr>
          <w:rFonts w:ascii="Arial" w:hAnsi="Arial" w:cs="Arial"/>
          <w:sz w:val="24"/>
          <w:szCs w:val="24"/>
        </w:rPr>
        <w:t xml:space="preserve">A growth in rate </w:t>
      </w:r>
      <w:r w:rsidR="001024EE">
        <w:rPr>
          <w:rFonts w:ascii="Arial" w:hAnsi="Arial" w:cs="Arial"/>
          <w:sz w:val="24"/>
          <w:szCs w:val="24"/>
        </w:rPr>
        <w:t xml:space="preserve">revenue </w:t>
      </w:r>
      <w:r>
        <w:rPr>
          <w:rFonts w:ascii="Arial" w:hAnsi="Arial" w:cs="Arial"/>
          <w:sz w:val="24"/>
          <w:szCs w:val="24"/>
        </w:rPr>
        <w:t xml:space="preserve">per available room REVPAR has largely driven the 19% rise in base management fees. </w:t>
      </w:r>
    </w:p>
    <w:p w14:paraId="06DFFD37" w14:textId="65B5DE5F" w:rsidR="00803687" w:rsidRDefault="00803687" w:rsidP="008F6A3C">
      <w:pPr>
        <w:rPr>
          <w:rFonts w:ascii="Arial" w:hAnsi="Arial" w:cs="Arial"/>
          <w:sz w:val="24"/>
          <w:szCs w:val="24"/>
        </w:rPr>
      </w:pPr>
      <w:r>
        <w:rPr>
          <w:rFonts w:ascii="Arial" w:hAnsi="Arial" w:cs="Arial"/>
          <w:sz w:val="24"/>
          <w:szCs w:val="24"/>
        </w:rPr>
        <w:t>A growth of nearly 500 more properties since 2022 and 75,000 (circa) more rooms.</w:t>
      </w:r>
    </w:p>
    <w:p w14:paraId="3C67F48C" w14:textId="358F527C" w:rsidR="003557F6" w:rsidRDefault="003557F6" w:rsidP="008F6A3C">
      <w:pPr>
        <w:rPr>
          <w:rFonts w:ascii="Arial" w:hAnsi="Arial" w:cs="Arial"/>
          <w:sz w:val="24"/>
          <w:szCs w:val="24"/>
        </w:rPr>
      </w:pPr>
      <w:r>
        <w:rPr>
          <w:rFonts w:ascii="Arial" w:hAnsi="Arial" w:cs="Arial"/>
          <w:noProof/>
          <w:sz w:val="24"/>
          <w:szCs w:val="24"/>
        </w:rPr>
        <w:drawing>
          <wp:inline distT="0" distB="0" distL="0" distR="0" wp14:anchorId="565C25DA" wp14:editId="222B70C7">
            <wp:extent cx="5486400" cy="3200400"/>
            <wp:effectExtent l="0" t="0" r="0" b="0"/>
            <wp:docPr id="211235873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077C9C" w14:textId="24E3E22A" w:rsidR="00803687" w:rsidRDefault="00803687" w:rsidP="008F6A3C">
      <w:pPr>
        <w:rPr>
          <w:rFonts w:ascii="Arial" w:hAnsi="Arial" w:cs="Arial"/>
          <w:sz w:val="24"/>
          <w:szCs w:val="24"/>
        </w:rPr>
      </w:pPr>
      <w:r>
        <w:rPr>
          <w:rFonts w:ascii="Arial" w:hAnsi="Arial" w:cs="Arial"/>
          <w:sz w:val="24"/>
          <w:szCs w:val="24"/>
        </w:rPr>
        <w:t>Company operated properties (worldwide) – average daily rate risen by 5.1%, occupancy risen by 9 percentage points to 68%, REVPAR up by 21.2% at $143.</w:t>
      </w:r>
    </w:p>
    <w:p w14:paraId="192D0C12" w14:textId="1BF55CE5" w:rsidR="00803687" w:rsidRDefault="00803687" w:rsidP="008F6A3C">
      <w:pPr>
        <w:rPr>
          <w:rFonts w:ascii="Arial" w:hAnsi="Arial" w:cs="Arial"/>
          <w:sz w:val="24"/>
          <w:szCs w:val="24"/>
        </w:rPr>
      </w:pPr>
      <w:r>
        <w:rPr>
          <w:rFonts w:ascii="Arial" w:hAnsi="Arial" w:cs="Arial"/>
          <w:sz w:val="24"/>
          <w:szCs w:val="24"/>
        </w:rPr>
        <w:t>Systemwide properties (worldwide) – ADR up by 5.8%, occupancy risen by 5 percentage points to nearly 70%</w:t>
      </w:r>
      <w:r w:rsidR="003B2199">
        <w:rPr>
          <w:rFonts w:ascii="Arial" w:hAnsi="Arial" w:cs="Arial"/>
          <w:sz w:val="24"/>
          <w:szCs w:val="24"/>
        </w:rPr>
        <w:t xml:space="preserve"> and</w:t>
      </w:r>
      <w:r>
        <w:rPr>
          <w:rFonts w:ascii="Arial" w:hAnsi="Arial" w:cs="Arial"/>
          <w:sz w:val="24"/>
          <w:szCs w:val="24"/>
        </w:rPr>
        <w:t xml:space="preserve"> </w:t>
      </w:r>
      <w:r w:rsidR="003B2199">
        <w:rPr>
          <w:rFonts w:ascii="Arial" w:hAnsi="Arial" w:cs="Arial"/>
          <w:sz w:val="24"/>
          <w:szCs w:val="24"/>
        </w:rPr>
        <w:t>REVPAR risen by 15%.</w:t>
      </w:r>
    </w:p>
    <w:p w14:paraId="3363F649" w14:textId="5A734BC1" w:rsidR="003B2199" w:rsidRDefault="003B2199" w:rsidP="008F6A3C">
      <w:pPr>
        <w:rPr>
          <w:rFonts w:ascii="Arial" w:hAnsi="Arial" w:cs="Arial"/>
          <w:sz w:val="24"/>
          <w:szCs w:val="24"/>
        </w:rPr>
      </w:pPr>
      <w:r>
        <w:rPr>
          <w:rFonts w:ascii="Arial" w:hAnsi="Arial" w:cs="Arial"/>
          <w:sz w:val="24"/>
          <w:szCs w:val="24"/>
        </w:rPr>
        <w:t xml:space="preserve">This in turn has led to a rise to fee revenues. </w:t>
      </w:r>
    </w:p>
    <w:p w14:paraId="58ECC698" w14:textId="7034FB0B" w:rsidR="00B253EE" w:rsidRDefault="00B253EE" w:rsidP="008F6A3C">
      <w:pPr>
        <w:rPr>
          <w:rFonts w:ascii="Arial" w:hAnsi="Arial" w:cs="Arial"/>
          <w:sz w:val="24"/>
          <w:szCs w:val="24"/>
        </w:rPr>
      </w:pPr>
      <w:r>
        <w:rPr>
          <w:noProof/>
        </w:rPr>
        <w:lastRenderedPageBreak/>
        <w:drawing>
          <wp:inline distT="0" distB="0" distL="0" distR="0" wp14:anchorId="3B8FBFD8" wp14:editId="4C49E405">
            <wp:extent cx="5731510" cy="1380490"/>
            <wp:effectExtent l="0" t="0" r="2540" b="0"/>
            <wp:docPr id="2025508590"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508590" name="Picture 1" descr="A screenshot of a graph&#10;&#10;Description automatically generated"/>
                    <pic:cNvPicPr/>
                  </pic:nvPicPr>
                  <pic:blipFill>
                    <a:blip r:embed="rId9"/>
                    <a:stretch>
                      <a:fillRect/>
                    </a:stretch>
                  </pic:blipFill>
                  <pic:spPr>
                    <a:xfrm>
                      <a:off x="0" y="0"/>
                      <a:ext cx="5731510" cy="1380490"/>
                    </a:xfrm>
                    <a:prstGeom prst="rect">
                      <a:avLst/>
                    </a:prstGeom>
                  </pic:spPr>
                </pic:pic>
              </a:graphicData>
            </a:graphic>
          </wp:inline>
        </w:drawing>
      </w:r>
    </w:p>
    <w:p w14:paraId="47387704" w14:textId="1E532377" w:rsidR="003B2199" w:rsidRDefault="003B2199" w:rsidP="008F6A3C">
      <w:pPr>
        <w:rPr>
          <w:rFonts w:ascii="Arial" w:hAnsi="Arial" w:cs="Arial"/>
          <w:sz w:val="24"/>
          <w:szCs w:val="24"/>
        </w:rPr>
      </w:pPr>
      <w:r>
        <w:rPr>
          <w:rFonts w:ascii="Arial" w:hAnsi="Arial" w:cs="Arial"/>
          <w:sz w:val="24"/>
          <w:szCs w:val="24"/>
        </w:rPr>
        <w:t>Higher management fees, notably a 43% rise in incentive management fees can be reflected by higher profits at their hotels.</w:t>
      </w:r>
    </w:p>
    <w:p w14:paraId="131C465D" w14:textId="013EDB61" w:rsidR="00B30D8B" w:rsidRDefault="00B30D8B" w:rsidP="008F6A3C">
      <w:pPr>
        <w:rPr>
          <w:rFonts w:ascii="Arial" w:hAnsi="Arial" w:cs="Arial"/>
          <w:sz w:val="24"/>
          <w:szCs w:val="24"/>
        </w:rPr>
      </w:pPr>
      <w:r>
        <w:rPr>
          <w:rFonts w:ascii="Arial" w:hAnsi="Arial" w:cs="Arial"/>
          <w:noProof/>
          <w:sz w:val="24"/>
          <w:szCs w:val="24"/>
        </w:rPr>
        <w:drawing>
          <wp:inline distT="0" distB="0" distL="0" distR="0" wp14:anchorId="6372D501" wp14:editId="39293425">
            <wp:extent cx="5486400" cy="3200400"/>
            <wp:effectExtent l="0" t="0" r="0" b="0"/>
            <wp:docPr id="46764243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4738436" w14:textId="3492324A" w:rsidR="003B2199" w:rsidRDefault="003B2199" w:rsidP="008F6A3C">
      <w:pPr>
        <w:rPr>
          <w:rFonts w:ascii="Arial" w:hAnsi="Arial" w:cs="Arial"/>
          <w:sz w:val="24"/>
          <w:szCs w:val="24"/>
        </w:rPr>
      </w:pPr>
      <w:r>
        <w:rPr>
          <w:rFonts w:ascii="Arial" w:hAnsi="Arial" w:cs="Arial"/>
          <w:sz w:val="24"/>
          <w:szCs w:val="24"/>
        </w:rPr>
        <w:t>Incentive management fees earned worldwide increased from 61% of their managed properties to 68%.</w:t>
      </w:r>
    </w:p>
    <w:p w14:paraId="79FE27F3" w14:textId="39ADE6B4" w:rsidR="00EE7C0C" w:rsidRDefault="00EE7C0C" w:rsidP="008F6A3C">
      <w:pPr>
        <w:rPr>
          <w:rFonts w:ascii="Arial" w:hAnsi="Arial" w:cs="Arial"/>
          <w:sz w:val="24"/>
          <w:szCs w:val="24"/>
        </w:rPr>
      </w:pPr>
      <w:r>
        <w:rPr>
          <w:rFonts w:ascii="Arial" w:hAnsi="Arial" w:cs="Arial"/>
          <w:sz w:val="24"/>
          <w:szCs w:val="24"/>
        </w:rPr>
        <w:t>These changes can be reflected in the easing of covid restrictions globally as well as the recovery of the travel and hospitality industries, with tourists resuming their pre-covid travel habits. This is supported by almost a 50% surge in year over year revenue growth in 2022, which slowed down to 14.15% in 2023. In 2023 Marriott surpassed its pre-pandemic revenue by 15% and despite inflation challenges, this partially demonstrates the ability of Marriott to pass on rising costs to its customers, s</w:t>
      </w:r>
      <w:r w:rsidR="00A37B24">
        <w:rPr>
          <w:rFonts w:ascii="Arial" w:hAnsi="Arial" w:cs="Arial"/>
          <w:sz w:val="24"/>
          <w:szCs w:val="24"/>
        </w:rPr>
        <w:t xml:space="preserve">uggesting Marriott appropriately estimated the spending power of customers. This can be reflected in rising </w:t>
      </w:r>
      <w:r w:rsidR="001024EE">
        <w:rPr>
          <w:rFonts w:ascii="Arial" w:hAnsi="Arial" w:cs="Arial"/>
          <w:sz w:val="24"/>
          <w:szCs w:val="24"/>
        </w:rPr>
        <w:t>ADR</w:t>
      </w:r>
      <w:r w:rsidR="00A37B24">
        <w:rPr>
          <w:rFonts w:ascii="Arial" w:hAnsi="Arial" w:cs="Arial"/>
          <w:sz w:val="24"/>
          <w:szCs w:val="24"/>
        </w:rPr>
        <w:t>.</w:t>
      </w:r>
      <w:r>
        <w:rPr>
          <w:rFonts w:ascii="Arial" w:hAnsi="Arial" w:cs="Arial"/>
          <w:sz w:val="24"/>
          <w:szCs w:val="24"/>
        </w:rPr>
        <w:t xml:space="preserve">  </w:t>
      </w:r>
    </w:p>
    <w:p w14:paraId="4403A685" w14:textId="4478E0D3" w:rsidR="00B30D8B" w:rsidRDefault="00B30D8B" w:rsidP="008F6A3C">
      <w:pPr>
        <w:rPr>
          <w:rFonts w:ascii="Arial" w:hAnsi="Arial" w:cs="Arial"/>
          <w:sz w:val="24"/>
          <w:szCs w:val="24"/>
        </w:rPr>
      </w:pPr>
      <w:r>
        <w:rPr>
          <w:rFonts w:ascii="Arial" w:hAnsi="Arial" w:cs="Arial"/>
          <w:noProof/>
          <w:sz w:val="24"/>
          <w:szCs w:val="24"/>
        </w:rPr>
        <w:lastRenderedPageBreak/>
        <w:drawing>
          <wp:inline distT="0" distB="0" distL="0" distR="0" wp14:anchorId="6C55EA06" wp14:editId="478F6BCD">
            <wp:extent cx="5486400" cy="3200400"/>
            <wp:effectExtent l="0" t="0" r="0" b="0"/>
            <wp:docPr id="9870420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CEC50C" w14:textId="393BD764" w:rsidR="00A32812" w:rsidRPr="00B30D8B" w:rsidRDefault="00A32812" w:rsidP="008F6A3C">
      <w:pPr>
        <w:rPr>
          <w:rFonts w:ascii="Arial" w:hAnsi="Arial" w:cs="Arial"/>
          <w:b/>
          <w:bCs/>
          <w:sz w:val="24"/>
          <w:szCs w:val="24"/>
        </w:rPr>
      </w:pPr>
      <w:r w:rsidRPr="00B30D8B">
        <w:rPr>
          <w:rFonts w:ascii="Arial" w:hAnsi="Arial" w:cs="Arial"/>
          <w:b/>
          <w:bCs/>
          <w:sz w:val="24"/>
          <w:szCs w:val="24"/>
        </w:rPr>
        <w:t>Hilton Comparison</w:t>
      </w:r>
    </w:p>
    <w:p w14:paraId="198E941E" w14:textId="2FE9916E" w:rsidR="00A32812" w:rsidRDefault="00A32812" w:rsidP="008F6A3C">
      <w:pPr>
        <w:rPr>
          <w:rFonts w:ascii="Arial" w:hAnsi="Arial" w:cs="Arial"/>
          <w:sz w:val="24"/>
          <w:szCs w:val="24"/>
        </w:rPr>
      </w:pPr>
      <w:r>
        <w:rPr>
          <w:rFonts w:ascii="Arial" w:hAnsi="Arial" w:cs="Arial"/>
          <w:sz w:val="24"/>
          <w:szCs w:val="24"/>
        </w:rPr>
        <w:t>Both Hilton and Marriott have similar year-over-year revenue growth rates</w:t>
      </w:r>
      <w:r w:rsidR="0098113F">
        <w:rPr>
          <w:rFonts w:ascii="Arial" w:hAnsi="Arial" w:cs="Arial"/>
          <w:sz w:val="24"/>
          <w:szCs w:val="24"/>
        </w:rPr>
        <w:t xml:space="preserve"> with no more than 3 percentage points margins for their respective revenues between 2021 and 2023. Both recovered rapidly as covid and travel restrictions began to ease. Whilst growth slowed when customers’ travel habits began to normalise, both Hilton and Marriott surpassed annual pre-pandemic revenues at the end of 2023. This indicates they are close competitors who made a full and similar recovery to each other. Comparing their net income figures is appropriate and proportionate. Marriott’s revenue is 2.3 times higher than Hilton’s with and Marriott’s net income is 2.7 times higher than Hilton’s. Marriott’s margin is just under 2 percentage points higher. Therefore, whilst on a different scale, their performances, pound-for-pound are very similar.  </w:t>
      </w:r>
    </w:p>
    <w:p w14:paraId="5A9A000F" w14:textId="0233FD8F" w:rsidR="00B30D8B" w:rsidRDefault="00B30D8B" w:rsidP="008F6A3C">
      <w:pPr>
        <w:rPr>
          <w:rFonts w:ascii="Arial" w:hAnsi="Arial" w:cs="Arial"/>
          <w:sz w:val="24"/>
          <w:szCs w:val="24"/>
        </w:rPr>
      </w:pPr>
      <w:r>
        <w:rPr>
          <w:rFonts w:ascii="Arial" w:hAnsi="Arial" w:cs="Arial"/>
          <w:noProof/>
          <w:sz w:val="24"/>
          <w:szCs w:val="24"/>
        </w:rPr>
        <w:lastRenderedPageBreak/>
        <w:drawing>
          <wp:inline distT="0" distB="0" distL="0" distR="0" wp14:anchorId="1F9309FA" wp14:editId="015A199F">
            <wp:extent cx="5486400" cy="3200400"/>
            <wp:effectExtent l="0" t="0" r="0" b="0"/>
            <wp:docPr id="3727693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6E2BA5" w14:textId="6496B529" w:rsidR="00C50050" w:rsidRPr="008F6A3C" w:rsidRDefault="00C50050" w:rsidP="008F6A3C">
      <w:pPr>
        <w:rPr>
          <w:rFonts w:ascii="Arial" w:hAnsi="Arial" w:cs="Arial"/>
          <w:sz w:val="24"/>
          <w:szCs w:val="24"/>
        </w:rPr>
      </w:pPr>
      <w:r>
        <w:rPr>
          <w:rFonts w:ascii="Arial" w:hAnsi="Arial" w:cs="Arial"/>
          <w:noProof/>
          <w:sz w:val="24"/>
          <w:szCs w:val="24"/>
        </w:rPr>
        <w:drawing>
          <wp:inline distT="0" distB="0" distL="0" distR="0" wp14:anchorId="04B0C38F" wp14:editId="1C70F4EC">
            <wp:extent cx="5486400" cy="3200400"/>
            <wp:effectExtent l="0" t="0" r="0" b="0"/>
            <wp:docPr id="123881168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sectPr w:rsidR="00C50050" w:rsidRPr="008F6A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60"/>
    <w:rsid w:val="000E5A60"/>
    <w:rsid w:val="000F289D"/>
    <w:rsid w:val="001024EE"/>
    <w:rsid w:val="001355A9"/>
    <w:rsid w:val="0020504C"/>
    <w:rsid w:val="0021388A"/>
    <w:rsid w:val="002F0ED4"/>
    <w:rsid w:val="00312ACD"/>
    <w:rsid w:val="003462B8"/>
    <w:rsid w:val="003557F6"/>
    <w:rsid w:val="00375754"/>
    <w:rsid w:val="003B2199"/>
    <w:rsid w:val="003C1991"/>
    <w:rsid w:val="00461775"/>
    <w:rsid w:val="004F4734"/>
    <w:rsid w:val="00514522"/>
    <w:rsid w:val="0064022D"/>
    <w:rsid w:val="00694BF0"/>
    <w:rsid w:val="00803687"/>
    <w:rsid w:val="00880E0F"/>
    <w:rsid w:val="008F6A3C"/>
    <w:rsid w:val="0098113F"/>
    <w:rsid w:val="00A034FF"/>
    <w:rsid w:val="00A32812"/>
    <w:rsid w:val="00A37B24"/>
    <w:rsid w:val="00B22316"/>
    <w:rsid w:val="00B253EE"/>
    <w:rsid w:val="00B30D8B"/>
    <w:rsid w:val="00B83169"/>
    <w:rsid w:val="00B97906"/>
    <w:rsid w:val="00C1581C"/>
    <w:rsid w:val="00C23D55"/>
    <w:rsid w:val="00C45173"/>
    <w:rsid w:val="00C50050"/>
    <w:rsid w:val="00C51532"/>
    <w:rsid w:val="00C91853"/>
    <w:rsid w:val="00CB11C7"/>
    <w:rsid w:val="00DD3E68"/>
    <w:rsid w:val="00E14959"/>
    <w:rsid w:val="00E35B45"/>
    <w:rsid w:val="00E42C36"/>
    <w:rsid w:val="00E55B0E"/>
    <w:rsid w:val="00E60575"/>
    <w:rsid w:val="00E811EE"/>
    <w:rsid w:val="00EE7C0C"/>
    <w:rsid w:val="00F6299F"/>
    <w:rsid w:val="00FB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D358"/>
  <w15:chartTrackingRefBased/>
  <w15:docId w15:val="{3E15E94D-BF7A-4060-9652-50A61E8E5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A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A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A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A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A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A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A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A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A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A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A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A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A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A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A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A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A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A60"/>
    <w:rPr>
      <w:rFonts w:eastAsiaTheme="majorEastAsia" w:cstheme="majorBidi"/>
      <w:color w:val="272727" w:themeColor="text1" w:themeTint="D8"/>
    </w:rPr>
  </w:style>
  <w:style w:type="paragraph" w:styleId="Title">
    <w:name w:val="Title"/>
    <w:basedOn w:val="Normal"/>
    <w:next w:val="Normal"/>
    <w:link w:val="TitleChar"/>
    <w:uiPriority w:val="10"/>
    <w:qFormat/>
    <w:rsid w:val="000E5A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A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A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A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A60"/>
    <w:pPr>
      <w:spacing w:before="160"/>
      <w:jc w:val="center"/>
    </w:pPr>
    <w:rPr>
      <w:i/>
      <w:iCs/>
      <w:color w:val="404040" w:themeColor="text1" w:themeTint="BF"/>
    </w:rPr>
  </w:style>
  <w:style w:type="character" w:customStyle="1" w:styleId="QuoteChar">
    <w:name w:val="Quote Char"/>
    <w:basedOn w:val="DefaultParagraphFont"/>
    <w:link w:val="Quote"/>
    <w:uiPriority w:val="29"/>
    <w:rsid w:val="000E5A60"/>
    <w:rPr>
      <w:i/>
      <w:iCs/>
      <w:color w:val="404040" w:themeColor="text1" w:themeTint="BF"/>
    </w:rPr>
  </w:style>
  <w:style w:type="paragraph" w:styleId="ListParagraph">
    <w:name w:val="List Paragraph"/>
    <w:basedOn w:val="Normal"/>
    <w:uiPriority w:val="34"/>
    <w:qFormat/>
    <w:rsid w:val="000E5A60"/>
    <w:pPr>
      <w:ind w:left="720"/>
      <w:contextualSpacing/>
    </w:pPr>
  </w:style>
  <w:style w:type="character" w:styleId="IntenseEmphasis">
    <w:name w:val="Intense Emphasis"/>
    <w:basedOn w:val="DefaultParagraphFont"/>
    <w:uiPriority w:val="21"/>
    <w:qFormat/>
    <w:rsid w:val="000E5A60"/>
    <w:rPr>
      <w:i/>
      <w:iCs/>
      <w:color w:val="0F4761" w:themeColor="accent1" w:themeShade="BF"/>
    </w:rPr>
  </w:style>
  <w:style w:type="paragraph" w:styleId="IntenseQuote">
    <w:name w:val="Intense Quote"/>
    <w:basedOn w:val="Normal"/>
    <w:next w:val="Normal"/>
    <w:link w:val="IntenseQuoteChar"/>
    <w:uiPriority w:val="30"/>
    <w:qFormat/>
    <w:rsid w:val="000E5A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A60"/>
    <w:rPr>
      <w:i/>
      <w:iCs/>
      <w:color w:val="0F4761" w:themeColor="accent1" w:themeShade="BF"/>
    </w:rPr>
  </w:style>
  <w:style w:type="character" w:styleId="IntenseReference">
    <w:name w:val="Intense Reference"/>
    <w:basedOn w:val="DefaultParagraphFont"/>
    <w:uiPriority w:val="32"/>
    <w:qFormat/>
    <w:rsid w:val="000E5A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8.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chart" Target="charts/chart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6.xml"/><Relationship Id="rId5" Type="http://schemas.openxmlformats.org/officeDocument/2006/relationships/chart" Target="charts/chart2.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chart" Target="charts/chart1.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R&amp;D $ Billions</c:v>
                </c:pt>
              </c:strCache>
            </c:strRef>
          </c:tx>
          <c:spPr>
            <a:solidFill>
              <a:schemeClr val="accent1"/>
            </a:solidFill>
            <a:ln>
              <a:noFill/>
            </a:ln>
            <a:effectLst/>
          </c:spPr>
          <c:invertIfNegative val="0"/>
          <c:cat>
            <c:numRef>
              <c:f>Sheet1!$A$2</c:f>
              <c:numCache>
                <c:formatCode>General</c:formatCode>
                <c:ptCount val="1"/>
                <c:pt idx="0">
                  <c:v>2023</c:v>
                </c:pt>
              </c:numCache>
            </c:numRef>
          </c:cat>
          <c:val>
            <c:numRef>
              <c:f>Sheet1!$B$2</c:f>
              <c:numCache>
                <c:formatCode>General</c:formatCode>
                <c:ptCount val="1"/>
                <c:pt idx="0">
                  <c:v>15</c:v>
                </c:pt>
              </c:numCache>
            </c:numRef>
          </c:val>
          <c:extLst>
            <c:ext xmlns:c16="http://schemas.microsoft.com/office/drawing/2014/chart" uri="{C3380CC4-5D6E-409C-BE32-E72D297353CC}">
              <c16:uniqueId val="{00000000-BA88-4932-821C-D5D4FFBAEA6D}"/>
            </c:ext>
          </c:extLst>
        </c:ser>
        <c:ser>
          <c:idx val="1"/>
          <c:order val="1"/>
          <c:tx>
            <c:strRef>
              <c:f>Sheet1!$C$1</c:f>
              <c:strCache>
                <c:ptCount val="1"/>
                <c:pt idx="0">
                  <c:v>Segments' combined net income $ Billions</c:v>
                </c:pt>
              </c:strCache>
            </c:strRef>
          </c:tx>
          <c:spPr>
            <a:solidFill>
              <a:schemeClr val="accent2"/>
            </a:solidFill>
            <a:ln>
              <a:noFill/>
            </a:ln>
            <a:effectLst/>
          </c:spPr>
          <c:invertIfNegative val="0"/>
          <c:cat>
            <c:numRef>
              <c:f>Sheet1!$A$2</c:f>
              <c:numCache>
                <c:formatCode>General</c:formatCode>
                <c:ptCount val="1"/>
                <c:pt idx="0">
                  <c:v>2023</c:v>
                </c:pt>
              </c:numCache>
            </c:numRef>
          </c:cat>
          <c:val>
            <c:numRef>
              <c:f>Sheet1!$C$2</c:f>
              <c:numCache>
                <c:formatCode>General</c:formatCode>
                <c:ptCount val="1"/>
                <c:pt idx="0">
                  <c:v>22</c:v>
                </c:pt>
              </c:numCache>
            </c:numRef>
          </c:val>
          <c:extLst>
            <c:ext xmlns:c16="http://schemas.microsoft.com/office/drawing/2014/chart" uri="{C3380CC4-5D6E-409C-BE32-E72D297353CC}">
              <c16:uniqueId val="{00000001-BA88-4932-821C-D5D4FFBAEA6D}"/>
            </c:ext>
          </c:extLst>
        </c:ser>
        <c:dLbls>
          <c:showLegendKey val="0"/>
          <c:showVal val="0"/>
          <c:showCatName val="0"/>
          <c:showSerName val="0"/>
          <c:showPercent val="0"/>
          <c:showBubbleSize val="0"/>
        </c:dLbls>
        <c:gapWidth val="150"/>
        <c:overlap val="100"/>
        <c:axId val="1644451247"/>
        <c:axId val="1644451727"/>
      </c:barChart>
      <c:catAx>
        <c:axId val="16444512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451727"/>
        <c:crosses val="autoZero"/>
        <c:auto val="1"/>
        <c:lblAlgn val="ctr"/>
        <c:lblOffset val="100"/>
        <c:noMultiLvlLbl val="0"/>
      </c:catAx>
      <c:valAx>
        <c:axId val="16444517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4451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J&amp;J</c:v>
                </c:pt>
              </c:strCache>
            </c:strRef>
          </c:tx>
          <c:spPr>
            <a:solidFill>
              <a:schemeClr val="accent1"/>
            </a:solidFill>
            <a:ln>
              <a:noFill/>
            </a:ln>
            <a:effectLst/>
          </c:spPr>
          <c:invertIfNegative val="0"/>
          <c:cat>
            <c:strRef>
              <c:f>Sheet1!$A$2</c:f>
              <c:strCache>
                <c:ptCount val="1"/>
                <c:pt idx="0">
                  <c:v>Return on R&amp;D Expenditure (net income as % of R&amp;D)</c:v>
                </c:pt>
              </c:strCache>
            </c:strRef>
          </c:cat>
          <c:val>
            <c:numRef>
              <c:f>Sheet1!$B$2</c:f>
              <c:numCache>
                <c:formatCode>General</c:formatCode>
                <c:ptCount val="1"/>
                <c:pt idx="0">
                  <c:v>46</c:v>
                </c:pt>
              </c:numCache>
            </c:numRef>
          </c:val>
          <c:extLst>
            <c:ext xmlns:c16="http://schemas.microsoft.com/office/drawing/2014/chart" uri="{C3380CC4-5D6E-409C-BE32-E72D297353CC}">
              <c16:uniqueId val="{00000000-28A1-42F2-8449-FE107F9E1877}"/>
            </c:ext>
          </c:extLst>
        </c:ser>
        <c:ser>
          <c:idx val="1"/>
          <c:order val="1"/>
          <c:tx>
            <c:strRef>
              <c:f>Sheet1!$C$1</c:f>
              <c:strCache>
                <c:ptCount val="1"/>
                <c:pt idx="0">
                  <c:v>Merck</c:v>
                </c:pt>
              </c:strCache>
            </c:strRef>
          </c:tx>
          <c:spPr>
            <a:solidFill>
              <a:schemeClr val="accent2"/>
            </a:solidFill>
            <a:ln>
              <a:noFill/>
            </a:ln>
            <a:effectLst/>
          </c:spPr>
          <c:invertIfNegative val="0"/>
          <c:cat>
            <c:strRef>
              <c:f>Sheet1!$A$2</c:f>
              <c:strCache>
                <c:ptCount val="1"/>
                <c:pt idx="0">
                  <c:v>Return on R&amp;D Expenditure (net income as % of R&amp;D)</c:v>
                </c:pt>
              </c:strCache>
            </c:strRef>
          </c:cat>
          <c:val>
            <c:numRef>
              <c:f>Sheet1!$C$2</c:f>
              <c:numCache>
                <c:formatCode>General</c:formatCode>
                <c:ptCount val="1"/>
                <c:pt idx="0">
                  <c:v>1</c:v>
                </c:pt>
              </c:numCache>
            </c:numRef>
          </c:val>
          <c:extLst>
            <c:ext xmlns:c16="http://schemas.microsoft.com/office/drawing/2014/chart" uri="{C3380CC4-5D6E-409C-BE32-E72D297353CC}">
              <c16:uniqueId val="{00000001-28A1-42F2-8449-FE107F9E1877}"/>
            </c:ext>
          </c:extLst>
        </c:ser>
        <c:dLbls>
          <c:showLegendKey val="0"/>
          <c:showVal val="0"/>
          <c:showCatName val="0"/>
          <c:showSerName val="0"/>
          <c:showPercent val="0"/>
          <c:showBubbleSize val="0"/>
        </c:dLbls>
        <c:gapWidth val="219"/>
        <c:overlap val="-27"/>
        <c:axId val="1168863887"/>
        <c:axId val="1168864367"/>
      </c:barChart>
      <c:catAx>
        <c:axId val="1168863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64367"/>
        <c:crosses val="autoZero"/>
        <c:auto val="1"/>
        <c:lblAlgn val="ctr"/>
        <c:lblOffset val="100"/>
        <c:noMultiLvlLbl val="0"/>
      </c:catAx>
      <c:valAx>
        <c:axId val="1168864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8863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J&amp;J</c:v>
                </c:pt>
              </c:strCache>
            </c:strRef>
          </c:tx>
          <c:spPr>
            <a:solidFill>
              <a:schemeClr val="accent1"/>
            </a:solidFill>
            <a:ln>
              <a:noFill/>
            </a:ln>
            <a:effectLst/>
          </c:spPr>
          <c:invertIfNegative val="0"/>
          <c:cat>
            <c:strRef>
              <c:f>Sheet1!$A$2</c:f>
              <c:strCache>
                <c:ptCount val="1"/>
                <c:pt idx="0">
                  <c:v>Asset Turnover Ratio</c:v>
                </c:pt>
              </c:strCache>
            </c:strRef>
          </c:cat>
          <c:val>
            <c:numRef>
              <c:f>Sheet1!$B$2</c:f>
              <c:numCache>
                <c:formatCode>General</c:formatCode>
                <c:ptCount val="1"/>
                <c:pt idx="0">
                  <c:v>4.3</c:v>
                </c:pt>
              </c:numCache>
            </c:numRef>
          </c:val>
          <c:extLst>
            <c:ext xmlns:c16="http://schemas.microsoft.com/office/drawing/2014/chart" uri="{C3380CC4-5D6E-409C-BE32-E72D297353CC}">
              <c16:uniqueId val="{00000000-2402-4F3A-B0C9-F124E625A982}"/>
            </c:ext>
          </c:extLst>
        </c:ser>
        <c:ser>
          <c:idx val="1"/>
          <c:order val="1"/>
          <c:tx>
            <c:strRef>
              <c:f>Sheet1!$C$1</c:f>
              <c:strCache>
                <c:ptCount val="1"/>
                <c:pt idx="0">
                  <c:v>Merck</c:v>
                </c:pt>
              </c:strCache>
            </c:strRef>
          </c:tx>
          <c:spPr>
            <a:solidFill>
              <a:schemeClr val="accent2"/>
            </a:solidFill>
            <a:ln>
              <a:noFill/>
            </a:ln>
            <a:effectLst/>
          </c:spPr>
          <c:invertIfNegative val="0"/>
          <c:cat>
            <c:strRef>
              <c:f>Sheet1!$A$2</c:f>
              <c:strCache>
                <c:ptCount val="1"/>
                <c:pt idx="0">
                  <c:v>Asset Turnover Ratio</c:v>
                </c:pt>
              </c:strCache>
            </c:strRef>
          </c:cat>
          <c:val>
            <c:numRef>
              <c:f>Sheet1!$C$2</c:f>
              <c:numCache>
                <c:formatCode>General</c:formatCode>
                <c:ptCount val="1"/>
                <c:pt idx="0">
                  <c:v>2.4</c:v>
                </c:pt>
              </c:numCache>
            </c:numRef>
          </c:val>
          <c:extLst>
            <c:ext xmlns:c16="http://schemas.microsoft.com/office/drawing/2014/chart" uri="{C3380CC4-5D6E-409C-BE32-E72D297353CC}">
              <c16:uniqueId val="{00000001-2402-4F3A-B0C9-F124E625A982}"/>
            </c:ext>
          </c:extLst>
        </c:ser>
        <c:dLbls>
          <c:showLegendKey val="0"/>
          <c:showVal val="0"/>
          <c:showCatName val="0"/>
          <c:showSerName val="0"/>
          <c:showPercent val="0"/>
          <c:showBubbleSize val="0"/>
        </c:dLbls>
        <c:gapWidth val="219"/>
        <c:overlap val="-27"/>
        <c:axId val="1172785967"/>
        <c:axId val="1172788367"/>
      </c:barChart>
      <c:catAx>
        <c:axId val="117278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788367"/>
        <c:crosses val="autoZero"/>
        <c:auto val="1"/>
        <c:lblAlgn val="ctr"/>
        <c:lblOffset val="100"/>
        <c:noMultiLvlLbl val="0"/>
      </c:catAx>
      <c:valAx>
        <c:axId val="11727883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785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Number</a:t>
            </a:r>
            <a:r>
              <a:rPr lang="en-GB" baseline="0"/>
              <a:t> of Rooms and Properties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Rooms (1000's)</c:v>
                </c:pt>
              </c:strCache>
            </c:strRef>
          </c:tx>
          <c:spPr>
            <a:solidFill>
              <a:schemeClr val="accent1"/>
            </a:solidFill>
            <a:ln>
              <a:noFill/>
            </a:ln>
            <a:effectLst/>
          </c:spPr>
          <c:invertIfNegative val="0"/>
          <c:cat>
            <c:numRef>
              <c:f>Sheet1!$A$2:$A$3</c:f>
              <c:numCache>
                <c:formatCode>General</c:formatCode>
                <c:ptCount val="2"/>
                <c:pt idx="0">
                  <c:v>2022</c:v>
                </c:pt>
                <c:pt idx="1">
                  <c:v>2023</c:v>
                </c:pt>
              </c:numCache>
            </c:numRef>
          </c:cat>
          <c:val>
            <c:numRef>
              <c:f>Sheet1!$B$2:$B$3</c:f>
              <c:numCache>
                <c:formatCode>General</c:formatCode>
                <c:ptCount val="2"/>
                <c:pt idx="0">
                  <c:v>8.1999999999999993</c:v>
                </c:pt>
                <c:pt idx="1">
                  <c:v>8.6999999999999993</c:v>
                </c:pt>
              </c:numCache>
            </c:numRef>
          </c:val>
          <c:extLst>
            <c:ext xmlns:c16="http://schemas.microsoft.com/office/drawing/2014/chart" uri="{C3380CC4-5D6E-409C-BE32-E72D297353CC}">
              <c16:uniqueId val="{00000000-4BA8-4845-89B6-83669EF2AE19}"/>
            </c:ext>
          </c:extLst>
        </c:ser>
        <c:ser>
          <c:idx val="1"/>
          <c:order val="1"/>
          <c:tx>
            <c:strRef>
              <c:f>Sheet1!$C$1</c:f>
              <c:strCache>
                <c:ptCount val="1"/>
                <c:pt idx="0">
                  <c:v>Properties (1000's)</c:v>
                </c:pt>
              </c:strCache>
            </c:strRef>
          </c:tx>
          <c:spPr>
            <a:solidFill>
              <a:schemeClr val="accent2"/>
            </a:solidFill>
            <a:ln>
              <a:noFill/>
            </a:ln>
            <a:effectLst/>
          </c:spPr>
          <c:invertIfNegative val="0"/>
          <c:cat>
            <c:numRef>
              <c:f>Sheet1!$A$2:$A$3</c:f>
              <c:numCache>
                <c:formatCode>General</c:formatCode>
                <c:ptCount val="2"/>
                <c:pt idx="0">
                  <c:v>2022</c:v>
                </c:pt>
                <c:pt idx="1">
                  <c:v>2023</c:v>
                </c:pt>
              </c:numCache>
            </c:numRef>
          </c:cat>
          <c:val>
            <c:numRef>
              <c:f>Sheet1!$C$2:$C$3</c:f>
              <c:numCache>
                <c:formatCode>General</c:formatCode>
                <c:ptCount val="2"/>
                <c:pt idx="0">
                  <c:v>1525</c:v>
                </c:pt>
                <c:pt idx="1">
                  <c:v>1597</c:v>
                </c:pt>
              </c:numCache>
            </c:numRef>
          </c:val>
          <c:extLst>
            <c:ext xmlns:c16="http://schemas.microsoft.com/office/drawing/2014/chart" uri="{C3380CC4-5D6E-409C-BE32-E72D297353CC}">
              <c16:uniqueId val="{00000001-4BA8-4845-89B6-83669EF2AE19}"/>
            </c:ext>
          </c:extLst>
        </c:ser>
        <c:dLbls>
          <c:showLegendKey val="0"/>
          <c:showVal val="0"/>
          <c:showCatName val="0"/>
          <c:showSerName val="0"/>
          <c:showPercent val="0"/>
          <c:showBubbleSize val="0"/>
        </c:dLbls>
        <c:gapWidth val="219"/>
        <c:overlap val="-27"/>
        <c:axId val="1172782607"/>
        <c:axId val="1172790287"/>
      </c:barChart>
      <c:catAx>
        <c:axId val="11727826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790287"/>
        <c:crosses val="autoZero"/>
        <c:auto val="1"/>
        <c:lblAlgn val="ctr"/>
        <c:lblOffset val="100"/>
        <c:noMultiLvlLbl val="0"/>
      </c:catAx>
      <c:valAx>
        <c:axId val="11727902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782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Incentive Management Fees $ Millions</c:v>
                </c:pt>
              </c:strCache>
            </c:strRef>
          </c:tx>
          <c:spPr>
            <a:solidFill>
              <a:schemeClr val="accent1"/>
            </a:solidFill>
            <a:ln>
              <a:noFill/>
            </a:ln>
            <a:effectLst/>
          </c:spPr>
          <c:invertIfNegative val="0"/>
          <c:cat>
            <c:numRef>
              <c:f>Sheet1!$A$2:$A$3</c:f>
              <c:numCache>
                <c:formatCode>General</c:formatCode>
                <c:ptCount val="2"/>
                <c:pt idx="0">
                  <c:v>2022</c:v>
                </c:pt>
                <c:pt idx="1">
                  <c:v>2023</c:v>
                </c:pt>
              </c:numCache>
            </c:numRef>
          </c:cat>
          <c:val>
            <c:numRef>
              <c:f>Sheet1!$B$2:$B$3</c:f>
              <c:numCache>
                <c:formatCode>General</c:formatCode>
                <c:ptCount val="2"/>
                <c:pt idx="0">
                  <c:v>529</c:v>
                </c:pt>
                <c:pt idx="1">
                  <c:v>755</c:v>
                </c:pt>
              </c:numCache>
            </c:numRef>
          </c:val>
          <c:extLst>
            <c:ext xmlns:c16="http://schemas.microsoft.com/office/drawing/2014/chart" uri="{C3380CC4-5D6E-409C-BE32-E72D297353CC}">
              <c16:uniqueId val="{00000000-194A-4362-97BC-416EB28A4781}"/>
            </c:ext>
          </c:extLst>
        </c:ser>
        <c:dLbls>
          <c:showLegendKey val="0"/>
          <c:showVal val="0"/>
          <c:showCatName val="0"/>
          <c:showSerName val="0"/>
          <c:showPercent val="0"/>
          <c:showBubbleSize val="0"/>
        </c:dLbls>
        <c:gapWidth val="219"/>
        <c:overlap val="-27"/>
        <c:axId val="1172916895"/>
        <c:axId val="1172913535"/>
      </c:barChart>
      <c:catAx>
        <c:axId val="1172916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13535"/>
        <c:crosses val="autoZero"/>
        <c:auto val="1"/>
        <c:lblAlgn val="ctr"/>
        <c:lblOffset val="100"/>
        <c:noMultiLvlLbl val="0"/>
      </c:catAx>
      <c:valAx>
        <c:axId val="1172913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16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Revenue $ Billions</c:v>
                </c:pt>
              </c:strCache>
            </c:strRef>
          </c:tx>
          <c:spPr>
            <a:solidFill>
              <a:schemeClr val="accent1"/>
            </a:solidFill>
            <a:ln>
              <a:noFill/>
            </a:ln>
            <a:effectLst/>
          </c:spPr>
          <c:invertIfNegative val="0"/>
          <c:cat>
            <c:numRef>
              <c:f>Sheet1!$A$2:$A$3</c:f>
              <c:numCache>
                <c:formatCode>General</c:formatCode>
                <c:ptCount val="2"/>
                <c:pt idx="0">
                  <c:v>2019</c:v>
                </c:pt>
                <c:pt idx="1">
                  <c:v>2023</c:v>
                </c:pt>
              </c:numCache>
            </c:numRef>
          </c:cat>
          <c:val>
            <c:numRef>
              <c:f>Sheet1!$B$2:$B$3</c:f>
              <c:numCache>
                <c:formatCode>General</c:formatCode>
                <c:ptCount val="2"/>
                <c:pt idx="0">
                  <c:v>20.9</c:v>
                </c:pt>
                <c:pt idx="1">
                  <c:v>23</c:v>
                </c:pt>
              </c:numCache>
            </c:numRef>
          </c:val>
          <c:extLst>
            <c:ext xmlns:c16="http://schemas.microsoft.com/office/drawing/2014/chart" uri="{C3380CC4-5D6E-409C-BE32-E72D297353CC}">
              <c16:uniqueId val="{00000000-B717-4C10-AA6D-112F3948933F}"/>
            </c:ext>
          </c:extLst>
        </c:ser>
        <c:dLbls>
          <c:showLegendKey val="0"/>
          <c:showVal val="0"/>
          <c:showCatName val="0"/>
          <c:showSerName val="0"/>
          <c:showPercent val="0"/>
          <c:showBubbleSize val="0"/>
        </c:dLbls>
        <c:gapWidth val="219"/>
        <c:overlap val="-27"/>
        <c:axId val="1171636303"/>
        <c:axId val="1171636783"/>
      </c:barChart>
      <c:catAx>
        <c:axId val="11716363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36783"/>
        <c:crosses val="autoZero"/>
        <c:auto val="1"/>
        <c:lblAlgn val="ctr"/>
        <c:lblOffset val="100"/>
        <c:noMultiLvlLbl val="0"/>
      </c:catAx>
      <c:valAx>
        <c:axId val="11716367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16363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Revenue</a:t>
            </a:r>
            <a:r>
              <a:rPr lang="en-GB" baseline="0"/>
              <a:t> Growth Rates Year-Over-Year %</a:t>
            </a:r>
            <a:endParaRPr lang="en-GB"/>
          </a:p>
        </c:rich>
      </c:tx>
      <c:layout>
        <c:manualLayout>
          <c:xMode val="edge"/>
          <c:yMode val="edge"/>
          <c:x val="0.2193287037037036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Marriott</c:v>
                </c:pt>
              </c:strCache>
            </c:strRef>
          </c:tx>
          <c:spPr>
            <a:solidFill>
              <a:schemeClr val="accent1"/>
            </a:solidFill>
            <a:ln>
              <a:noFill/>
            </a:ln>
            <a:effectLst/>
          </c:spPr>
          <c:invertIfNegative val="0"/>
          <c:cat>
            <c:numRef>
              <c:f>Sheet1!$A$2:$A$4</c:f>
              <c:numCache>
                <c:formatCode>General</c:formatCode>
                <c:ptCount val="3"/>
                <c:pt idx="0">
                  <c:v>2021</c:v>
                </c:pt>
                <c:pt idx="1">
                  <c:v>2022</c:v>
                </c:pt>
                <c:pt idx="2">
                  <c:v>2023</c:v>
                </c:pt>
              </c:numCache>
            </c:numRef>
          </c:cat>
          <c:val>
            <c:numRef>
              <c:f>Sheet1!$B$2:$B$4</c:f>
              <c:numCache>
                <c:formatCode>General</c:formatCode>
                <c:ptCount val="3"/>
                <c:pt idx="0">
                  <c:v>31.09</c:v>
                </c:pt>
                <c:pt idx="1">
                  <c:v>49.91</c:v>
                </c:pt>
                <c:pt idx="2">
                  <c:v>14.15</c:v>
                </c:pt>
              </c:numCache>
            </c:numRef>
          </c:val>
          <c:extLst>
            <c:ext xmlns:c16="http://schemas.microsoft.com/office/drawing/2014/chart" uri="{C3380CC4-5D6E-409C-BE32-E72D297353CC}">
              <c16:uniqueId val="{00000000-1893-470A-8A3A-84A7C127DF84}"/>
            </c:ext>
          </c:extLst>
        </c:ser>
        <c:ser>
          <c:idx val="1"/>
          <c:order val="1"/>
          <c:tx>
            <c:strRef>
              <c:f>Sheet1!$C$1</c:f>
              <c:strCache>
                <c:ptCount val="1"/>
                <c:pt idx="0">
                  <c:v>Hilton</c:v>
                </c:pt>
              </c:strCache>
            </c:strRef>
          </c:tx>
          <c:spPr>
            <a:solidFill>
              <a:schemeClr val="accent2"/>
            </a:solidFill>
            <a:ln>
              <a:noFill/>
            </a:ln>
            <a:effectLst/>
          </c:spPr>
          <c:invertIfNegative val="0"/>
          <c:cat>
            <c:numRef>
              <c:f>Sheet1!$A$2:$A$4</c:f>
              <c:numCache>
                <c:formatCode>General</c:formatCode>
                <c:ptCount val="3"/>
                <c:pt idx="0">
                  <c:v>2021</c:v>
                </c:pt>
                <c:pt idx="1">
                  <c:v>2022</c:v>
                </c:pt>
                <c:pt idx="2">
                  <c:v>2023</c:v>
                </c:pt>
              </c:numCache>
            </c:numRef>
          </c:cat>
          <c:val>
            <c:numRef>
              <c:f>Sheet1!$C$2:$C$4</c:f>
              <c:numCache>
                <c:formatCode>General</c:formatCode>
                <c:ptCount val="3"/>
                <c:pt idx="0">
                  <c:v>34.39</c:v>
                </c:pt>
                <c:pt idx="1">
                  <c:v>51.57</c:v>
                </c:pt>
                <c:pt idx="2">
                  <c:v>16.66</c:v>
                </c:pt>
              </c:numCache>
            </c:numRef>
          </c:val>
          <c:extLst>
            <c:ext xmlns:c16="http://schemas.microsoft.com/office/drawing/2014/chart" uri="{C3380CC4-5D6E-409C-BE32-E72D297353CC}">
              <c16:uniqueId val="{00000001-1893-470A-8A3A-84A7C127DF84}"/>
            </c:ext>
          </c:extLst>
        </c:ser>
        <c:dLbls>
          <c:showLegendKey val="0"/>
          <c:showVal val="0"/>
          <c:showCatName val="0"/>
          <c:showSerName val="0"/>
          <c:showPercent val="0"/>
          <c:showBubbleSize val="0"/>
        </c:dLbls>
        <c:gapWidth val="219"/>
        <c:overlap val="-27"/>
        <c:axId val="1630877199"/>
        <c:axId val="1630875279"/>
      </c:barChart>
      <c:catAx>
        <c:axId val="1630877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875279"/>
        <c:crosses val="autoZero"/>
        <c:auto val="1"/>
        <c:lblAlgn val="ctr"/>
        <c:lblOffset val="100"/>
        <c:noMultiLvlLbl val="0"/>
      </c:catAx>
      <c:valAx>
        <c:axId val="1630875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0877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Revenue</a:t>
            </a:r>
            <a:r>
              <a:rPr lang="en-GB" baseline="0"/>
              <a:t> and Net Income Comparison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Revenue $ Billions</c:v>
                </c:pt>
              </c:strCache>
            </c:strRef>
          </c:tx>
          <c:spPr>
            <a:solidFill>
              <a:schemeClr val="accent1"/>
            </a:solidFill>
            <a:ln>
              <a:noFill/>
            </a:ln>
            <a:effectLst/>
          </c:spPr>
          <c:invertIfNegative val="0"/>
          <c:cat>
            <c:strRef>
              <c:f>Sheet1!$A$2:$A$3</c:f>
              <c:strCache>
                <c:ptCount val="2"/>
                <c:pt idx="0">
                  <c:v>Marriott</c:v>
                </c:pt>
                <c:pt idx="1">
                  <c:v>Hilton</c:v>
                </c:pt>
              </c:strCache>
            </c:strRef>
          </c:cat>
          <c:val>
            <c:numRef>
              <c:f>Sheet1!$B$2:$B$3</c:f>
              <c:numCache>
                <c:formatCode>General</c:formatCode>
                <c:ptCount val="2"/>
                <c:pt idx="0">
                  <c:v>23</c:v>
                </c:pt>
                <c:pt idx="1">
                  <c:v>10</c:v>
                </c:pt>
              </c:numCache>
            </c:numRef>
          </c:val>
          <c:extLst>
            <c:ext xmlns:c16="http://schemas.microsoft.com/office/drawing/2014/chart" uri="{C3380CC4-5D6E-409C-BE32-E72D297353CC}">
              <c16:uniqueId val="{00000000-FD34-41E9-820F-70A33C37BEC1}"/>
            </c:ext>
          </c:extLst>
        </c:ser>
        <c:ser>
          <c:idx val="1"/>
          <c:order val="1"/>
          <c:tx>
            <c:strRef>
              <c:f>Sheet1!$C$1</c:f>
              <c:strCache>
                <c:ptCount val="1"/>
                <c:pt idx="0">
                  <c:v>Net Income $ Billions</c:v>
                </c:pt>
              </c:strCache>
            </c:strRef>
          </c:tx>
          <c:spPr>
            <a:solidFill>
              <a:schemeClr val="accent2"/>
            </a:solidFill>
            <a:ln>
              <a:noFill/>
            </a:ln>
            <a:effectLst/>
          </c:spPr>
          <c:invertIfNegative val="0"/>
          <c:cat>
            <c:strRef>
              <c:f>Sheet1!$A$2:$A$3</c:f>
              <c:strCache>
                <c:ptCount val="2"/>
                <c:pt idx="0">
                  <c:v>Marriott</c:v>
                </c:pt>
                <c:pt idx="1">
                  <c:v>Hilton</c:v>
                </c:pt>
              </c:strCache>
            </c:strRef>
          </c:cat>
          <c:val>
            <c:numRef>
              <c:f>Sheet1!$C$2:$C$3</c:f>
              <c:numCache>
                <c:formatCode>General</c:formatCode>
                <c:ptCount val="2"/>
                <c:pt idx="0">
                  <c:v>3</c:v>
                </c:pt>
                <c:pt idx="1">
                  <c:v>1.1000000000000001</c:v>
                </c:pt>
              </c:numCache>
            </c:numRef>
          </c:val>
          <c:extLst>
            <c:ext xmlns:c16="http://schemas.microsoft.com/office/drawing/2014/chart" uri="{C3380CC4-5D6E-409C-BE32-E72D297353CC}">
              <c16:uniqueId val="{00000001-FD34-41E9-820F-70A33C37BEC1}"/>
            </c:ext>
          </c:extLst>
        </c:ser>
        <c:dLbls>
          <c:showLegendKey val="0"/>
          <c:showVal val="0"/>
          <c:showCatName val="0"/>
          <c:showSerName val="0"/>
          <c:showPercent val="0"/>
          <c:showBubbleSize val="0"/>
        </c:dLbls>
        <c:gapWidth val="150"/>
        <c:overlap val="100"/>
        <c:axId val="1172925535"/>
        <c:axId val="1172926495"/>
      </c:barChart>
      <c:catAx>
        <c:axId val="11729255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26495"/>
        <c:crosses val="autoZero"/>
        <c:auto val="1"/>
        <c:lblAlgn val="ctr"/>
        <c:lblOffset val="100"/>
        <c:noMultiLvlLbl val="0"/>
      </c:catAx>
      <c:valAx>
        <c:axId val="1172926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25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627</Words>
  <Characters>3579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BAZINI</dc:creator>
  <cp:keywords/>
  <dc:description/>
  <cp:lastModifiedBy>BENJAMIN BAZINI</cp:lastModifiedBy>
  <cp:revision>29</cp:revision>
  <dcterms:created xsi:type="dcterms:W3CDTF">2024-11-13T15:23:00Z</dcterms:created>
  <dcterms:modified xsi:type="dcterms:W3CDTF">2024-11-14T17:35:00Z</dcterms:modified>
</cp:coreProperties>
</file>