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E05A8" w14:textId="5AE78BE2" w:rsidR="00461775" w:rsidRPr="00996EDA" w:rsidRDefault="00DF5A0E" w:rsidP="00DF5A0E">
      <w:pPr>
        <w:jc w:val="center"/>
        <w:rPr>
          <w:rFonts w:ascii="Arial" w:hAnsi="Arial" w:cs="Arial"/>
          <w:b/>
          <w:bCs/>
          <w:sz w:val="24"/>
          <w:szCs w:val="24"/>
        </w:rPr>
      </w:pPr>
      <w:r w:rsidRPr="00996EDA">
        <w:rPr>
          <w:rFonts w:ascii="Arial" w:hAnsi="Arial" w:cs="Arial"/>
          <w:b/>
          <w:bCs/>
          <w:sz w:val="24"/>
          <w:szCs w:val="24"/>
        </w:rPr>
        <w:t>Task 5 Market Research for Visa Inc</w:t>
      </w:r>
    </w:p>
    <w:p w14:paraId="54FFF555" w14:textId="4E1F8E65" w:rsidR="001B1B75" w:rsidRDefault="001B1B75" w:rsidP="001B1B75">
      <w:pPr>
        <w:rPr>
          <w:rFonts w:ascii="Arial" w:hAnsi="Arial" w:cs="Arial"/>
          <w:sz w:val="24"/>
          <w:szCs w:val="24"/>
        </w:rPr>
      </w:pPr>
      <w:r>
        <w:rPr>
          <w:rFonts w:ascii="Arial" w:hAnsi="Arial" w:cs="Arial"/>
          <w:sz w:val="24"/>
          <w:szCs w:val="24"/>
        </w:rPr>
        <w:t xml:space="preserve">Visa Inc operates within the financial services industry and specialises in card transactions, facilitating electronic payments around the world. </w:t>
      </w:r>
    </w:p>
    <w:p w14:paraId="48F033CB" w14:textId="151EF980" w:rsidR="004929C5" w:rsidRPr="004929C5" w:rsidRDefault="004929C5" w:rsidP="001B1B75">
      <w:pPr>
        <w:rPr>
          <w:rFonts w:ascii="Arial" w:hAnsi="Arial" w:cs="Arial"/>
          <w:b/>
          <w:bCs/>
          <w:sz w:val="24"/>
          <w:szCs w:val="24"/>
        </w:rPr>
      </w:pPr>
      <w:r w:rsidRPr="004929C5">
        <w:rPr>
          <w:rFonts w:ascii="Arial" w:hAnsi="Arial" w:cs="Arial"/>
          <w:b/>
          <w:bCs/>
          <w:sz w:val="24"/>
          <w:szCs w:val="24"/>
        </w:rPr>
        <w:t>Visa’s notable revenue and cost drivers</w:t>
      </w:r>
      <w:r w:rsidR="00165E37">
        <w:rPr>
          <w:rFonts w:ascii="Arial" w:hAnsi="Arial" w:cs="Arial"/>
          <w:b/>
          <w:bCs/>
          <w:sz w:val="24"/>
          <w:szCs w:val="24"/>
        </w:rPr>
        <w:t xml:space="preserve"> in 2023</w:t>
      </w:r>
      <w:r w:rsidRPr="004929C5">
        <w:rPr>
          <w:rFonts w:ascii="Arial" w:hAnsi="Arial" w:cs="Arial"/>
          <w:b/>
          <w:bCs/>
          <w:sz w:val="24"/>
          <w:szCs w:val="24"/>
        </w:rPr>
        <w:t>:</w:t>
      </w:r>
    </w:p>
    <w:p w14:paraId="2A8BB8AF" w14:textId="4E4EE63F" w:rsidR="004929C5" w:rsidRDefault="004929C5" w:rsidP="001B1B75">
      <w:pPr>
        <w:rPr>
          <w:rFonts w:ascii="Arial" w:hAnsi="Arial" w:cs="Arial"/>
          <w:sz w:val="24"/>
          <w:szCs w:val="24"/>
        </w:rPr>
      </w:pPr>
      <w:r>
        <w:rPr>
          <w:rFonts w:ascii="Arial" w:hAnsi="Arial" w:cs="Arial"/>
          <w:sz w:val="24"/>
          <w:szCs w:val="24"/>
        </w:rPr>
        <w:t xml:space="preserve">We have seen a correlation between revenue growth and a rise in transactions processed, which increased by 5% over the previous year. Whilst higher client incentives contributed towards slower year-over-year revenue growth by 11 percentage points for Visa. Visa’s incentive expense was $12 billion, accounting for 38% of revenue.   </w:t>
      </w:r>
    </w:p>
    <w:p w14:paraId="2A896FE8" w14:textId="490A96CE" w:rsidR="0061119A" w:rsidRDefault="0061119A" w:rsidP="001B1B75">
      <w:pPr>
        <w:rPr>
          <w:rFonts w:ascii="Arial" w:hAnsi="Arial" w:cs="Arial"/>
          <w:sz w:val="24"/>
          <w:szCs w:val="24"/>
        </w:rPr>
      </w:pPr>
      <w:r>
        <w:rPr>
          <w:rFonts w:ascii="Arial" w:hAnsi="Arial" w:cs="Arial"/>
          <w:noProof/>
          <w:sz w:val="24"/>
          <w:szCs w:val="24"/>
        </w:rPr>
        <w:drawing>
          <wp:inline distT="0" distB="0" distL="0" distR="0" wp14:anchorId="36483CF8" wp14:editId="1649AFA8">
            <wp:extent cx="3855720" cy="1851660"/>
            <wp:effectExtent l="0" t="0" r="11430" b="15240"/>
            <wp:docPr id="115756217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141B237" w14:textId="40D5E81F" w:rsidR="001B1B75" w:rsidRPr="001B1B75" w:rsidRDefault="001B1B75" w:rsidP="001B1B75">
      <w:pPr>
        <w:rPr>
          <w:rFonts w:ascii="Arial" w:hAnsi="Arial" w:cs="Arial"/>
          <w:b/>
          <w:bCs/>
          <w:sz w:val="24"/>
          <w:szCs w:val="24"/>
        </w:rPr>
      </w:pPr>
      <w:r w:rsidRPr="001B1B75">
        <w:rPr>
          <w:rFonts w:ascii="Arial" w:hAnsi="Arial" w:cs="Arial"/>
          <w:b/>
          <w:bCs/>
          <w:sz w:val="24"/>
          <w:szCs w:val="24"/>
        </w:rPr>
        <w:t>Close Peers</w:t>
      </w:r>
    </w:p>
    <w:p w14:paraId="287E41AA" w14:textId="7DB902A2" w:rsidR="00A868C8" w:rsidRDefault="001B1B75" w:rsidP="00DF5A0E">
      <w:pPr>
        <w:rPr>
          <w:rFonts w:ascii="Arial" w:hAnsi="Arial" w:cs="Arial"/>
          <w:sz w:val="24"/>
          <w:szCs w:val="24"/>
        </w:rPr>
      </w:pPr>
      <w:r>
        <w:rPr>
          <w:rFonts w:ascii="Arial" w:hAnsi="Arial" w:cs="Arial"/>
          <w:sz w:val="24"/>
          <w:szCs w:val="24"/>
        </w:rPr>
        <w:t xml:space="preserve">This piece of research has identified Mastercard and Amex as close peers of Visa. Whilst they primarily provide the same services, they similar sized corporations. Their P/E ratios are within the double figures all within the range of 20-40. </w:t>
      </w:r>
      <w:r w:rsidR="00A868C8">
        <w:rPr>
          <w:rFonts w:ascii="Arial" w:hAnsi="Arial" w:cs="Arial"/>
          <w:sz w:val="24"/>
          <w:szCs w:val="24"/>
        </w:rPr>
        <w:t xml:space="preserve">Whilst Amex’s revenue is over double that of Mastercard’s and nearly double that of Visa’s, their net income are all within the range of $10-$20 billion, which balances out in terms of overall performance. Visa and Mastercard’s net margins are 52% and 44% respectively whilst Amex’s is </w:t>
      </w:r>
      <w:r w:rsidR="001618DA">
        <w:rPr>
          <w:rFonts w:ascii="Arial" w:hAnsi="Arial" w:cs="Arial"/>
          <w:sz w:val="24"/>
          <w:szCs w:val="24"/>
        </w:rPr>
        <w:t>significantly</w:t>
      </w:r>
      <w:r w:rsidR="00A868C8">
        <w:rPr>
          <w:rFonts w:ascii="Arial" w:hAnsi="Arial" w:cs="Arial"/>
          <w:sz w:val="24"/>
          <w:szCs w:val="24"/>
        </w:rPr>
        <w:t xml:space="preserve"> inferior at 13%. </w:t>
      </w:r>
    </w:p>
    <w:p w14:paraId="75F3FCF1" w14:textId="5FB0C7C8" w:rsidR="001B1B75" w:rsidRDefault="00A868C8" w:rsidP="00DF5A0E">
      <w:pPr>
        <w:rPr>
          <w:rFonts w:ascii="Arial" w:hAnsi="Arial" w:cs="Arial"/>
          <w:sz w:val="24"/>
          <w:szCs w:val="24"/>
        </w:rPr>
      </w:pPr>
      <w:r>
        <w:rPr>
          <w:rFonts w:ascii="Arial" w:hAnsi="Arial" w:cs="Arial"/>
          <w:sz w:val="24"/>
          <w:szCs w:val="24"/>
        </w:rPr>
        <w:t>In comparison, Amex has struggled to control the costs of global expansion of merchants and has somewhat struggled more than Visa</w:t>
      </w:r>
      <w:r w:rsidR="001618DA">
        <w:rPr>
          <w:rFonts w:ascii="Arial" w:hAnsi="Arial" w:cs="Arial"/>
          <w:sz w:val="24"/>
          <w:szCs w:val="24"/>
        </w:rPr>
        <w:t xml:space="preserve"> and Mastercard.</w:t>
      </w:r>
      <w:r w:rsidR="008004F2">
        <w:rPr>
          <w:rFonts w:ascii="Arial" w:hAnsi="Arial" w:cs="Arial"/>
          <w:sz w:val="24"/>
          <w:szCs w:val="24"/>
        </w:rPr>
        <w:t xml:space="preserve"> Amex cited this as a challenge in its annual report stating that Visa and Mastercard already have a greater global presence in terms of transaction volumes and have more established relationships with these customers.</w:t>
      </w:r>
      <w:r w:rsidR="001618DA">
        <w:rPr>
          <w:rFonts w:ascii="Arial" w:hAnsi="Arial" w:cs="Arial"/>
          <w:sz w:val="24"/>
          <w:szCs w:val="24"/>
        </w:rPr>
        <w:t xml:space="preserve"> Amex’s operating expenses increased by 8% partially driven by technology costs to aid business growth and innovation.</w:t>
      </w:r>
      <w:r w:rsidR="008004F2">
        <w:rPr>
          <w:rFonts w:ascii="Arial" w:hAnsi="Arial" w:cs="Arial"/>
          <w:sz w:val="24"/>
          <w:szCs w:val="24"/>
        </w:rPr>
        <w:t xml:space="preserve"> Visa’s and Mastercard’s overall expenses are only a third of Amex’s expenses.  </w:t>
      </w:r>
    </w:p>
    <w:p w14:paraId="7270AEEE" w14:textId="235A3F05" w:rsidR="008004F2" w:rsidRDefault="008004F2" w:rsidP="00DF5A0E">
      <w:pPr>
        <w:rPr>
          <w:rFonts w:ascii="Arial" w:hAnsi="Arial" w:cs="Arial"/>
          <w:sz w:val="24"/>
          <w:szCs w:val="24"/>
        </w:rPr>
      </w:pPr>
      <w:r>
        <w:rPr>
          <w:rFonts w:ascii="Arial" w:hAnsi="Arial" w:cs="Arial"/>
          <w:sz w:val="24"/>
          <w:szCs w:val="24"/>
        </w:rPr>
        <w:t>All three corporations’ costs have been driven by rising interest rates, which they have passed onto consumers. Whilst Amex’s</w:t>
      </w:r>
      <w:r w:rsidR="00AE1AFD">
        <w:rPr>
          <w:rFonts w:ascii="Arial" w:hAnsi="Arial" w:cs="Arial"/>
          <w:sz w:val="24"/>
          <w:szCs w:val="24"/>
        </w:rPr>
        <w:t xml:space="preserve"> growth rate in</w:t>
      </w:r>
      <w:r>
        <w:rPr>
          <w:rFonts w:ascii="Arial" w:hAnsi="Arial" w:cs="Arial"/>
          <w:sz w:val="24"/>
          <w:szCs w:val="24"/>
        </w:rPr>
        <w:t xml:space="preserve"> interest income has risen by 18 percentage points</w:t>
      </w:r>
      <w:r w:rsidR="00AE1AFD">
        <w:rPr>
          <w:rFonts w:ascii="Arial" w:hAnsi="Arial" w:cs="Arial"/>
          <w:sz w:val="24"/>
          <w:szCs w:val="24"/>
        </w:rPr>
        <w:t xml:space="preserve">, expenses within its subsidiary bank AENB, have risen by 3.6 times due to a growth in customer deposits, driven by higher interest rates, which are more favourable to those with savings.  </w:t>
      </w:r>
    </w:p>
    <w:p w14:paraId="7426B092" w14:textId="4C386790" w:rsidR="00AE1AFD" w:rsidRDefault="00AE1AFD" w:rsidP="00DF5A0E">
      <w:pPr>
        <w:rPr>
          <w:rFonts w:ascii="Arial" w:hAnsi="Arial" w:cs="Arial"/>
          <w:sz w:val="24"/>
          <w:szCs w:val="24"/>
        </w:rPr>
      </w:pPr>
      <w:r>
        <w:rPr>
          <w:rFonts w:ascii="Arial" w:hAnsi="Arial" w:cs="Arial"/>
          <w:sz w:val="24"/>
          <w:szCs w:val="24"/>
        </w:rPr>
        <w:t>These three factors demonstrate why Amex has struggled in comparison with Visa and Mastercard.</w:t>
      </w:r>
    </w:p>
    <w:p w14:paraId="6792E678" w14:textId="40F4ADCB" w:rsidR="00AE1AFD" w:rsidRDefault="00426492" w:rsidP="00DF5A0E">
      <w:pPr>
        <w:rPr>
          <w:rFonts w:ascii="Arial" w:hAnsi="Arial" w:cs="Arial"/>
          <w:sz w:val="24"/>
          <w:szCs w:val="24"/>
        </w:rPr>
      </w:pPr>
      <w:r>
        <w:rPr>
          <w:rFonts w:ascii="Arial" w:hAnsi="Arial" w:cs="Arial"/>
          <w:sz w:val="24"/>
          <w:szCs w:val="24"/>
        </w:rPr>
        <w:lastRenderedPageBreak/>
        <w:t xml:space="preserve">All face legal challenges of global legislation such the EU regulation prohibiting preferred routing and the restriction of interchange fees in some jurisdictions. In many jurisdictions surcharges imposed by merchants are permitted, which may discourage consumers from using their services, reducing transaction volume and then reducing revenue.  </w:t>
      </w:r>
    </w:p>
    <w:p w14:paraId="76E40176" w14:textId="5CAF052D" w:rsidR="003A7091" w:rsidRDefault="003A7091" w:rsidP="00DF5A0E">
      <w:pPr>
        <w:rPr>
          <w:rFonts w:ascii="Arial" w:hAnsi="Arial" w:cs="Arial"/>
          <w:sz w:val="24"/>
          <w:szCs w:val="24"/>
        </w:rPr>
      </w:pPr>
      <w:r>
        <w:rPr>
          <w:rFonts w:ascii="Arial" w:hAnsi="Arial" w:cs="Arial"/>
          <w:sz w:val="24"/>
          <w:szCs w:val="24"/>
        </w:rPr>
        <w:t>Their margins are typically higher than purely product-based businesses due to lower variable costs and economies of scale typically takes place faster. Th</w:t>
      </w:r>
      <w:r w:rsidR="00E5570C">
        <w:rPr>
          <w:rFonts w:ascii="Arial" w:hAnsi="Arial" w:cs="Arial"/>
          <w:sz w:val="24"/>
          <w:szCs w:val="24"/>
        </w:rPr>
        <w:t>is enables typically faster growth as variable costs such as material, freight, storage, and staffing are significantly lower as these are more of an issue for product-based businesses, where expansion inevitably increases variable costs.</w:t>
      </w:r>
      <w:r w:rsidR="009B130F">
        <w:rPr>
          <w:rFonts w:ascii="Arial" w:hAnsi="Arial" w:cs="Arial"/>
          <w:sz w:val="24"/>
          <w:szCs w:val="24"/>
        </w:rPr>
        <w:t xml:space="preserve"> This partially explains the higher P/E ratios of Amex, Visa and Mastercard.</w:t>
      </w:r>
    </w:p>
    <w:p w14:paraId="7FFF1C2F" w14:textId="0765D0F9" w:rsidR="002D6EBF" w:rsidRPr="002D6EBF" w:rsidRDefault="002D6EBF" w:rsidP="00DF5A0E">
      <w:pPr>
        <w:rPr>
          <w:rFonts w:ascii="Arial" w:hAnsi="Arial" w:cs="Arial"/>
          <w:b/>
          <w:bCs/>
          <w:sz w:val="24"/>
          <w:szCs w:val="24"/>
        </w:rPr>
      </w:pPr>
      <w:r w:rsidRPr="002D6EBF">
        <w:rPr>
          <w:rFonts w:ascii="Arial" w:hAnsi="Arial" w:cs="Arial"/>
          <w:b/>
          <w:bCs/>
          <w:sz w:val="24"/>
          <w:szCs w:val="24"/>
        </w:rPr>
        <w:t>What are the new markets and who are the substitutes?</w:t>
      </w:r>
    </w:p>
    <w:p w14:paraId="4739AAAD" w14:textId="63D74A9B" w:rsidR="003774EF" w:rsidRDefault="003774EF" w:rsidP="003774EF">
      <w:pPr>
        <w:rPr>
          <w:rFonts w:ascii="Arial" w:hAnsi="Arial" w:cs="Arial"/>
          <w:sz w:val="24"/>
          <w:szCs w:val="24"/>
        </w:rPr>
      </w:pPr>
      <w:r>
        <w:rPr>
          <w:rFonts w:ascii="Arial" w:hAnsi="Arial" w:cs="Arial"/>
          <w:sz w:val="24"/>
          <w:szCs w:val="24"/>
        </w:rPr>
        <w:t>New markets have emerged providing more digitalised services such as FinTech firms, c</w:t>
      </w:r>
      <w:r w:rsidR="00D95502">
        <w:rPr>
          <w:rFonts w:ascii="Arial" w:hAnsi="Arial" w:cs="Arial"/>
          <w:sz w:val="24"/>
          <w:szCs w:val="24"/>
        </w:rPr>
        <w:t>ryptocurrency</w:t>
      </w:r>
      <w:r>
        <w:rPr>
          <w:rFonts w:ascii="Arial" w:hAnsi="Arial" w:cs="Arial"/>
          <w:sz w:val="24"/>
          <w:szCs w:val="24"/>
        </w:rPr>
        <w:t xml:space="preserve"> exchanges</w:t>
      </w:r>
      <w:r w:rsidR="00D95502">
        <w:rPr>
          <w:rFonts w:ascii="Arial" w:hAnsi="Arial" w:cs="Arial"/>
          <w:sz w:val="24"/>
          <w:szCs w:val="24"/>
        </w:rPr>
        <w:t>, digital token</w:t>
      </w:r>
      <w:r>
        <w:rPr>
          <w:rFonts w:ascii="Arial" w:hAnsi="Arial" w:cs="Arial"/>
          <w:sz w:val="24"/>
          <w:szCs w:val="24"/>
        </w:rPr>
        <w:t>s</w:t>
      </w:r>
      <w:r w:rsidR="00D95502">
        <w:rPr>
          <w:rFonts w:ascii="Arial" w:hAnsi="Arial" w:cs="Arial"/>
          <w:sz w:val="24"/>
          <w:szCs w:val="24"/>
        </w:rPr>
        <w:t>, digital payment</w:t>
      </w:r>
      <w:r>
        <w:rPr>
          <w:rFonts w:ascii="Arial" w:hAnsi="Arial" w:cs="Arial"/>
          <w:sz w:val="24"/>
          <w:szCs w:val="24"/>
        </w:rPr>
        <w:t xml:space="preserve"> methods, </w:t>
      </w:r>
      <w:r w:rsidR="00D95502">
        <w:rPr>
          <w:rFonts w:ascii="Arial" w:hAnsi="Arial" w:cs="Arial"/>
          <w:sz w:val="24"/>
          <w:szCs w:val="24"/>
        </w:rPr>
        <w:t>e-wallets</w:t>
      </w:r>
      <w:r>
        <w:rPr>
          <w:rFonts w:ascii="Arial" w:hAnsi="Arial" w:cs="Arial"/>
          <w:sz w:val="24"/>
          <w:szCs w:val="24"/>
        </w:rPr>
        <w:t xml:space="preserve"> and other mobile payment services</w:t>
      </w:r>
      <w:r w:rsidR="00D95502">
        <w:rPr>
          <w:rFonts w:ascii="Arial" w:hAnsi="Arial" w:cs="Arial"/>
          <w:sz w:val="24"/>
          <w:szCs w:val="24"/>
        </w:rPr>
        <w:t>. Challenge banks</w:t>
      </w:r>
      <w:r w:rsidR="00D242F6">
        <w:rPr>
          <w:rFonts w:ascii="Arial" w:hAnsi="Arial" w:cs="Arial"/>
          <w:sz w:val="24"/>
          <w:szCs w:val="24"/>
        </w:rPr>
        <w:t xml:space="preserve"> with no physical branch</w:t>
      </w:r>
      <w:r>
        <w:rPr>
          <w:rFonts w:ascii="Arial" w:hAnsi="Arial" w:cs="Arial"/>
          <w:sz w:val="24"/>
          <w:szCs w:val="24"/>
        </w:rPr>
        <w:t xml:space="preserve"> can be seen as alternatives</w:t>
      </w:r>
      <w:r w:rsidR="00D95502">
        <w:rPr>
          <w:rFonts w:ascii="Arial" w:hAnsi="Arial" w:cs="Arial"/>
          <w:sz w:val="24"/>
          <w:szCs w:val="24"/>
        </w:rPr>
        <w:t>, some of which closed due to</w:t>
      </w:r>
      <w:r>
        <w:rPr>
          <w:rFonts w:ascii="Arial" w:hAnsi="Arial" w:cs="Arial"/>
          <w:sz w:val="24"/>
          <w:szCs w:val="24"/>
        </w:rPr>
        <w:t xml:space="preserve"> their</w:t>
      </w:r>
      <w:r w:rsidR="00D95502">
        <w:rPr>
          <w:rFonts w:ascii="Arial" w:hAnsi="Arial" w:cs="Arial"/>
          <w:sz w:val="24"/>
          <w:szCs w:val="24"/>
        </w:rPr>
        <w:t xml:space="preserve"> </w:t>
      </w:r>
      <w:r w:rsidR="00D242F6">
        <w:rPr>
          <w:rFonts w:ascii="Arial" w:hAnsi="Arial" w:cs="Arial"/>
          <w:sz w:val="24"/>
          <w:szCs w:val="24"/>
        </w:rPr>
        <w:t>inability to generate</w:t>
      </w:r>
      <w:r>
        <w:rPr>
          <w:rFonts w:ascii="Arial" w:hAnsi="Arial" w:cs="Arial"/>
          <w:sz w:val="24"/>
          <w:szCs w:val="24"/>
        </w:rPr>
        <w:t xml:space="preserve"> sufficient</w:t>
      </w:r>
      <w:r w:rsidR="00D242F6">
        <w:rPr>
          <w:rFonts w:ascii="Arial" w:hAnsi="Arial" w:cs="Arial"/>
          <w:sz w:val="24"/>
          <w:szCs w:val="24"/>
        </w:rPr>
        <w:t xml:space="preserve"> revenue to cover</w:t>
      </w:r>
      <w:r>
        <w:rPr>
          <w:rFonts w:ascii="Arial" w:hAnsi="Arial" w:cs="Arial"/>
          <w:sz w:val="24"/>
          <w:szCs w:val="24"/>
        </w:rPr>
        <w:t xml:space="preserve"> the</w:t>
      </w:r>
      <w:r w:rsidR="00D242F6">
        <w:rPr>
          <w:rFonts w:ascii="Arial" w:hAnsi="Arial" w:cs="Arial"/>
          <w:sz w:val="24"/>
          <w:szCs w:val="24"/>
        </w:rPr>
        <w:t xml:space="preserve"> interest payments on clients’ deposits</w:t>
      </w:r>
      <w:r w:rsidR="00D95502">
        <w:rPr>
          <w:rFonts w:ascii="Arial" w:hAnsi="Arial" w:cs="Arial"/>
          <w:sz w:val="24"/>
          <w:szCs w:val="24"/>
        </w:rPr>
        <w:t>.</w:t>
      </w:r>
      <w:r>
        <w:rPr>
          <w:rFonts w:ascii="Arial" w:hAnsi="Arial" w:cs="Arial"/>
          <w:sz w:val="24"/>
          <w:szCs w:val="24"/>
        </w:rPr>
        <w:t xml:space="preserve"> The 2023 run on challenger banks in US did not adversely affect Visa as was stated in its annual report.</w:t>
      </w:r>
      <w:r w:rsidR="00BF42CE">
        <w:rPr>
          <w:rFonts w:ascii="Arial" w:hAnsi="Arial" w:cs="Arial"/>
          <w:sz w:val="24"/>
          <w:szCs w:val="24"/>
        </w:rPr>
        <w:t xml:space="preserve"> Amex has arguably kept up with challenger banks by expanding its own subsidiary bank.</w:t>
      </w:r>
    </w:p>
    <w:p w14:paraId="7E62A2D7" w14:textId="600CA61B" w:rsidR="000F095C" w:rsidRDefault="00A104D1" w:rsidP="00DA18E0">
      <w:pPr>
        <w:rPr>
          <w:rFonts w:ascii="Arial" w:hAnsi="Arial" w:cs="Arial"/>
          <w:sz w:val="24"/>
          <w:szCs w:val="24"/>
        </w:rPr>
      </w:pPr>
      <w:r>
        <w:rPr>
          <w:rFonts w:ascii="Arial" w:hAnsi="Arial" w:cs="Arial"/>
          <w:sz w:val="24"/>
          <w:szCs w:val="24"/>
        </w:rPr>
        <w:t xml:space="preserve">PayPal is one of the most trusted payment systems with its advanced encryption, protecting every transaction. PayPal operates its own fully integrated mobile app for users who can perform all necessary function in one place. (PayPal website as source). Visa is directly collaborating with digital and mobile payment system providers. Its partnership with Western Union is an example. Visa is also investing in its own capabilities through Visa + by enabling clients to link aliases such as mobile numbers and emails to payment details, similar to PayPal’s model. </w:t>
      </w:r>
      <w:r w:rsidR="00DA18E0">
        <w:rPr>
          <w:rFonts w:ascii="Arial" w:hAnsi="Arial" w:cs="Arial"/>
          <w:sz w:val="24"/>
          <w:szCs w:val="24"/>
        </w:rPr>
        <w:t>Visa has established t</w:t>
      </w:r>
      <w:r>
        <w:rPr>
          <w:rFonts w:ascii="Arial" w:hAnsi="Arial" w:cs="Arial"/>
          <w:sz w:val="24"/>
          <w:szCs w:val="24"/>
        </w:rPr>
        <w:t xml:space="preserve">echnology platforms through its data </w:t>
      </w:r>
      <w:proofErr w:type="spellStart"/>
      <w:r>
        <w:rPr>
          <w:rFonts w:ascii="Arial" w:hAnsi="Arial" w:cs="Arial"/>
          <w:sz w:val="24"/>
          <w:szCs w:val="24"/>
        </w:rPr>
        <w:t>centers</w:t>
      </w:r>
      <w:proofErr w:type="spellEnd"/>
      <w:r>
        <w:rPr>
          <w:rFonts w:ascii="Arial" w:hAnsi="Arial" w:cs="Arial"/>
          <w:sz w:val="24"/>
          <w:szCs w:val="24"/>
        </w:rPr>
        <w:t xml:space="preserve">. </w:t>
      </w:r>
      <w:r w:rsidR="00DA18E0">
        <w:rPr>
          <w:rFonts w:ascii="Arial" w:hAnsi="Arial" w:cs="Arial"/>
          <w:sz w:val="24"/>
          <w:szCs w:val="24"/>
        </w:rPr>
        <w:t>However, v</w:t>
      </w:r>
      <w:r>
        <w:rPr>
          <w:rFonts w:ascii="Arial" w:hAnsi="Arial" w:cs="Arial"/>
          <w:sz w:val="24"/>
          <w:szCs w:val="24"/>
        </w:rPr>
        <w:t xml:space="preserve">arious strategic investments and acquisitions may not deliver. </w:t>
      </w:r>
      <w:r w:rsidR="00DA18E0">
        <w:rPr>
          <w:rFonts w:ascii="Arial" w:hAnsi="Arial" w:cs="Arial"/>
          <w:sz w:val="24"/>
          <w:szCs w:val="24"/>
        </w:rPr>
        <w:t>This c</w:t>
      </w:r>
      <w:r>
        <w:rPr>
          <w:rFonts w:ascii="Arial" w:hAnsi="Arial" w:cs="Arial"/>
          <w:sz w:val="24"/>
          <w:szCs w:val="24"/>
        </w:rPr>
        <w:t>ould disrupt ongoing operations</w:t>
      </w:r>
      <w:r w:rsidR="00DA18E0">
        <w:rPr>
          <w:rFonts w:ascii="Arial" w:hAnsi="Arial" w:cs="Arial"/>
          <w:sz w:val="24"/>
          <w:szCs w:val="24"/>
        </w:rPr>
        <w:t xml:space="preserve"> and Visa may struggle to integrate this with existing operations, an issue which PayPal will not</w:t>
      </w:r>
      <w:r w:rsidR="00271775">
        <w:rPr>
          <w:rFonts w:ascii="Arial" w:hAnsi="Arial" w:cs="Arial"/>
          <w:sz w:val="24"/>
          <w:szCs w:val="24"/>
        </w:rPr>
        <w:t xml:space="preserve"> likely</w:t>
      </w:r>
      <w:r w:rsidR="00DA18E0">
        <w:rPr>
          <w:rFonts w:ascii="Arial" w:hAnsi="Arial" w:cs="Arial"/>
          <w:sz w:val="24"/>
          <w:szCs w:val="24"/>
        </w:rPr>
        <w:t xml:space="preserve"> encounter. Amex is arguably trying to keep up with PayPal. Its costs have been materially driven by trying to develop its technology. Amex is somewhat reliant on driving revenue through incentives and rewards through its partnerships with Marriott, </w:t>
      </w:r>
      <w:r w:rsidR="00DA18E0">
        <w:rPr>
          <w:rFonts w:ascii="Arial" w:hAnsi="Arial" w:cs="Arial"/>
          <w:bCs/>
          <w:sz w:val="24"/>
          <w:szCs w:val="24"/>
        </w:rPr>
        <w:t>British Airways and others. This is an important niche for</w:t>
      </w:r>
      <w:r w:rsidR="00DA18E0">
        <w:rPr>
          <w:rFonts w:ascii="Arial" w:hAnsi="Arial" w:cs="Arial"/>
          <w:sz w:val="24"/>
          <w:szCs w:val="24"/>
        </w:rPr>
        <w:t xml:space="preserve"> Amex as it has enjoyed an increase in the growth of premium portfolios pushing up net card fees. Whilst its overall increase in expenses has been driven mainly by incentives and rewards, this has been partially offset by lower redemption costs and changes in expected redemption behaviours. Amex has focused on areas where customers would earn higher levels of rewards. </w:t>
      </w:r>
    </w:p>
    <w:p w14:paraId="0E163511" w14:textId="53EA2081" w:rsidR="0061119A" w:rsidRDefault="00DA18E0" w:rsidP="00DA18E0">
      <w:pPr>
        <w:rPr>
          <w:rFonts w:ascii="Arial" w:hAnsi="Arial" w:cs="Arial"/>
          <w:sz w:val="24"/>
          <w:szCs w:val="24"/>
        </w:rPr>
      </w:pPr>
      <w:r>
        <w:rPr>
          <w:rFonts w:ascii="Arial" w:hAnsi="Arial" w:cs="Arial"/>
          <w:sz w:val="24"/>
          <w:szCs w:val="24"/>
        </w:rPr>
        <w:t>Coinbase has emerged as a new competitor</w:t>
      </w:r>
      <w:r w:rsidR="000F095C">
        <w:rPr>
          <w:rFonts w:ascii="Arial" w:hAnsi="Arial" w:cs="Arial"/>
          <w:sz w:val="24"/>
          <w:szCs w:val="24"/>
        </w:rPr>
        <w:t xml:space="preserve">. With no headquarters or premises, its staff all work remotely. This saves fixed costs and variable costs. Coinbase has helped set the trend towards remote working, avoiding costs such as building leases and vast machinery. Visa may face difficulties in providing such flexibility for employees as stated in its annual report. Amex owns and leases numerous </w:t>
      </w:r>
      <w:r w:rsidR="000F095C">
        <w:rPr>
          <w:rFonts w:ascii="Arial" w:hAnsi="Arial" w:cs="Arial"/>
          <w:sz w:val="24"/>
          <w:szCs w:val="24"/>
        </w:rPr>
        <w:lastRenderedPageBreak/>
        <w:t xml:space="preserve">properties globally. This points towards automation trends, potentially reducing variable costs as Coinbase relies on fewer staff even with expansion. However, Coinbase is heavily reliant on strong performing cryptocurrencies and high trading volumes from its customers. This can be reflected by its inability to deliver a net profit, during periods of downturn within the crypto market. Only when cryptocurrency is on the rise, can Coinbase achieve net margins in excess of 20%. </w:t>
      </w:r>
      <w:r w:rsidR="004929C5">
        <w:rPr>
          <w:rFonts w:ascii="Arial" w:hAnsi="Arial" w:cs="Arial"/>
          <w:sz w:val="24"/>
          <w:szCs w:val="24"/>
        </w:rPr>
        <w:t>Therefore, Coinbase is a less suitable substitute to card companies, some of which are forming partnerships with payment providers who have already adopted the use of cryptocurrency.</w:t>
      </w:r>
    </w:p>
    <w:p w14:paraId="7DE85782" w14:textId="7DDA3230" w:rsidR="0061119A" w:rsidRDefault="00E717FD" w:rsidP="00DA18E0">
      <w:pPr>
        <w:rPr>
          <w:rFonts w:ascii="Arial" w:hAnsi="Arial" w:cs="Arial"/>
          <w:sz w:val="24"/>
          <w:szCs w:val="24"/>
        </w:rPr>
      </w:pPr>
      <w:r>
        <w:rPr>
          <w:rFonts w:ascii="Arial" w:hAnsi="Arial" w:cs="Arial"/>
          <w:noProof/>
          <w:sz w:val="24"/>
          <w:szCs w:val="24"/>
        </w:rPr>
        <w:drawing>
          <wp:inline distT="0" distB="0" distL="0" distR="0" wp14:anchorId="36C45559" wp14:editId="36D149AE">
            <wp:extent cx="5654040" cy="2453640"/>
            <wp:effectExtent l="0" t="0" r="3810" b="3810"/>
            <wp:docPr id="119416519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9222BA8" w14:textId="32583B51" w:rsidR="00DA18E0" w:rsidRDefault="004929C5" w:rsidP="00DA18E0">
      <w:pPr>
        <w:rPr>
          <w:rFonts w:ascii="Arial" w:hAnsi="Arial" w:cs="Arial"/>
          <w:sz w:val="24"/>
          <w:szCs w:val="24"/>
        </w:rPr>
      </w:pPr>
      <w:r>
        <w:rPr>
          <w:rFonts w:ascii="Arial" w:hAnsi="Arial" w:cs="Arial"/>
          <w:sz w:val="24"/>
          <w:szCs w:val="24"/>
        </w:rPr>
        <w:t xml:space="preserve">Visa and its peers have demonstrated their ability to thrive during periods of volatility, which Coinbase has struggled to achieve. This is partially because they rely on multiple stable fiat currencies, hedging the risk of adverse currency movements. This can be demonstrated by Visa’s 11% revenue growth from the previous year being mainly due to a growth in cross-border transactions, despite suspending operations in Russia (accounting for 4% global revenue circa).  </w:t>
      </w:r>
    </w:p>
    <w:p w14:paraId="536DD6B4" w14:textId="2484CB09" w:rsidR="004D00C3" w:rsidRDefault="004D00C3" w:rsidP="00DA18E0">
      <w:pPr>
        <w:rPr>
          <w:rFonts w:ascii="Arial" w:hAnsi="Arial" w:cs="Arial"/>
          <w:sz w:val="24"/>
          <w:szCs w:val="24"/>
        </w:rPr>
      </w:pPr>
      <w:r>
        <w:rPr>
          <w:rFonts w:ascii="Arial" w:hAnsi="Arial" w:cs="Arial"/>
          <w:sz w:val="24"/>
          <w:szCs w:val="24"/>
        </w:rPr>
        <w:t xml:space="preserve">Wise provides a new threat with its fully digital service platform. It provides bespoke services through its three main products Wise Account, Wise Business and Wise Platform. Funds can be transferred rapidly and in high volumes. Growing demand can be reflected in its continuous year-over-year growth rate in revenue suggesting greater demand for its services. </w:t>
      </w:r>
    </w:p>
    <w:p w14:paraId="34C2FB4B" w14:textId="2C8C4110" w:rsidR="004D00C3" w:rsidRDefault="004D00C3" w:rsidP="00DA18E0">
      <w:pPr>
        <w:rPr>
          <w:rFonts w:ascii="Arial" w:hAnsi="Arial" w:cs="Arial"/>
          <w:sz w:val="24"/>
          <w:szCs w:val="24"/>
        </w:rPr>
      </w:pPr>
      <w:r>
        <w:rPr>
          <w:rFonts w:ascii="Arial" w:hAnsi="Arial" w:cs="Arial"/>
          <w:noProof/>
          <w:sz w:val="24"/>
          <w:szCs w:val="24"/>
        </w:rPr>
        <w:drawing>
          <wp:inline distT="0" distB="0" distL="0" distR="0" wp14:anchorId="1BA8BD2F" wp14:editId="2C730741">
            <wp:extent cx="3413760" cy="1722120"/>
            <wp:effectExtent l="0" t="0" r="15240" b="11430"/>
            <wp:docPr id="13122810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90135E" w14:textId="01CA0DC4" w:rsidR="00282778" w:rsidRPr="005F73B5" w:rsidRDefault="004D00C3" w:rsidP="00DF5A0E">
      <w:pPr>
        <w:rPr>
          <w:rFonts w:ascii="Arial" w:hAnsi="Arial" w:cs="Arial"/>
          <w:sz w:val="24"/>
          <w:szCs w:val="24"/>
        </w:rPr>
      </w:pPr>
      <w:r>
        <w:rPr>
          <w:rFonts w:ascii="Arial" w:hAnsi="Arial" w:cs="Arial"/>
          <w:sz w:val="24"/>
          <w:szCs w:val="24"/>
        </w:rPr>
        <w:lastRenderedPageBreak/>
        <w:t xml:space="preserve">Coupled with its exponential revenue growth, Wise’s P/E ratio </w:t>
      </w:r>
      <w:r w:rsidR="00B40EF0">
        <w:rPr>
          <w:rFonts w:ascii="Arial" w:hAnsi="Arial" w:cs="Arial"/>
          <w:sz w:val="24"/>
          <w:szCs w:val="24"/>
        </w:rPr>
        <w:t xml:space="preserve">is far superior to the industry average and its peers such as Western Union and PayPal. This suggests a potential for rapid growth and Wise has the potential to take a large portion of the market share. Arguably, Wise has been an overlooked competitor in the eyes of Visa, Amex and Mastercard. If larger corporations cannot compete with Wise, we may see some of them trying to form partnerships with Wise or even acquire it if possible.  </w:t>
      </w:r>
    </w:p>
    <w:tbl>
      <w:tblPr>
        <w:tblStyle w:val="TableGrid"/>
        <w:tblW w:w="10316" w:type="dxa"/>
        <w:tblLook w:val="04A0" w:firstRow="1" w:lastRow="0" w:firstColumn="1" w:lastColumn="0" w:noHBand="0" w:noVBand="1"/>
      </w:tblPr>
      <w:tblGrid>
        <w:gridCol w:w="2579"/>
        <w:gridCol w:w="2579"/>
        <w:gridCol w:w="2579"/>
        <w:gridCol w:w="2579"/>
      </w:tblGrid>
      <w:tr w:rsidR="007168BF" w14:paraId="1EFC1DCA" w14:textId="77777777" w:rsidTr="005F73B5">
        <w:trPr>
          <w:trHeight w:val="4188"/>
        </w:trPr>
        <w:tc>
          <w:tcPr>
            <w:tcW w:w="2579" w:type="dxa"/>
          </w:tcPr>
          <w:p w14:paraId="512604BB" w14:textId="155C10BF" w:rsidR="007168BF" w:rsidRPr="00BF42CE" w:rsidRDefault="007168BF" w:rsidP="00DF5A0E">
            <w:pPr>
              <w:rPr>
                <w:rFonts w:ascii="Arial" w:hAnsi="Arial" w:cs="Arial"/>
                <w:b/>
                <w:bCs/>
                <w:sz w:val="24"/>
                <w:szCs w:val="24"/>
              </w:rPr>
            </w:pPr>
            <w:r w:rsidRPr="00BF42CE">
              <w:rPr>
                <w:rFonts w:ascii="Arial" w:hAnsi="Arial" w:cs="Arial"/>
                <w:b/>
                <w:bCs/>
                <w:sz w:val="24"/>
                <w:szCs w:val="24"/>
              </w:rPr>
              <w:t>Strengths</w:t>
            </w:r>
            <w:r w:rsidR="00BF42CE" w:rsidRPr="00BF42CE">
              <w:rPr>
                <w:rFonts w:ascii="Arial" w:hAnsi="Arial" w:cs="Arial"/>
                <w:b/>
                <w:bCs/>
                <w:sz w:val="24"/>
                <w:szCs w:val="24"/>
              </w:rPr>
              <w:t>:</w:t>
            </w:r>
          </w:p>
          <w:p w14:paraId="418B2C7F" w14:textId="77777777" w:rsidR="00BF42CE" w:rsidRDefault="00BF42CE" w:rsidP="00DF5A0E">
            <w:pPr>
              <w:rPr>
                <w:rFonts w:ascii="Arial" w:hAnsi="Arial" w:cs="Arial"/>
                <w:sz w:val="24"/>
                <w:szCs w:val="24"/>
              </w:rPr>
            </w:pPr>
          </w:p>
          <w:p w14:paraId="56D5BB33" w14:textId="77777777" w:rsidR="00BF42CE" w:rsidRDefault="00BF42CE" w:rsidP="00DF5A0E">
            <w:pPr>
              <w:rPr>
                <w:rFonts w:ascii="Arial" w:hAnsi="Arial" w:cs="Arial"/>
                <w:sz w:val="24"/>
                <w:szCs w:val="24"/>
              </w:rPr>
            </w:pPr>
            <w:r>
              <w:rPr>
                <w:rFonts w:ascii="Arial" w:hAnsi="Arial" w:cs="Arial"/>
                <w:sz w:val="24"/>
                <w:szCs w:val="24"/>
              </w:rPr>
              <w:t>High net profit margins, cross border expansion, strong global presence, conversion of transaction growth into revenue and profitability. Thriving during volatility.</w:t>
            </w:r>
          </w:p>
          <w:p w14:paraId="2D0C5B30" w14:textId="62F42AFA" w:rsidR="00271775" w:rsidRDefault="00271775" w:rsidP="00DF5A0E">
            <w:pPr>
              <w:rPr>
                <w:rFonts w:ascii="Arial" w:hAnsi="Arial" w:cs="Arial"/>
                <w:sz w:val="24"/>
                <w:szCs w:val="24"/>
              </w:rPr>
            </w:pPr>
            <w:r>
              <w:rPr>
                <w:rFonts w:ascii="Arial" w:hAnsi="Arial" w:cs="Arial"/>
                <w:sz w:val="24"/>
                <w:szCs w:val="24"/>
              </w:rPr>
              <w:t>Not solely reliant on acquisitions for further innovation.</w:t>
            </w:r>
          </w:p>
        </w:tc>
        <w:tc>
          <w:tcPr>
            <w:tcW w:w="2579" w:type="dxa"/>
          </w:tcPr>
          <w:p w14:paraId="721482CD" w14:textId="77777777" w:rsidR="007168BF" w:rsidRPr="00BF42CE" w:rsidRDefault="007168BF" w:rsidP="00DF5A0E">
            <w:pPr>
              <w:rPr>
                <w:rFonts w:ascii="Arial" w:hAnsi="Arial" w:cs="Arial"/>
                <w:b/>
                <w:bCs/>
                <w:sz w:val="24"/>
                <w:szCs w:val="24"/>
              </w:rPr>
            </w:pPr>
            <w:r w:rsidRPr="00BF42CE">
              <w:rPr>
                <w:rFonts w:ascii="Arial" w:hAnsi="Arial" w:cs="Arial"/>
                <w:b/>
                <w:bCs/>
                <w:sz w:val="24"/>
                <w:szCs w:val="24"/>
              </w:rPr>
              <w:t>Weaknesses</w:t>
            </w:r>
            <w:r w:rsidR="00BF42CE" w:rsidRPr="00BF42CE">
              <w:rPr>
                <w:rFonts w:ascii="Arial" w:hAnsi="Arial" w:cs="Arial"/>
                <w:b/>
                <w:bCs/>
                <w:sz w:val="24"/>
                <w:szCs w:val="24"/>
              </w:rPr>
              <w:t>:</w:t>
            </w:r>
          </w:p>
          <w:p w14:paraId="29CBDB6C" w14:textId="77777777" w:rsidR="00BF42CE" w:rsidRPr="00BF42CE" w:rsidRDefault="00BF42CE" w:rsidP="00DF5A0E">
            <w:pPr>
              <w:rPr>
                <w:rFonts w:ascii="Arial" w:hAnsi="Arial" w:cs="Arial"/>
                <w:b/>
                <w:bCs/>
                <w:sz w:val="24"/>
                <w:szCs w:val="24"/>
              </w:rPr>
            </w:pPr>
          </w:p>
          <w:p w14:paraId="3FAAE791" w14:textId="670F8B6A" w:rsidR="00271775" w:rsidRDefault="00BF42CE" w:rsidP="00DF5A0E">
            <w:pPr>
              <w:rPr>
                <w:rFonts w:ascii="Arial" w:hAnsi="Arial" w:cs="Arial"/>
                <w:sz w:val="24"/>
                <w:szCs w:val="24"/>
              </w:rPr>
            </w:pPr>
            <w:r>
              <w:rPr>
                <w:rFonts w:ascii="Arial" w:hAnsi="Arial" w:cs="Arial"/>
                <w:sz w:val="24"/>
                <w:szCs w:val="24"/>
              </w:rPr>
              <w:t>Transitioning towards remote working for staff and flexibility</w:t>
            </w:r>
            <w:r w:rsidR="00271775">
              <w:rPr>
                <w:rFonts w:ascii="Arial" w:hAnsi="Arial" w:cs="Arial"/>
                <w:sz w:val="24"/>
                <w:szCs w:val="24"/>
              </w:rPr>
              <w:t>, resulting in rising variable costs.</w:t>
            </w:r>
          </w:p>
          <w:p w14:paraId="5824F35E" w14:textId="77777777" w:rsidR="00271775" w:rsidRDefault="00271775" w:rsidP="00DF5A0E">
            <w:pPr>
              <w:rPr>
                <w:rFonts w:ascii="Arial" w:hAnsi="Arial" w:cs="Arial"/>
                <w:sz w:val="24"/>
                <w:szCs w:val="24"/>
              </w:rPr>
            </w:pPr>
          </w:p>
          <w:p w14:paraId="3BC2C663" w14:textId="448F1B02" w:rsidR="00271775" w:rsidRDefault="00271775" w:rsidP="00DF5A0E">
            <w:pPr>
              <w:rPr>
                <w:rFonts w:ascii="Arial" w:hAnsi="Arial" w:cs="Arial"/>
                <w:sz w:val="24"/>
                <w:szCs w:val="24"/>
              </w:rPr>
            </w:pPr>
            <w:r>
              <w:rPr>
                <w:rFonts w:ascii="Arial" w:hAnsi="Arial" w:cs="Arial"/>
                <w:sz w:val="24"/>
                <w:szCs w:val="24"/>
              </w:rPr>
              <w:t>Keeping up with specialised digital payment service providers.</w:t>
            </w:r>
          </w:p>
          <w:p w14:paraId="0CE33B43" w14:textId="79404E5E" w:rsidR="00271775" w:rsidRDefault="00271775" w:rsidP="00DF5A0E">
            <w:pPr>
              <w:rPr>
                <w:rFonts w:ascii="Arial" w:hAnsi="Arial" w:cs="Arial"/>
                <w:sz w:val="24"/>
                <w:szCs w:val="24"/>
              </w:rPr>
            </w:pPr>
          </w:p>
          <w:p w14:paraId="4E12FF3A" w14:textId="7E4AA29E" w:rsidR="00BF42CE" w:rsidRPr="00BF42CE" w:rsidRDefault="00BF42CE" w:rsidP="00DF5A0E">
            <w:pPr>
              <w:rPr>
                <w:rFonts w:ascii="Arial" w:hAnsi="Arial" w:cs="Arial"/>
                <w:sz w:val="24"/>
                <w:szCs w:val="24"/>
              </w:rPr>
            </w:pPr>
          </w:p>
        </w:tc>
        <w:tc>
          <w:tcPr>
            <w:tcW w:w="2579" w:type="dxa"/>
          </w:tcPr>
          <w:p w14:paraId="349B3384" w14:textId="77777777" w:rsidR="007168BF" w:rsidRDefault="007168BF" w:rsidP="00DF5A0E">
            <w:pPr>
              <w:rPr>
                <w:rFonts w:ascii="Arial" w:hAnsi="Arial" w:cs="Arial"/>
                <w:b/>
                <w:bCs/>
                <w:sz w:val="24"/>
                <w:szCs w:val="24"/>
              </w:rPr>
            </w:pPr>
            <w:r w:rsidRPr="00BF42CE">
              <w:rPr>
                <w:rFonts w:ascii="Arial" w:hAnsi="Arial" w:cs="Arial"/>
                <w:b/>
                <w:bCs/>
                <w:sz w:val="24"/>
                <w:szCs w:val="24"/>
              </w:rPr>
              <w:t>Opportunities</w:t>
            </w:r>
            <w:r w:rsidR="00BF42CE" w:rsidRPr="00BF42CE">
              <w:rPr>
                <w:rFonts w:ascii="Arial" w:hAnsi="Arial" w:cs="Arial"/>
                <w:b/>
                <w:bCs/>
                <w:sz w:val="24"/>
                <w:szCs w:val="24"/>
              </w:rPr>
              <w:t>:</w:t>
            </w:r>
          </w:p>
          <w:p w14:paraId="3954949F" w14:textId="77777777" w:rsidR="00BF42CE" w:rsidRDefault="00BF42CE" w:rsidP="00DF5A0E">
            <w:pPr>
              <w:rPr>
                <w:rFonts w:ascii="Arial" w:hAnsi="Arial" w:cs="Arial"/>
                <w:b/>
                <w:bCs/>
                <w:sz w:val="24"/>
                <w:szCs w:val="24"/>
              </w:rPr>
            </w:pPr>
          </w:p>
          <w:p w14:paraId="49D63627" w14:textId="4544AAB7" w:rsidR="00BF42CE" w:rsidRPr="00BF42CE" w:rsidRDefault="00BF42CE" w:rsidP="00DF5A0E">
            <w:pPr>
              <w:rPr>
                <w:rFonts w:ascii="Arial" w:hAnsi="Arial" w:cs="Arial"/>
                <w:sz w:val="24"/>
                <w:szCs w:val="24"/>
              </w:rPr>
            </w:pPr>
            <w:r>
              <w:rPr>
                <w:rFonts w:ascii="Arial" w:hAnsi="Arial" w:cs="Arial"/>
                <w:sz w:val="24"/>
                <w:szCs w:val="24"/>
              </w:rPr>
              <w:t>Joining the AI race. Developing Visa Plus, expanding its own capabilities. Acquiring and/or investing in Fintech firms with established digital ca</w:t>
            </w:r>
            <w:r w:rsidR="001542EA">
              <w:rPr>
                <w:rFonts w:ascii="Arial" w:hAnsi="Arial" w:cs="Arial"/>
                <w:sz w:val="24"/>
                <w:szCs w:val="24"/>
              </w:rPr>
              <w:t>p</w:t>
            </w:r>
            <w:r>
              <w:rPr>
                <w:rFonts w:ascii="Arial" w:hAnsi="Arial" w:cs="Arial"/>
                <w:sz w:val="24"/>
                <w:szCs w:val="24"/>
              </w:rPr>
              <w:t>abilities.</w:t>
            </w:r>
            <w:r w:rsidR="00271775">
              <w:rPr>
                <w:rFonts w:ascii="Arial" w:hAnsi="Arial" w:cs="Arial"/>
                <w:sz w:val="24"/>
                <w:szCs w:val="24"/>
              </w:rPr>
              <w:t xml:space="preserve"> Faster decarbonisation being service based.</w:t>
            </w:r>
          </w:p>
        </w:tc>
        <w:tc>
          <w:tcPr>
            <w:tcW w:w="2579" w:type="dxa"/>
          </w:tcPr>
          <w:p w14:paraId="1DE8DBD6" w14:textId="77777777" w:rsidR="007168BF" w:rsidRDefault="007168BF" w:rsidP="00DF5A0E">
            <w:pPr>
              <w:rPr>
                <w:rFonts w:ascii="Arial" w:hAnsi="Arial" w:cs="Arial"/>
                <w:b/>
                <w:bCs/>
                <w:sz w:val="24"/>
                <w:szCs w:val="24"/>
              </w:rPr>
            </w:pPr>
            <w:r w:rsidRPr="00BF42CE">
              <w:rPr>
                <w:rFonts w:ascii="Arial" w:hAnsi="Arial" w:cs="Arial"/>
                <w:b/>
                <w:bCs/>
                <w:sz w:val="24"/>
                <w:szCs w:val="24"/>
              </w:rPr>
              <w:t>Threats</w:t>
            </w:r>
            <w:r w:rsidR="00BF42CE" w:rsidRPr="00BF42CE">
              <w:rPr>
                <w:rFonts w:ascii="Arial" w:hAnsi="Arial" w:cs="Arial"/>
                <w:b/>
                <w:bCs/>
                <w:sz w:val="24"/>
                <w:szCs w:val="24"/>
              </w:rPr>
              <w:t>:</w:t>
            </w:r>
          </w:p>
          <w:p w14:paraId="6C80DE56" w14:textId="77777777" w:rsidR="00BF42CE" w:rsidRDefault="00BF42CE" w:rsidP="00DF5A0E">
            <w:pPr>
              <w:rPr>
                <w:rFonts w:ascii="Arial" w:hAnsi="Arial" w:cs="Arial"/>
                <w:b/>
                <w:bCs/>
                <w:sz w:val="24"/>
                <w:szCs w:val="24"/>
              </w:rPr>
            </w:pPr>
          </w:p>
          <w:p w14:paraId="5DDCCE07" w14:textId="77777777" w:rsidR="00BF42CE" w:rsidRDefault="00BF42CE" w:rsidP="00DF5A0E">
            <w:pPr>
              <w:rPr>
                <w:rFonts w:ascii="Arial" w:hAnsi="Arial" w:cs="Arial"/>
                <w:sz w:val="24"/>
                <w:szCs w:val="24"/>
              </w:rPr>
            </w:pPr>
            <w:r>
              <w:rPr>
                <w:rFonts w:ascii="Arial" w:hAnsi="Arial" w:cs="Arial"/>
                <w:sz w:val="24"/>
                <w:szCs w:val="24"/>
              </w:rPr>
              <w:t xml:space="preserve">The rise of Wire. </w:t>
            </w:r>
          </w:p>
          <w:p w14:paraId="35728520" w14:textId="77777777" w:rsidR="001542EA" w:rsidRDefault="00271775" w:rsidP="00DF5A0E">
            <w:pPr>
              <w:rPr>
                <w:rFonts w:ascii="Arial" w:hAnsi="Arial" w:cs="Arial"/>
                <w:sz w:val="24"/>
                <w:szCs w:val="24"/>
              </w:rPr>
            </w:pPr>
            <w:r>
              <w:rPr>
                <w:rFonts w:ascii="Arial" w:hAnsi="Arial" w:cs="Arial"/>
                <w:sz w:val="24"/>
                <w:szCs w:val="24"/>
              </w:rPr>
              <w:t xml:space="preserve">Digital integration with existing services. </w:t>
            </w:r>
          </w:p>
          <w:p w14:paraId="13329748" w14:textId="77777777" w:rsidR="00271775" w:rsidRDefault="00271775" w:rsidP="00DF5A0E">
            <w:pPr>
              <w:rPr>
                <w:rFonts w:ascii="Arial" w:hAnsi="Arial" w:cs="Arial"/>
                <w:sz w:val="24"/>
                <w:szCs w:val="24"/>
              </w:rPr>
            </w:pPr>
          </w:p>
          <w:p w14:paraId="0341F75B" w14:textId="77777777" w:rsidR="00271775" w:rsidRDefault="00271775" w:rsidP="00DF5A0E">
            <w:pPr>
              <w:rPr>
                <w:rFonts w:ascii="Arial" w:hAnsi="Arial" w:cs="Arial"/>
                <w:sz w:val="24"/>
                <w:szCs w:val="24"/>
              </w:rPr>
            </w:pPr>
            <w:r>
              <w:rPr>
                <w:rFonts w:ascii="Arial" w:hAnsi="Arial" w:cs="Arial"/>
                <w:sz w:val="24"/>
                <w:szCs w:val="24"/>
              </w:rPr>
              <w:t>Managing the inherent risks of AI.</w:t>
            </w:r>
          </w:p>
          <w:p w14:paraId="652CC281" w14:textId="77777777" w:rsidR="00271775" w:rsidRDefault="00271775" w:rsidP="00DF5A0E">
            <w:pPr>
              <w:rPr>
                <w:rFonts w:ascii="Arial" w:hAnsi="Arial" w:cs="Arial"/>
                <w:sz w:val="24"/>
                <w:szCs w:val="24"/>
              </w:rPr>
            </w:pPr>
          </w:p>
          <w:p w14:paraId="39E84717" w14:textId="73FC0E12" w:rsidR="00271775" w:rsidRPr="00BF42CE" w:rsidRDefault="00271775" w:rsidP="00DF5A0E">
            <w:pPr>
              <w:rPr>
                <w:rFonts w:ascii="Arial" w:hAnsi="Arial" w:cs="Arial"/>
                <w:sz w:val="24"/>
                <w:szCs w:val="24"/>
              </w:rPr>
            </w:pPr>
            <w:r>
              <w:rPr>
                <w:rFonts w:ascii="Arial" w:hAnsi="Arial" w:cs="Arial"/>
                <w:sz w:val="24"/>
                <w:szCs w:val="24"/>
              </w:rPr>
              <w:t>Acquisitions and investments may not succeed.</w:t>
            </w:r>
          </w:p>
        </w:tc>
      </w:tr>
    </w:tbl>
    <w:p w14:paraId="6C78F598" w14:textId="50893791" w:rsidR="007168BF" w:rsidRDefault="005F73B5" w:rsidP="005F73B5">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29792083" wp14:editId="2B05676B">
                <wp:simplePos x="0" y="0"/>
                <wp:positionH relativeFrom="margin">
                  <wp:posOffset>-579120</wp:posOffset>
                </wp:positionH>
                <wp:positionV relativeFrom="paragraph">
                  <wp:posOffset>60325</wp:posOffset>
                </wp:positionV>
                <wp:extent cx="2087880" cy="2727960"/>
                <wp:effectExtent l="0" t="0" r="26670" b="15240"/>
                <wp:wrapNone/>
                <wp:docPr id="488425807" name="Text Box 11"/>
                <wp:cNvGraphicFramePr/>
                <a:graphic xmlns:a="http://schemas.openxmlformats.org/drawingml/2006/main">
                  <a:graphicData uri="http://schemas.microsoft.com/office/word/2010/wordprocessingShape">
                    <wps:wsp>
                      <wps:cNvSpPr txBox="1"/>
                      <wps:spPr>
                        <a:xfrm>
                          <a:off x="0" y="0"/>
                          <a:ext cx="2087880" cy="2727960"/>
                        </a:xfrm>
                        <a:prstGeom prst="rect">
                          <a:avLst/>
                        </a:prstGeom>
                        <a:solidFill>
                          <a:schemeClr val="lt1"/>
                        </a:solidFill>
                        <a:ln w="6350">
                          <a:solidFill>
                            <a:prstClr val="black"/>
                          </a:solidFill>
                        </a:ln>
                      </wps:spPr>
                      <wps:txbx>
                        <w:txbxContent>
                          <w:p w14:paraId="15F97F8B" w14:textId="611D08C4" w:rsidR="00B13A86" w:rsidRPr="005F73B5" w:rsidRDefault="00B13A86">
                            <w:pPr>
                              <w:rPr>
                                <w:b/>
                                <w:bCs/>
                              </w:rPr>
                            </w:pPr>
                            <w:r w:rsidRPr="005F73B5">
                              <w:rPr>
                                <w:b/>
                                <w:bCs/>
                              </w:rPr>
                              <w:t>Political:</w:t>
                            </w:r>
                          </w:p>
                          <w:p w14:paraId="609DAFED" w14:textId="262720FE" w:rsidR="00B13A86" w:rsidRDefault="00B13A86">
                            <w:r>
                              <w:t>Wars and changes in governments may determine future restrictions or provide new business in certain jurisdictions.</w:t>
                            </w:r>
                            <w:r w:rsidR="005F73B5">
                              <w:t xml:space="preserve"> Competition restrictions may affect future acquisitions. Sanctions and trade tensions around the world. Trends towards nationalism and protectionism could lead to further suspension of operations in other regions.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92083" id="_x0000_t202" coordsize="21600,21600" o:spt="202" path="m,l,21600r21600,l21600,xe">
                <v:stroke joinstyle="miter"/>
                <v:path gradientshapeok="t" o:connecttype="rect"/>
              </v:shapetype>
              <v:shape id="Text Box 11" o:spid="_x0000_s1026" type="#_x0000_t202" style="position:absolute;margin-left:-45.6pt;margin-top:4.75pt;width:164.4pt;height:214.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" fillcolor="white [3201]" strokeweight=".5pt">
                <v:textbox>
                  <w:txbxContent>
                    <w:p w14:paraId="15F97F8B" w14:textId="611D08C4" w:rsidR="00B13A86" w:rsidRPr="005F73B5" w:rsidRDefault="00B13A86">
                      <w:pPr>
                        <w:rPr>
                          <w:b/>
                          <w:bCs/>
                        </w:rPr>
                      </w:pPr>
                      <w:r w:rsidRPr="005F73B5">
                        <w:rPr>
                          <w:b/>
                          <w:bCs/>
                        </w:rPr>
                        <w:t>Political:</w:t>
                      </w:r>
                    </w:p>
                    <w:p w14:paraId="609DAFED" w14:textId="262720FE" w:rsidR="00B13A86" w:rsidRDefault="00B13A86">
                      <w:r>
                        <w:t>Wars and changes in governments may determine future restrictions or provide new business in certain jurisdictions.</w:t>
                      </w:r>
                      <w:r w:rsidR="005F73B5">
                        <w:t xml:space="preserve"> Competition restrictions may affect future acquisitions. Sanctions and trade tensions around the world. Trends towards nationalism and protectionism could lead to further suspension of operations in other regions.</w:t>
                      </w:r>
                    </w:p>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73600" behindDoc="0" locked="0" layoutInCell="1" allowOverlap="1" wp14:anchorId="13315EB0" wp14:editId="3B25A7B8">
                <wp:simplePos x="0" y="0"/>
                <wp:positionH relativeFrom="column">
                  <wp:posOffset>2019300</wp:posOffset>
                </wp:positionH>
                <wp:positionV relativeFrom="paragraph">
                  <wp:posOffset>152400</wp:posOffset>
                </wp:positionV>
                <wp:extent cx="1623060" cy="1455420"/>
                <wp:effectExtent l="0" t="0" r="15240" b="11430"/>
                <wp:wrapNone/>
                <wp:docPr id="187614329" name="Text Box 9"/>
                <wp:cNvGraphicFramePr/>
                <a:graphic xmlns:a="http://schemas.openxmlformats.org/drawingml/2006/main">
                  <a:graphicData uri="http://schemas.microsoft.com/office/word/2010/wordprocessingShape">
                    <wps:wsp>
                      <wps:cNvSpPr txBox="1"/>
                      <wps:spPr>
                        <a:xfrm>
                          <a:off x="0" y="0"/>
                          <a:ext cx="1623060" cy="1455420"/>
                        </a:xfrm>
                        <a:prstGeom prst="rect">
                          <a:avLst/>
                        </a:prstGeom>
                        <a:solidFill>
                          <a:schemeClr val="lt1"/>
                        </a:solidFill>
                        <a:ln w="6350">
                          <a:solidFill>
                            <a:prstClr val="black"/>
                          </a:solidFill>
                        </a:ln>
                      </wps:spPr>
                      <wps:txbx>
                        <w:txbxContent>
                          <w:p w14:paraId="1FED2D99" w14:textId="02FA8DC2" w:rsidR="00B13A86" w:rsidRPr="005F73B5" w:rsidRDefault="00B13A86">
                            <w:pPr>
                              <w:rPr>
                                <w:b/>
                                <w:bCs/>
                              </w:rPr>
                            </w:pPr>
                            <w:r w:rsidRPr="005F73B5">
                              <w:rPr>
                                <w:b/>
                                <w:bCs/>
                              </w:rPr>
                              <w:t>Economic:</w:t>
                            </w:r>
                          </w:p>
                          <w:p w14:paraId="4D4891E2" w14:textId="339FA39D" w:rsidR="00B13A86" w:rsidRDefault="00B13A86">
                            <w:r>
                              <w:t xml:space="preserve">Strives through volatility such as rising interest rates. </w:t>
                            </w:r>
                            <w:r w:rsidR="005F73B5">
                              <w:t>Higher margins than its substitutes and competitors.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5EB0" id="Text Box 9" o:spid="_x0000_s1027" type="#_x0000_t202" style="position:absolute;margin-left:159pt;margin-top:12pt;width:127.8pt;height:1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ZKOQIAAIQEAAAOAAAAZHJzL2Uyb0RvYy54bWysVE1v2zAMvQ/YfxB0X+ykSbY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" fillcolor="white [3201]" strokeweight=".5pt">
                <v:textbox>
                  <w:txbxContent>
                    <w:p w14:paraId="1FED2D99" w14:textId="02FA8DC2" w:rsidR="00B13A86" w:rsidRPr="005F73B5" w:rsidRDefault="00B13A86">
                      <w:pPr>
                        <w:rPr>
                          <w:b/>
                          <w:bCs/>
                        </w:rPr>
                      </w:pPr>
                      <w:r w:rsidRPr="005F73B5">
                        <w:rPr>
                          <w:b/>
                          <w:bCs/>
                        </w:rPr>
                        <w:t>Economic:</w:t>
                      </w:r>
                    </w:p>
                    <w:p w14:paraId="4D4891E2" w14:textId="339FA39D" w:rsidR="00B13A86" w:rsidRDefault="00B13A86">
                      <w:r>
                        <w:t xml:space="preserve">Strives through volatility such as rising interest rates. </w:t>
                      </w:r>
                      <w:r w:rsidR="005F73B5">
                        <w:t>Higher margins than its substitutes and competitors.</w:t>
                      </w:r>
                    </w:p>
                  </w:txbxContent>
                </v:textbox>
              </v:shape>
            </w:pict>
          </mc:Fallback>
        </mc:AlternateContent>
      </w:r>
    </w:p>
    <w:p w14:paraId="27A3F8E1" w14:textId="03065213" w:rsidR="00B13A86" w:rsidRDefault="005F73B5" w:rsidP="00DF5A0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0ED243E9" wp14:editId="0E72631E">
                <wp:simplePos x="0" y="0"/>
                <wp:positionH relativeFrom="column">
                  <wp:posOffset>4038600</wp:posOffset>
                </wp:positionH>
                <wp:positionV relativeFrom="paragraph">
                  <wp:posOffset>4445</wp:posOffset>
                </wp:positionV>
                <wp:extent cx="1981200" cy="1859280"/>
                <wp:effectExtent l="0" t="0" r="19050" b="26670"/>
                <wp:wrapNone/>
                <wp:docPr id="1784664999" name="Text Box 12"/>
                <wp:cNvGraphicFramePr/>
                <a:graphic xmlns:a="http://schemas.openxmlformats.org/drawingml/2006/main">
                  <a:graphicData uri="http://schemas.microsoft.com/office/word/2010/wordprocessingShape">
                    <wps:wsp>
                      <wps:cNvSpPr txBox="1"/>
                      <wps:spPr>
                        <a:xfrm>
                          <a:off x="0" y="0"/>
                          <a:ext cx="1981200" cy="1859280"/>
                        </a:xfrm>
                        <a:prstGeom prst="rect">
                          <a:avLst/>
                        </a:prstGeom>
                        <a:solidFill>
                          <a:schemeClr val="lt1"/>
                        </a:solidFill>
                        <a:ln w="6350">
                          <a:solidFill>
                            <a:prstClr val="black"/>
                          </a:solidFill>
                        </a:ln>
                      </wps:spPr>
                      <wps:txbx>
                        <w:txbxContent>
                          <w:p w14:paraId="38F5C9CF" w14:textId="0DA61CA1" w:rsidR="00B13A86" w:rsidRPr="005F73B5" w:rsidRDefault="00B13A86">
                            <w:pPr>
                              <w:rPr>
                                <w:b/>
                                <w:bCs/>
                              </w:rPr>
                            </w:pPr>
                            <w:r w:rsidRPr="005F73B5">
                              <w:rPr>
                                <w:b/>
                                <w:bCs/>
                              </w:rPr>
                              <w:t>Social:</w:t>
                            </w:r>
                          </w:p>
                          <w:p w14:paraId="2D69B37D" w14:textId="5CE0D696" w:rsidR="00B13A86" w:rsidRDefault="00B13A86">
                            <w:r>
                              <w:t>Improving flexibility for employees. Automation vs providing employment for communities around the world. The remote working model may not be conducive to how Visa et al operate.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243E9" id="Text Box 12" o:spid="_x0000_s1028" type="#_x0000_t202" style="position:absolute;margin-left:318pt;margin-top:.35pt;width:156pt;height:14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" fillcolor="white [3201]" strokeweight=".5pt">
                <v:textbox>
                  <w:txbxContent>
                    <w:p w14:paraId="38F5C9CF" w14:textId="0DA61CA1" w:rsidR="00B13A86" w:rsidRPr="005F73B5" w:rsidRDefault="00B13A86">
                      <w:pPr>
                        <w:rPr>
                          <w:b/>
                          <w:bCs/>
                        </w:rPr>
                      </w:pPr>
                      <w:r w:rsidRPr="005F73B5">
                        <w:rPr>
                          <w:b/>
                          <w:bCs/>
                        </w:rPr>
                        <w:t>Social:</w:t>
                      </w:r>
                    </w:p>
                    <w:p w14:paraId="2D69B37D" w14:textId="5CE0D696" w:rsidR="00B13A86" w:rsidRDefault="00B13A86">
                      <w:r>
                        <w:t>Improving flexibility for employees. Automation vs providing employment for communities around the world. The remote working model may not be conducive to how Visa et al operate.</w:t>
                      </w:r>
                    </w:p>
                  </w:txbxContent>
                </v:textbox>
              </v:shape>
            </w:pict>
          </mc:Fallback>
        </mc:AlternateContent>
      </w:r>
    </w:p>
    <w:p w14:paraId="1A834347" w14:textId="7C5D0BAB" w:rsidR="00B13A86" w:rsidRDefault="00B13A86" w:rsidP="00DF5A0E">
      <w:pPr>
        <w:rPr>
          <w:rFonts w:ascii="Arial" w:hAnsi="Arial" w:cs="Arial"/>
          <w:sz w:val="24"/>
          <w:szCs w:val="24"/>
        </w:rPr>
      </w:pPr>
    </w:p>
    <w:p w14:paraId="2021FD51" w14:textId="6951FD83" w:rsidR="00B13A86" w:rsidRDefault="00B13A86" w:rsidP="00DF5A0E">
      <w:pPr>
        <w:rPr>
          <w:rFonts w:ascii="Arial" w:hAnsi="Arial" w:cs="Arial"/>
          <w:sz w:val="24"/>
          <w:szCs w:val="24"/>
        </w:rPr>
      </w:pPr>
    </w:p>
    <w:p w14:paraId="3D14FD2E" w14:textId="35637026" w:rsidR="00B13A86" w:rsidRDefault="00B13A86" w:rsidP="00DF5A0E">
      <w:pPr>
        <w:rPr>
          <w:rFonts w:ascii="Arial" w:hAnsi="Arial" w:cs="Arial"/>
          <w:sz w:val="24"/>
          <w:szCs w:val="24"/>
        </w:rPr>
      </w:pPr>
    </w:p>
    <w:p w14:paraId="43EE8600" w14:textId="42D22A1D" w:rsidR="007168BF" w:rsidRDefault="005F73B5" w:rsidP="00DF5A0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6A2629C4" wp14:editId="0BA01EE6">
                <wp:simplePos x="0" y="0"/>
                <wp:positionH relativeFrom="column">
                  <wp:posOffset>2697480</wp:posOffset>
                </wp:positionH>
                <wp:positionV relativeFrom="paragraph">
                  <wp:posOffset>161290</wp:posOffset>
                </wp:positionV>
                <wp:extent cx="7620" cy="274320"/>
                <wp:effectExtent l="0" t="0" r="30480" b="11430"/>
                <wp:wrapNone/>
                <wp:docPr id="299111702" name="Straight Connector 7"/>
                <wp:cNvGraphicFramePr/>
                <a:graphic xmlns:a="http://schemas.openxmlformats.org/drawingml/2006/main">
                  <a:graphicData uri="http://schemas.microsoft.com/office/word/2010/wordprocessingShape">
                    <wps:wsp>
                      <wps:cNvCnPr/>
                      <wps:spPr>
                        <a:xfrm flipH="1" flipV="1">
                          <a:off x="0" y="0"/>
                          <a:ext cx="762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8FEED" id="Straight Connector 7"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12.7pt" to="213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" strokecolor="#156082 [3204]" strokeweight=".5pt">
                <v:stroke joinstyle="miter"/>
              </v:line>
            </w:pict>
          </mc:Fallback>
        </mc:AlternateContent>
      </w:r>
    </w:p>
    <w:p w14:paraId="6BFCAD5A" w14:textId="341796DB" w:rsidR="007168BF" w:rsidRDefault="005F73B5" w:rsidP="00DF5A0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61D9730" wp14:editId="15C37193">
                <wp:simplePos x="0" y="0"/>
                <wp:positionH relativeFrom="column">
                  <wp:posOffset>1920240</wp:posOffset>
                </wp:positionH>
                <wp:positionV relativeFrom="paragraph">
                  <wp:posOffset>122555</wp:posOffset>
                </wp:positionV>
                <wp:extent cx="1592580" cy="1028700"/>
                <wp:effectExtent l="0" t="0" r="26670" b="19050"/>
                <wp:wrapNone/>
                <wp:docPr id="1835882129" name="Oval 5"/>
                <wp:cNvGraphicFramePr/>
                <a:graphic xmlns:a="http://schemas.openxmlformats.org/drawingml/2006/main">
                  <a:graphicData uri="http://schemas.microsoft.com/office/word/2010/wordprocessingShape">
                    <wps:wsp>
                      <wps:cNvSpPr/>
                      <wps:spPr>
                        <a:xfrm>
                          <a:off x="0" y="0"/>
                          <a:ext cx="1592580" cy="10287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1B54C" id="Oval 5" o:spid="_x0000_s1026" style="position:absolute;margin-left:151.2pt;margin-top:9.65pt;width:1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" fillcolor="#156082 [3204]" strokecolor="#030e13 [484]" strokeweight="1pt">
                <v:stroke joinstyle="miter"/>
              </v:oval>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06B214D2" wp14:editId="78AE0F45">
                <wp:simplePos x="0" y="0"/>
                <wp:positionH relativeFrom="column">
                  <wp:posOffset>3307080</wp:posOffset>
                </wp:positionH>
                <wp:positionV relativeFrom="paragraph">
                  <wp:posOffset>8255</wp:posOffset>
                </wp:positionV>
                <wp:extent cx="739140" cy="868680"/>
                <wp:effectExtent l="0" t="0" r="22860" b="26670"/>
                <wp:wrapNone/>
                <wp:docPr id="1030022074" name="Straight Connector 7"/>
                <wp:cNvGraphicFramePr/>
                <a:graphic xmlns:a="http://schemas.openxmlformats.org/drawingml/2006/main">
                  <a:graphicData uri="http://schemas.microsoft.com/office/word/2010/wordprocessingShape">
                    <wps:wsp>
                      <wps:cNvCnPr/>
                      <wps:spPr>
                        <a:xfrm flipH="1">
                          <a:off x="0" y="0"/>
                          <a:ext cx="739140" cy="868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80A23"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65pt" to="318.6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" strokecolor="#156082 [3204]" strokeweight=".5pt">
                <v:stroke joinstyle="miter"/>
              </v:line>
            </w:pict>
          </mc:Fallback>
        </mc:AlternateContent>
      </w:r>
      <w:r w:rsidR="00BF42CE">
        <w:rPr>
          <w:rFonts w:ascii="Arial" w:hAnsi="Arial" w:cs="Arial"/>
          <w:noProof/>
          <w:sz w:val="24"/>
          <w:szCs w:val="24"/>
        </w:rPr>
        <mc:AlternateContent>
          <mc:Choice Requires="wps">
            <w:drawing>
              <wp:anchor distT="0" distB="0" distL="114300" distR="114300" simplePos="0" relativeHeight="251661312" behindDoc="0" locked="0" layoutInCell="1" allowOverlap="1" wp14:anchorId="332236A7" wp14:editId="37DF9D46">
                <wp:simplePos x="0" y="0"/>
                <wp:positionH relativeFrom="column">
                  <wp:posOffset>1432560</wp:posOffset>
                </wp:positionH>
                <wp:positionV relativeFrom="paragraph">
                  <wp:posOffset>292100</wp:posOffset>
                </wp:positionV>
                <wp:extent cx="541020" cy="464820"/>
                <wp:effectExtent l="0" t="0" r="30480" b="30480"/>
                <wp:wrapNone/>
                <wp:docPr id="1172234433" name="Straight Connector 7"/>
                <wp:cNvGraphicFramePr/>
                <a:graphic xmlns:a="http://schemas.openxmlformats.org/drawingml/2006/main">
                  <a:graphicData uri="http://schemas.microsoft.com/office/word/2010/wordprocessingShape">
                    <wps:wsp>
                      <wps:cNvCnPr/>
                      <wps:spPr>
                        <a:xfrm flipH="1" flipV="1">
                          <a:off x="0" y="0"/>
                          <a:ext cx="541020" cy="464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4AEBF" id="Straight Connector 7"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12.8pt,23pt" to="155.4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" strokecolor="#156082 [3204]" strokeweight=".5pt">
                <v:stroke joinstyle="miter"/>
              </v:line>
            </w:pict>
          </mc:Fallback>
        </mc:AlternateContent>
      </w:r>
    </w:p>
    <w:p w14:paraId="4650F88C" w14:textId="4027CDE3" w:rsidR="007168BF" w:rsidRDefault="005F73B5" w:rsidP="00DF5A0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DCFF31A" wp14:editId="6ED5552C">
                <wp:simplePos x="0" y="0"/>
                <wp:positionH relativeFrom="column">
                  <wp:posOffset>2179320</wp:posOffset>
                </wp:positionH>
                <wp:positionV relativeFrom="paragraph">
                  <wp:posOffset>127635</wp:posOffset>
                </wp:positionV>
                <wp:extent cx="1051560" cy="480060"/>
                <wp:effectExtent l="0" t="0" r="15240" b="15240"/>
                <wp:wrapNone/>
                <wp:docPr id="1347202547" name="Text Box 6"/>
                <wp:cNvGraphicFramePr/>
                <a:graphic xmlns:a="http://schemas.openxmlformats.org/drawingml/2006/main">
                  <a:graphicData uri="http://schemas.microsoft.com/office/word/2010/wordprocessingShape">
                    <wps:wsp>
                      <wps:cNvSpPr txBox="1"/>
                      <wps:spPr>
                        <a:xfrm>
                          <a:off x="0" y="0"/>
                          <a:ext cx="1051560" cy="480060"/>
                        </a:xfrm>
                        <a:prstGeom prst="rect">
                          <a:avLst/>
                        </a:prstGeom>
                        <a:solidFill>
                          <a:schemeClr val="lt1"/>
                        </a:solidFill>
                        <a:ln w="6350">
                          <a:solidFill>
                            <a:prstClr val="black"/>
                          </a:solidFill>
                        </a:ln>
                      </wps:spPr>
                      <wps:txbx>
                        <w:txbxContent>
                          <w:p w14:paraId="61D73651" w14:textId="1A34CAF8" w:rsidR="007168BF" w:rsidRDefault="007168BF" w:rsidP="007168BF">
                            <w:pPr>
                              <w:jc w:val="center"/>
                            </w:pPr>
                            <w:r>
                              <w:t>PESTEL</w:t>
                            </w:r>
                            <w:r w:rsidR="005F73B5">
                              <w:t xml:space="preserve"> for the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FF31A" id="Text Box 6" o:spid="_x0000_s1029" type="#_x0000_t202" style="position:absolute;margin-left:171.6pt;margin-top:10.05pt;width:82.8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" fillcolor="white [3201]" strokeweight=".5pt">
                <v:textbox>
                  <w:txbxContent>
                    <w:p w14:paraId="61D73651" w14:textId="1A34CAF8" w:rsidR="007168BF" w:rsidRDefault="007168BF" w:rsidP="007168BF">
                      <w:pPr>
                        <w:jc w:val="center"/>
                      </w:pPr>
                      <w:r>
                        <w:t>PESTEL</w:t>
                      </w:r>
                      <w:r w:rsidR="005F73B5">
                        <w:t xml:space="preserve"> for the Industry</w:t>
                      </w:r>
                    </w:p>
                  </w:txbxContent>
                </v:textbox>
              </v:shape>
            </w:pict>
          </mc:Fallback>
        </mc:AlternateContent>
      </w:r>
    </w:p>
    <w:p w14:paraId="7EDC947C" w14:textId="631CCEFA" w:rsidR="007168BF" w:rsidRDefault="005F73B5" w:rsidP="00DF5A0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0919CA99" wp14:editId="771A50F3">
                <wp:simplePos x="0" y="0"/>
                <wp:positionH relativeFrom="column">
                  <wp:posOffset>4000500</wp:posOffset>
                </wp:positionH>
                <wp:positionV relativeFrom="paragraph">
                  <wp:posOffset>135255</wp:posOffset>
                </wp:positionV>
                <wp:extent cx="2133600" cy="2019300"/>
                <wp:effectExtent l="0" t="0" r="19050" b="19050"/>
                <wp:wrapNone/>
                <wp:docPr id="667237546" name="Text Box 8"/>
                <wp:cNvGraphicFramePr/>
                <a:graphic xmlns:a="http://schemas.openxmlformats.org/drawingml/2006/main">
                  <a:graphicData uri="http://schemas.microsoft.com/office/word/2010/wordprocessingShape">
                    <wps:wsp>
                      <wps:cNvSpPr txBox="1"/>
                      <wps:spPr>
                        <a:xfrm>
                          <a:off x="0" y="0"/>
                          <a:ext cx="2133600" cy="2019300"/>
                        </a:xfrm>
                        <a:prstGeom prst="rect">
                          <a:avLst/>
                        </a:prstGeom>
                        <a:solidFill>
                          <a:schemeClr val="lt1"/>
                        </a:solidFill>
                        <a:ln w="6350">
                          <a:solidFill>
                            <a:prstClr val="black"/>
                          </a:solidFill>
                        </a:ln>
                      </wps:spPr>
                      <wps:txbx>
                        <w:txbxContent>
                          <w:p w14:paraId="706ACA26" w14:textId="74FDEEB3" w:rsidR="0051645C" w:rsidRPr="005F73B5" w:rsidRDefault="0051645C">
                            <w:pPr>
                              <w:rPr>
                                <w:b/>
                                <w:bCs/>
                              </w:rPr>
                            </w:pPr>
                            <w:r w:rsidRPr="005F73B5">
                              <w:rPr>
                                <w:b/>
                                <w:bCs/>
                              </w:rPr>
                              <w:t>Legal:</w:t>
                            </w:r>
                          </w:p>
                          <w:p w14:paraId="43A83FA3" w14:textId="788ADBA3" w:rsidR="0051645C" w:rsidRDefault="0051645C">
                            <w:r>
                              <w:t>Prohibition of ownership of international businesses in some regions will hinder growing usage of their services</w:t>
                            </w:r>
                            <w:r w:rsidR="00B13A86">
                              <w:t xml:space="preserve">. Local laws only allowing domestic networks for transactions. Lack of restrictions on surcharges. Rising compliance costs.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9CA99" id="Text Box 8" o:spid="_x0000_s1030" type="#_x0000_t202" style="position:absolute;margin-left:315pt;margin-top:10.65pt;width:168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" fillcolor="white [3201]" strokeweight=".5pt">
                <v:textbox>
                  <w:txbxContent>
                    <w:p w14:paraId="706ACA26" w14:textId="74FDEEB3" w:rsidR="0051645C" w:rsidRPr="005F73B5" w:rsidRDefault="0051645C">
                      <w:pPr>
                        <w:rPr>
                          <w:b/>
                          <w:bCs/>
                        </w:rPr>
                      </w:pPr>
                      <w:r w:rsidRPr="005F73B5">
                        <w:rPr>
                          <w:b/>
                          <w:bCs/>
                        </w:rPr>
                        <w:t>Legal:</w:t>
                      </w:r>
                    </w:p>
                    <w:p w14:paraId="43A83FA3" w14:textId="788ADBA3" w:rsidR="0051645C" w:rsidRDefault="0051645C">
                      <w:r>
                        <w:t>Prohibition of ownership of international businesses in some regions will hinder growing usage of their services</w:t>
                      </w:r>
                      <w:r w:rsidR="00B13A86">
                        <w:t xml:space="preserve">. Local laws only allowing domestic networks for transactions. Lack of restrictions on surcharges. Rising compliance costs. </w:t>
                      </w:r>
                    </w:p>
                  </w:txbxContent>
                </v:textbox>
              </v:shape>
            </w:pict>
          </mc:Fallback>
        </mc:AlternateContent>
      </w:r>
    </w:p>
    <w:p w14:paraId="02D1C414" w14:textId="633D3C03" w:rsidR="007168BF" w:rsidRDefault="005F73B5" w:rsidP="00DF5A0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6672" behindDoc="0" locked="0" layoutInCell="1" allowOverlap="1" wp14:anchorId="0BDD4176" wp14:editId="4ABDC73A">
                <wp:simplePos x="0" y="0"/>
                <wp:positionH relativeFrom="column">
                  <wp:posOffset>-495300</wp:posOffset>
                </wp:positionH>
                <wp:positionV relativeFrom="paragraph">
                  <wp:posOffset>211455</wp:posOffset>
                </wp:positionV>
                <wp:extent cx="1714500" cy="2186940"/>
                <wp:effectExtent l="0" t="0" r="19050" b="22860"/>
                <wp:wrapNone/>
                <wp:docPr id="1892821026" name="Text Box 13"/>
                <wp:cNvGraphicFramePr/>
                <a:graphic xmlns:a="http://schemas.openxmlformats.org/drawingml/2006/main">
                  <a:graphicData uri="http://schemas.microsoft.com/office/word/2010/wordprocessingShape">
                    <wps:wsp>
                      <wps:cNvSpPr txBox="1"/>
                      <wps:spPr>
                        <a:xfrm>
                          <a:off x="0" y="0"/>
                          <a:ext cx="1714500" cy="2186940"/>
                        </a:xfrm>
                        <a:prstGeom prst="rect">
                          <a:avLst/>
                        </a:prstGeom>
                        <a:solidFill>
                          <a:schemeClr val="lt1"/>
                        </a:solidFill>
                        <a:ln w="6350">
                          <a:solidFill>
                            <a:prstClr val="black"/>
                          </a:solidFill>
                        </a:ln>
                      </wps:spPr>
                      <wps:txbx>
                        <w:txbxContent>
                          <w:p w14:paraId="468A8CA6" w14:textId="3798993D" w:rsidR="00B13A86" w:rsidRPr="005F73B5" w:rsidRDefault="00B13A86">
                            <w:pPr>
                              <w:rPr>
                                <w:b/>
                                <w:bCs/>
                              </w:rPr>
                            </w:pPr>
                            <w:r w:rsidRPr="005F73B5">
                              <w:rPr>
                                <w:b/>
                                <w:bCs/>
                              </w:rPr>
                              <w:t>Technological:</w:t>
                            </w:r>
                          </w:p>
                          <w:p w14:paraId="2BD9A04E" w14:textId="62E35AA9" w:rsidR="00B13A86" w:rsidRDefault="00B13A86">
                            <w:r>
                              <w:t>Opportunity to enter the AI race and also compete in the digital payments sphere. AI risk must be carefully managed leading to greater compliance costs. Investing in and developing its own digital capabilities.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D4176" id="Text Box 13" o:spid="_x0000_s1031" type="#_x0000_t202" style="position:absolute;margin-left:-39pt;margin-top:16.65pt;width:135pt;height:17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" fillcolor="white [3201]" strokeweight=".5pt">
                <v:textbox>
                  <w:txbxContent>
                    <w:p w14:paraId="468A8CA6" w14:textId="3798993D" w:rsidR="00B13A86" w:rsidRPr="005F73B5" w:rsidRDefault="00B13A86">
                      <w:pPr>
                        <w:rPr>
                          <w:b/>
                          <w:bCs/>
                        </w:rPr>
                      </w:pPr>
                      <w:r w:rsidRPr="005F73B5">
                        <w:rPr>
                          <w:b/>
                          <w:bCs/>
                        </w:rPr>
                        <w:t>Technological:</w:t>
                      </w:r>
                    </w:p>
                    <w:p w14:paraId="2BD9A04E" w14:textId="62E35AA9" w:rsidR="00B13A86" w:rsidRDefault="00B13A86">
                      <w:r>
                        <w:t>Opportunity to enter the AI race and also compete in the digital payments sphere. AI risk must be carefully managed leading to greater compliance costs. Investing in and developing its own digital capabilities.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191BA1CD" wp14:editId="36BC5B7C">
                <wp:simplePos x="0" y="0"/>
                <wp:positionH relativeFrom="column">
                  <wp:posOffset>2644140</wp:posOffset>
                </wp:positionH>
                <wp:positionV relativeFrom="paragraph">
                  <wp:posOffset>271145</wp:posOffset>
                </wp:positionV>
                <wp:extent cx="15240" cy="297180"/>
                <wp:effectExtent l="0" t="0" r="22860" b="26670"/>
                <wp:wrapNone/>
                <wp:docPr id="1034715732" name="Straight Connector 7"/>
                <wp:cNvGraphicFramePr/>
                <a:graphic xmlns:a="http://schemas.openxmlformats.org/drawingml/2006/main">
                  <a:graphicData uri="http://schemas.microsoft.com/office/word/2010/wordprocessingShape">
                    <wps:wsp>
                      <wps:cNvCnPr/>
                      <wps:spPr>
                        <a:xfrm flipH="1" flipV="1">
                          <a:off x="0" y="0"/>
                          <a:ext cx="1524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3E7E7" id="Straight Connector 7"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2pt,21.35pt" to="209.4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" strokecolor="#156082 [3204]" strokeweight=".5pt">
                <v:stroke joinstyle="miter"/>
              </v:line>
            </w:pict>
          </mc:Fallback>
        </mc:AlternateContent>
      </w:r>
    </w:p>
    <w:p w14:paraId="5ED937DD" w14:textId="4F7BD7F5" w:rsidR="007168BF" w:rsidRDefault="005F73B5" w:rsidP="00DF5A0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0B08072A" wp14:editId="0D279A8C">
                <wp:simplePos x="0" y="0"/>
                <wp:positionH relativeFrom="column">
                  <wp:posOffset>1638300</wp:posOffset>
                </wp:positionH>
                <wp:positionV relativeFrom="paragraph">
                  <wp:posOffset>155575</wp:posOffset>
                </wp:positionV>
                <wp:extent cx="1760220" cy="1478280"/>
                <wp:effectExtent l="0" t="0" r="11430" b="26670"/>
                <wp:wrapNone/>
                <wp:docPr id="717570150" name="Text Box 14"/>
                <wp:cNvGraphicFramePr/>
                <a:graphic xmlns:a="http://schemas.openxmlformats.org/drawingml/2006/main">
                  <a:graphicData uri="http://schemas.microsoft.com/office/word/2010/wordprocessingShape">
                    <wps:wsp>
                      <wps:cNvSpPr txBox="1"/>
                      <wps:spPr>
                        <a:xfrm>
                          <a:off x="0" y="0"/>
                          <a:ext cx="1760220" cy="1478280"/>
                        </a:xfrm>
                        <a:prstGeom prst="rect">
                          <a:avLst/>
                        </a:prstGeom>
                        <a:solidFill>
                          <a:schemeClr val="lt1"/>
                        </a:solidFill>
                        <a:ln w="6350">
                          <a:solidFill>
                            <a:prstClr val="black"/>
                          </a:solidFill>
                        </a:ln>
                      </wps:spPr>
                      <wps:txbx>
                        <w:txbxContent>
                          <w:p w14:paraId="4D3795F6" w14:textId="2AC4BFA1" w:rsidR="00B13A86" w:rsidRPr="005F73B5" w:rsidRDefault="00B13A86">
                            <w:pPr>
                              <w:rPr>
                                <w:b/>
                                <w:bCs/>
                              </w:rPr>
                            </w:pPr>
                            <w:r w:rsidRPr="005F73B5">
                              <w:rPr>
                                <w:b/>
                                <w:bCs/>
                              </w:rPr>
                              <w:t>Environmental:</w:t>
                            </w:r>
                          </w:p>
                          <w:p w14:paraId="489A6E49" w14:textId="5C964677" w:rsidR="00B13A86" w:rsidRDefault="00B13A86">
                            <w:r>
                              <w:t xml:space="preserve">Decarbonisation should be easier for a largely service based businesses due very few if any physical delivery and movement of products.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072A" id="Text Box 14" o:spid="_x0000_s1032" type="#_x0000_t202" style="position:absolute;margin-left:129pt;margin-top:12.25pt;width:138.6pt;height:11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yWOgIAAIQ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" fillcolor="white [3201]" strokeweight=".5pt">
                <v:textbox>
                  <w:txbxContent>
                    <w:p w14:paraId="4D3795F6" w14:textId="2AC4BFA1" w:rsidR="00B13A86" w:rsidRPr="005F73B5" w:rsidRDefault="00B13A86">
                      <w:pPr>
                        <w:rPr>
                          <w:b/>
                          <w:bCs/>
                        </w:rPr>
                      </w:pPr>
                      <w:r w:rsidRPr="005F73B5">
                        <w:rPr>
                          <w:b/>
                          <w:bCs/>
                        </w:rPr>
                        <w:t>Environmental:</w:t>
                      </w:r>
                    </w:p>
                    <w:p w14:paraId="489A6E49" w14:textId="5C964677" w:rsidR="00B13A86" w:rsidRDefault="00B13A86">
                      <w:r>
                        <w:t xml:space="preserve">Decarbonisation should be easier for a largely service based businesses due very few if any physical delivery and movement of products.  </w:t>
                      </w:r>
                    </w:p>
                  </w:txbxContent>
                </v:textbox>
              </v:shape>
            </w:pict>
          </mc:Fallback>
        </mc:AlternateContent>
      </w:r>
    </w:p>
    <w:p w14:paraId="2EF7EA90" w14:textId="17BFAB2B" w:rsidR="007168BF" w:rsidRDefault="00B13A86" w:rsidP="00DF5A0E">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anchorId="31915E27" wp14:editId="7C4EB680">
                <wp:simplePos x="0" y="0"/>
                <wp:positionH relativeFrom="column">
                  <wp:posOffset>1234440</wp:posOffset>
                </wp:positionH>
                <wp:positionV relativeFrom="paragraph">
                  <wp:posOffset>76200</wp:posOffset>
                </wp:positionV>
                <wp:extent cx="678180" cy="548640"/>
                <wp:effectExtent l="0" t="0" r="26670" b="22860"/>
                <wp:wrapNone/>
                <wp:docPr id="1024740808" name="Straight Connector 7"/>
                <wp:cNvGraphicFramePr/>
                <a:graphic xmlns:a="http://schemas.openxmlformats.org/drawingml/2006/main">
                  <a:graphicData uri="http://schemas.microsoft.com/office/word/2010/wordprocessingShape">
                    <wps:wsp>
                      <wps:cNvCnPr/>
                      <wps:spPr>
                        <a:xfrm flipH="1">
                          <a:off x="0" y="0"/>
                          <a:ext cx="678180" cy="548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51F0E" id="Straight Connector 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pt,6pt" to="150.6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" strokecolor="#156082 [3204]" strokeweight=".5pt">
                <v:stroke joinstyle="miter"/>
              </v:line>
            </w:pict>
          </mc:Fallback>
        </mc:AlternateContent>
      </w:r>
      <w:r w:rsidR="00BF42CE">
        <w:rPr>
          <w:rFonts w:ascii="Arial" w:hAnsi="Arial" w:cs="Arial"/>
          <w:noProof/>
          <w:sz w:val="24"/>
          <w:szCs w:val="24"/>
        </w:rPr>
        <mc:AlternateContent>
          <mc:Choice Requires="wps">
            <w:drawing>
              <wp:anchor distT="0" distB="0" distL="114300" distR="114300" simplePos="0" relativeHeight="251671552" behindDoc="0" locked="0" layoutInCell="1" allowOverlap="1" wp14:anchorId="2157F2AD" wp14:editId="725D524A">
                <wp:simplePos x="0" y="0"/>
                <wp:positionH relativeFrom="column">
                  <wp:posOffset>3322320</wp:posOffset>
                </wp:positionH>
                <wp:positionV relativeFrom="paragraph">
                  <wp:posOffset>5080</wp:posOffset>
                </wp:positionV>
                <wp:extent cx="731520" cy="434340"/>
                <wp:effectExtent l="0" t="0" r="30480" b="22860"/>
                <wp:wrapNone/>
                <wp:docPr id="366315522" name="Straight Connector 7"/>
                <wp:cNvGraphicFramePr/>
                <a:graphic xmlns:a="http://schemas.openxmlformats.org/drawingml/2006/main">
                  <a:graphicData uri="http://schemas.microsoft.com/office/word/2010/wordprocessingShape">
                    <wps:wsp>
                      <wps:cNvCnPr/>
                      <wps:spPr>
                        <a:xfrm flipH="1" flipV="1">
                          <a:off x="0" y="0"/>
                          <a:ext cx="731520" cy="434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4A3A0" id="Straight Connector 7"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pt,.4pt" to="319.2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" strokecolor="#156082 [3204]" strokeweight=".5pt">
                <v:stroke joinstyle="miter"/>
              </v:line>
            </w:pict>
          </mc:Fallback>
        </mc:AlternateContent>
      </w:r>
    </w:p>
    <w:p w14:paraId="37B3E7FF" w14:textId="55DD4397" w:rsidR="00BF42CE" w:rsidRDefault="00BF42CE" w:rsidP="00DF5A0E">
      <w:pPr>
        <w:rPr>
          <w:rFonts w:ascii="Arial" w:hAnsi="Arial" w:cs="Arial"/>
          <w:sz w:val="24"/>
          <w:szCs w:val="24"/>
        </w:rPr>
      </w:pPr>
    </w:p>
    <w:p w14:paraId="7567850E" w14:textId="686FBE3F" w:rsidR="00BF42CE" w:rsidRDefault="00BF42CE" w:rsidP="00DF5A0E">
      <w:pPr>
        <w:rPr>
          <w:rFonts w:ascii="Arial" w:hAnsi="Arial" w:cs="Arial"/>
          <w:sz w:val="24"/>
          <w:szCs w:val="24"/>
        </w:rPr>
      </w:pPr>
    </w:p>
    <w:p w14:paraId="7FBA78FB" w14:textId="11F66887" w:rsidR="00BF42CE" w:rsidRDefault="00BF42CE" w:rsidP="00DF5A0E">
      <w:pPr>
        <w:rPr>
          <w:rFonts w:ascii="Arial" w:hAnsi="Arial" w:cs="Arial"/>
          <w:sz w:val="24"/>
          <w:szCs w:val="24"/>
        </w:rPr>
      </w:pPr>
    </w:p>
    <w:p w14:paraId="793AA666" w14:textId="77777777" w:rsidR="00BF42CE" w:rsidRDefault="00BF42CE" w:rsidP="00DF5A0E">
      <w:pPr>
        <w:rPr>
          <w:rFonts w:ascii="Arial" w:hAnsi="Arial" w:cs="Arial"/>
          <w:sz w:val="24"/>
          <w:szCs w:val="24"/>
        </w:rPr>
      </w:pPr>
    </w:p>
    <w:p w14:paraId="0B45971C" w14:textId="77777777" w:rsidR="00BF42CE" w:rsidRDefault="00BF42CE" w:rsidP="00DF5A0E">
      <w:pPr>
        <w:rPr>
          <w:rFonts w:ascii="Arial" w:hAnsi="Arial" w:cs="Arial"/>
          <w:sz w:val="24"/>
          <w:szCs w:val="24"/>
        </w:rPr>
      </w:pPr>
    </w:p>
    <w:p w14:paraId="2F60551C" w14:textId="1E224377" w:rsidR="0051645C" w:rsidRDefault="001B3AAF" w:rsidP="00DF5A0E">
      <w:pPr>
        <w:rPr>
          <w:rFonts w:ascii="Arial" w:hAnsi="Arial" w:cs="Arial"/>
          <w:sz w:val="24"/>
          <w:szCs w:val="24"/>
        </w:rPr>
      </w:pPr>
      <w:r>
        <w:rPr>
          <w:rFonts w:ascii="Arial" w:hAnsi="Arial" w:cs="Arial"/>
          <w:sz w:val="24"/>
          <w:szCs w:val="24"/>
        </w:rPr>
        <w:lastRenderedPageBreak/>
        <w:t>Sources:</w:t>
      </w:r>
    </w:p>
    <w:p w14:paraId="6F70CD0D" w14:textId="78184C23" w:rsidR="001B3AAF" w:rsidRDefault="001B3AAF" w:rsidP="00DF5A0E">
      <w:pPr>
        <w:rPr>
          <w:rFonts w:ascii="Arial" w:hAnsi="Arial" w:cs="Arial"/>
          <w:sz w:val="24"/>
          <w:szCs w:val="24"/>
        </w:rPr>
      </w:pPr>
      <w:r>
        <w:rPr>
          <w:rFonts w:ascii="Arial" w:hAnsi="Arial" w:cs="Arial"/>
          <w:sz w:val="24"/>
          <w:szCs w:val="24"/>
        </w:rPr>
        <w:t>Morningstar, 2023 Annual reports of Visa, Amex and Mastercard.</w:t>
      </w:r>
    </w:p>
    <w:p w14:paraId="10EDA900" w14:textId="08791DA6" w:rsidR="001B3AAF" w:rsidRDefault="001B3AAF" w:rsidP="00DF5A0E">
      <w:pPr>
        <w:rPr>
          <w:rStyle w:val="Hyperlink"/>
          <w:rFonts w:ascii="Arial" w:hAnsi="Arial" w:cs="Arial"/>
          <w:sz w:val="24"/>
          <w:szCs w:val="24"/>
        </w:rPr>
      </w:pPr>
      <w:hyperlink r:id="rId7" w:history="1">
        <w:r w:rsidRPr="00EA4397">
          <w:rPr>
            <w:rStyle w:val="Hyperlink"/>
            <w:rFonts w:ascii="Arial" w:hAnsi="Arial" w:cs="Arial"/>
            <w:sz w:val="24"/>
            <w:szCs w:val="24"/>
          </w:rPr>
          <w:t>https://www.paypal.com/uk/digital-wallet</w:t>
        </w:r>
      </w:hyperlink>
    </w:p>
    <w:p w14:paraId="41FB611E" w14:textId="6C979E29" w:rsidR="001B3AAF" w:rsidRDefault="001B3AAF" w:rsidP="00DF5A0E">
      <w:pPr>
        <w:rPr>
          <w:rFonts w:ascii="Arial" w:hAnsi="Arial" w:cs="Arial"/>
          <w:sz w:val="24"/>
          <w:szCs w:val="24"/>
        </w:rPr>
      </w:pPr>
      <w:hyperlink r:id="rId8" w:history="1">
        <w:r w:rsidRPr="004D74C5">
          <w:rPr>
            <w:rStyle w:val="Hyperlink"/>
            <w:rFonts w:ascii="Arial" w:hAnsi="Arial" w:cs="Arial"/>
            <w:sz w:val="24"/>
            <w:szCs w:val="24"/>
          </w:rPr>
          <w:t>https://www.spglobal.com/spdji/en/indices/digital-assets/sp-cryptocurrency-largecap-ex-megacap-index/#overview</w:t>
        </w:r>
      </w:hyperlink>
    </w:p>
    <w:p w14:paraId="6CA6711B" w14:textId="77777777" w:rsidR="001B3AAF" w:rsidRDefault="001B3AAF" w:rsidP="00DF5A0E">
      <w:pPr>
        <w:rPr>
          <w:rFonts w:ascii="Arial" w:hAnsi="Arial" w:cs="Arial"/>
          <w:sz w:val="24"/>
          <w:szCs w:val="24"/>
        </w:rPr>
      </w:pPr>
    </w:p>
    <w:p w14:paraId="3384681C" w14:textId="77777777" w:rsidR="0051645C" w:rsidRDefault="0051645C" w:rsidP="00DF5A0E">
      <w:pPr>
        <w:rPr>
          <w:rFonts w:ascii="Arial" w:hAnsi="Arial" w:cs="Arial"/>
          <w:sz w:val="24"/>
          <w:szCs w:val="24"/>
        </w:rPr>
      </w:pPr>
    </w:p>
    <w:p w14:paraId="415D2470" w14:textId="77777777" w:rsidR="0051645C" w:rsidRDefault="0051645C" w:rsidP="00DF5A0E">
      <w:pPr>
        <w:rPr>
          <w:rFonts w:ascii="Arial" w:hAnsi="Arial" w:cs="Arial"/>
          <w:sz w:val="24"/>
          <w:szCs w:val="24"/>
        </w:rPr>
      </w:pPr>
    </w:p>
    <w:p w14:paraId="4C83AC44" w14:textId="77777777" w:rsidR="0051645C" w:rsidRDefault="0051645C" w:rsidP="00DF5A0E">
      <w:pPr>
        <w:rPr>
          <w:rFonts w:ascii="Arial" w:hAnsi="Arial" w:cs="Arial"/>
          <w:sz w:val="24"/>
          <w:szCs w:val="24"/>
        </w:rPr>
      </w:pPr>
    </w:p>
    <w:p w14:paraId="15839FAD" w14:textId="77777777" w:rsidR="00DF5A0E" w:rsidRPr="00DF5A0E" w:rsidRDefault="00DF5A0E" w:rsidP="00DF5A0E">
      <w:pPr>
        <w:rPr>
          <w:rFonts w:ascii="Arial" w:hAnsi="Arial" w:cs="Arial"/>
          <w:sz w:val="24"/>
          <w:szCs w:val="24"/>
        </w:rPr>
      </w:pPr>
    </w:p>
    <w:sectPr w:rsidR="00DF5A0E" w:rsidRPr="00DF5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0E"/>
    <w:rsid w:val="0002181D"/>
    <w:rsid w:val="0005709B"/>
    <w:rsid w:val="00065172"/>
    <w:rsid w:val="000F095C"/>
    <w:rsid w:val="00105CD7"/>
    <w:rsid w:val="00110F70"/>
    <w:rsid w:val="001542EA"/>
    <w:rsid w:val="001618DA"/>
    <w:rsid w:val="00165E37"/>
    <w:rsid w:val="00167441"/>
    <w:rsid w:val="00193E39"/>
    <w:rsid w:val="001B05B2"/>
    <w:rsid w:val="001B134F"/>
    <w:rsid w:val="001B1B75"/>
    <w:rsid w:val="001B3AAF"/>
    <w:rsid w:val="001E2606"/>
    <w:rsid w:val="001E55EE"/>
    <w:rsid w:val="00271775"/>
    <w:rsid w:val="00282778"/>
    <w:rsid w:val="002834D0"/>
    <w:rsid w:val="002B59BD"/>
    <w:rsid w:val="002D6EBF"/>
    <w:rsid w:val="003566F4"/>
    <w:rsid w:val="003774EF"/>
    <w:rsid w:val="003A7091"/>
    <w:rsid w:val="00401063"/>
    <w:rsid w:val="0042134A"/>
    <w:rsid w:val="00426492"/>
    <w:rsid w:val="00461775"/>
    <w:rsid w:val="004929C5"/>
    <w:rsid w:val="004D00C3"/>
    <w:rsid w:val="0051645C"/>
    <w:rsid w:val="00521D5E"/>
    <w:rsid w:val="00586D15"/>
    <w:rsid w:val="00587B0A"/>
    <w:rsid w:val="005D3088"/>
    <w:rsid w:val="005F73B5"/>
    <w:rsid w:val="0061119A"/>
    <w:rsid w:val="00614A21"/>
    <w:rsid w:val="00642FA5"/>
    <w:rsid w:val="006B1746"/>
    <w:rsid w:val="006C520A"/>
    <w:rsid w:val="007168BF"/>
    <w:rsid w:val="007E38B1"/>
    <w:rsid w:val="008004F2"/>
    <w:rsid w:val="00856058"/>
    <w:rsid w:val="008E15B4"/>
    <w:rsid w:val="00996EDA"/>
    <w:rsid w:val="009B130F"/>
    <w:rsid w:val="00A104D1"/>
    <w:rsid w:val="00A20A75"/>
    <w:rsid w:val="00A50BD6"/>
    <w:rsid w:val="00A868C8"/>
    <w:rsid w:val="00AE1AFD"/>
    <w:rsid w:val="00AE2A9E"/>
    <w:rsid w:val="00AE5112"/>
    <w:rsid w:val="00B13A86"/>
    <w:rsid w:val="00B1513E"/>
    <w:rsid w:val="00B366D2"/>
    <w:rsid w:val="00B40EF0"/>
    <w:rsid w:val="00B73E28"/>
    <w:rsid w:val="00BD101E"/>
    <w:rsid w:val="00BF1170"/>
    <w:rsid w:val="00BF42CE"/>
    <w:rsid w:val="00C1581C"/>
    <w:rsid w:val="00C420FC"/>
    <w:rsid w:val="00C57A6A"/>
    <w:rsid w:val="00C63894"/>
    <w:rsid w:val="00CB5393"/>
    <w:rsid w:val="00CC701C"/>
    <w:rsid w:val="00D05BDE"/>
    <w:rsid w:val="00D242F6"/>
    <w:rsid w:val="00D95502"/>
    <w:rsid w:val="00DA18E0"/>
    <w:rsid w:val="00DF5A0E"/>
    <w:rsid w:val="00E16BBE"/>
    <w:rsid w:val="00E5570C"/>
    <w:rsid w:val="00E717FD"/>
    <w:rsid w:val="00E82754"/>
    <w:rsid w:val="00ED3C54"/>
    <w:rsid w:val="00F540F8"/>
    <w:rsid w:val="00F77AE1"/>
    <w:rsid w:val="00F95546"/>
    <w:rsid w:val="00FB6F17"/>
    <w:rsid w:val="00FC605B"/>
    <w:rsid w:val="00FF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A1F5"/>
  <w15:chartTrackingRefBased/>
  <w15:docId w15:val="{A3B2527B-0491-4542-A9B8-8D283EDB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A0E"/>
    <w:rPr>
      <w:rFonts w:eastAsiaTheme="majorEastAsia" w:cstheme="majorBidi"/>
      <w:color w:val="272727" w:themeColor="text1" w:themeTint="D8"/>
    </w:rPr>
  </w:style>
  <w:style w:type="paragraph" w:styleId="Title">
    <w:name w:val="Title"/>
    <w:basedOn w:val="Normal"/>
    <w:next w:val="Normal"/>
    <w:link w:val="TitleChar"/>
    <w:uiPriority w:val="10"/>
    <w:qFormat/>
    <w:rsid w:val="00DF5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A0E"/>
    <w:pPr>
      <w:spacing w:before="160"/>
      <w:jc w:val="center"/>
    </w:pPr>
    <w:rPr>
      <w:i/>
      <w:iCs/>
      <w:color w:val="404040" w:themeColor="text1" w:themeTint="BF"/>
    </w:rPr>
  </w:style>
  <w:style w:type="character" w:customStyle="1" w:styleId="QuoteChar">
    <w:name w:val="Quote Char"/>
    <w:basedOn w:val="DefaultParagraphFont"/>
    <w:link w:val="Quote"/>
    <w:uiPriority w:val="29"/>
    <w:rsid w:val="00DF5A0E"/>
    <w:rPr>
      <w:i/>
      <w:iCs/>
      <w:color w:val="404040" w:themeColor="text1" w:themeTint="BF"/>
    </w:rPr>
  </w:style>
  <w:style w:type="paragraph" w:styleId="ListParagraph">
    <w:name w:val="List Paragraph"/>
    <w:basedOn w:val="Normal"/>
    <w:uiPriority w:val="34"/>
    <w:qFormat/>
    <w:rsid w:val="00DF5A0E"/>
    <w:pPr>
      <w:ind w:left="720"/>
      <w:contextualSpacing/>
    </w:pPr>
  </w:style>
  <w:style w:type="character" w:styleId="IntenseEmphasis">
    <w:name w:val="Intense Emphasis"/>
    <w:basedOn w:val="DefaultParagraphFont"/>
    <w:uiPriority w:val="21"/>
    <w:qFormat/>
    <w:rsid w:val="00DF5A0E"/>
    <w:rPr>
      <w:i/>
      <w:iCs/>
      <w:color w:val="0F4761" w:themeColor="accent1" w:themeShade="BF"/>
    </w:rPr>
  </w:style>
  <w:style w:type="paragraph" w:styleId="IntenseQuote">
    <w:name w:val="Intense Quote"/>
    <w:basedOn w:val="Normal"/>
    <w:next w:val="Normal"/>
    <w:link w:val="IntenseQuoteChar"/>
    <w:uiPriority w:val="30"/>
    <w:qFormat/>
    <w:rsid w:val="00DF5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A0E"/>
    <w:rPr>
      <w:i/>
      <w:iCs/>
      <w:color w:val="0F4761" w:themeColor="accent1" w:themeShade="BF"/>
    </w:rPr>
  </w:style>
  <w:style w:type="character" w:styleId="IntenseReference">
    <w:name w:val="Intense Reference"/>
    <w:basedOn w:val="DefaultParagraphFont"/>
    <w:uiPriority w:val="32"/>
    <w:qFormat/>
    <w:rsid w:val="00DF5A0E"/>
    <w:rPr>
      <w:b/>
      <w:bCs/>
      <w:smallCaps/>
      <w:color w:val="0F4761" w:themeColor="accent1" w:themeShade="BF"/>
      <w:spacing w:val="5"/>
    </w:rPr>
  </w:style>
  <w:style w:type="character" w:styleId="Hyperlink">
    <w:name w:val="Hyperlink"/>
    <w:basedOn w:val="DefaultParagraphFont"/>
    <w:uiPriority w:val="99"/>
    <w:unhideWhenUsed/>
    <w:rsid w:val="00A104D1"/>
    <w:rPr>
      <w:color w:val="467886" w:themeColor="hyperlink"/>
      <w:u w:val="single"/>
    </w:rPr>
  </w:style>
  <w:style w:type="character" w:styleId="UnresolvedMention">
    <w:name w:val="Unresolved Mention"/>
    <w:basedOn w:val="DefaultParagraphFont"/>
    <w:uiPriority w:val="99"/>
    <w:semiHidden/>
    <w:unhideWhenUsed/>
    <w:rsid w:val="00A104D1"/>
    <w:rPr>
      <w:color w:val="605E5C"/>
      <w:shd w:val="clear" w:color="auto" w:fill="E1DFDD"/>
    </w:rPr>
  </w:style>
  <w:style w:type="table" w:styleId="TableGrid">
    <w:name w:val="Table Grid"/>
    <w:basedOn w:val="TableNormal"/>
    <w:uiPriority w:val="39"/>
    <w:rsid w:val="0071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global.com/spdji/en/indices/digital-assets/sp-cryptocurrency-largecap-ex-megacap-index/#overview" TargetMode="External"/><Relationship Id="rId3" Type="http://schemas.openxmlformats.org/officeDocument/2006/relationships/webSettings" Target="webSettings.xml"/><Relationship Id="rId7" Type="http://schemas.openxmlformats.org/officeDocument/2006/relationships/hyperlink" Target="https://www.paypal.com/uk/digital-wall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Revenue $ Millions</c:v>
                </c:pt>
              </c:strCache>
            </c:strRef>
          </c:tx>
          <c:spPr>
            <a:solidFill>
              <a:schemeClr val="accent1"/>
            </a:solidFill>
            <a:ln>
              <a:noFill/>
            </a:ln>
            <a:effectLst/>
          </c:spPr>
          <c:invertIfNegative val="0"/>
          <c:cat>
            <c:strRef>
              <c:f>Sheet1!$A$2</c:f>
              <c:strCache>
                <c:ptCount val="1"/>
                <c:pt idx="0">
                  <c:v>Visa</c:v>
                </c:pt>
              </c:strCache>
            </c:strRef>
          </c:cat>
          <c:val>
            <c:numRef>
              <c:f>Sheet1!$B$2</c:f>
              <c:numCache>
                <c:formatCode>General</c:formatCode>
                <c:ptCount val="1"/>
                <c:pt idx="0">
                  <c:v>32</c:v>
                </c:pt>
              </c:numCache>
            </c:numRef>
          </c:val>
          <c:extLst>
            <c:ext xmlns:c16="http://schemas.microsoft.com/office/drawing/2014/chart" uri="{C3380CC4-5D6E-409C-BE32-E72D297353CC}">
              <c16:uniqueId val="{00000000-4A0C-4806-B5C6-87253D65F92F}"/>
            </c:ext>
          </c:extLst>
        </c:ser>
        <c:ser>
          <c:idx val="1"/>
          <c:order val="1"/>
          <c:tx>
            <c:strRef>
              <c:f>Sheet1!$C$1</c:f>
              <c:strCache>
                <c:ptCount val="1"/>
                <c:pt idx="0">
                  <c:v>Customer Incentives Expenditure $ Millions</c:v>
                </c:pt>
              </c:strCache>
            </c:strRef>
          </c:tx>
          <c:spPr>
            <a:solidFill>
              <a:schemeClr val="accent2"/>
            </a:solidFill>
            <a:ln>
              <a:noFill/>
            </a:ln>
            <a:effectLst/>
          </c:spPr>
          <c:invertIfNegative val="0"/>
          <c:cat>
            <c:strRef>
              <c:f>Sheet1!$A$2</c:f>
              <c:strCache>
                <c:ptCount val="1"/>
                <c:pt idx="0">
                  <c:v>Visa</c:v>
                </c:pt>
              </c:strCache>
            </c:strRef>
          </c:cat>
          <c:val>
            <c:numRef>
              <c:f>Sheet1!$C$2</c:f>
              <c:numCache>
                <c:formatCode>General</c:formatCode>
                <c:ptCount val="1"/>
                <c:pt idx="0">
                  <c:v>12</c:v>
                </c:pt>
              </c:numCache>
            </c:numRef>
          </c:val>
          <c:extLst>
            <c:ext xmlns:c16="http://schemas.microsoft.com/office/drawing/2014/chart" uri="{C3380CC4-5D6E-409C-BE32-E72D297353CC}">
              <c16:uniqueId val="{00000001-4A0C-4806-B5C6-87253D65F92F}"/>
            </c:ext>
          </c:extLst>
        </c:ser>
        <c:dLbls>
          <c:showLegendKey val="0"/>
          <c:showVal val="0"/>
          <c:showCatName val="0"/>
          <c:showSerName val="0"/>
          <c:showPercent val="0"/>
          <c:showBubbleSize val="0"/>
        </c:dLbls>
        <c:gapWidth val="150"/>
        <c:overlap val="100"/>
        <c:axId val="104833727"/>
        <c:axId val="104828447"/>
      </c:barChart>
      <c:catAx>
        <c:axId val="104833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828447"/>
        <c:crosses val="autoZero"/>
        <c:auto val="1"/>
        <c:lblAlgn val="ctr"/>
        <c:lblOffset val="100"/>
        <c:noMultiLvlLbl val="0"/>
      </c:catAx>
      <c:valAx>
        <c:axId val="1048284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833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Coinbase</a:t>
            </a:r>
            <a:r>
              <a:rPr lang="en-GB" baseline="0"/>
              <a:t> Net income growth v cryptocurrency price growth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Coinbase</c:v>
                </c:pt>
              </c:strCache>
            </c:strRef>
          </c:tx>
          <c:spPr>
            <a:ln w="28575" cap="rnd">
              <a:solidFill>
                <a:schemeClr val="accent1"/>
              </a:solidFill>
              <a:round/>
            </a:ln>
            <a:effectLst/>
          </c:spPr>
          <c:marker>
            <c:symbol val="none"/>
          </c:marker>
          <c:cat>
            <c:numRef>
              <c:f>Sheet1!$A$2:$A$5</c:f>
              <c:numCache>
                <c:formatCode>General</c:formatCode>
                <c:ptCount val="4"/>
                <c:pt idx="0">
                  <c:v>2020</c:v>
                </c:pt>
                <c:pt idx="1">
                  <c:v>2021</c:v>
                </c:pt>
                <c:pt idx="2">
                  <c:v>2022</c:v>
                </c:pt>
                <c:pt idx="3">
                  <c:v>2023</c:v>
                </c:pt>
              </c:numCache>
            </c:numRef>
          </c:cat>
          <c:val>
            <c:numRef>
              <c:f>Sheet1!$B$2:$B$5</c:f>
              <c:numCache>
                <c:formatCode>General</c:formatCode>
                <c:ptCount val="4"/>
                <c:pt idx="0">
                  <c:v>330</c:v>
                </c:pt>
                <c:pt idx="1">
                  <c:v>750</c:v>
                </c:pt>
                <c:pt idx="2">
                  <c:v>-1000</c:v>
                </c:pt>
                <c:pt idx="3">
                  <c:v>1020</c:v>
                </c:pt>
              </c:numCache>
            </c:numRef>
          </c:val>
          <c:smooth val="0"/>
          <c:extLst>
            <c:ext xmlns:c16="http://schemas.microsoft.com/office/drawing/2014/chart" uri="{C3380CC4-5D6E-409C-BE32-E72D297353CC}">
              <c16:uniqueId val="{00000000-1013-42C2-9FFA-3969AD0BB24F}"/>
            </c:ext>
          </c:extLst>
        </c:ser>
        <c:ser>
          <c:idx val="1"/>
          <c:order val="1"/>
          <c:tx>
            <c:strRef>
              <c:f>Sheet1!$C$1</c:f>
              <c:strCache>
                <c:ptCount val="1"/>
                <c:pt idx="0">
                  <c:v>Cryptocurrency Large Cap Index</c:v>
                </c:pt>
              </c:strCache>
            </c:strRef>
          </c:tx>
          <c:spPr>
            <a:ln w="28575" cap="rnd">
              <a:solidFill>
                <a:schemeClr val="accent2"/>
              </a:solidFill>
              <a:round/>
            </a:ln>
            <a:effectLst/>
          </c:spPr>
          <c:marker>
            <c:symbol val="none"/>
          </c:marker>
          <c:cat>
            <c:numRef>
              <c:f>Sheet1!$A$2:$A$5</c:f>
              <c:numCache>
                <c:formatCode>General</c:formatCode>
                <c:ptCount val="4"/>
                <c:pt idx="0">
                  <c:v>2020</c:v>
                </c:pt>
                <c:pt idx="1">
                  <c:v>2021</c:v>
                </c:pt>
                <c:pt idx="2">
                  <c:v>2022</c:v>
                </c:pt>
                <c:pt idx="3">
                  <c:v>2023</c:v>
                </c:pt>
              </c:numCache>
            </c:numRef>
          </c:cat>
          <c:val>
            <c:numRef>
              <c:f>Sheet1!$C$2:$C$5</c:f>
              <c:numCache>
                <c:formatCode>General</c:formatCode>
                <c:ptCount val="4"/>
                <c:pt idx="0">
                  <c:v>135</c:v>
                </c:pt>
                <c:pt idx="1">
                  <c:v>400</c:v>
                </c:pt>
                <c:pt idx="2">
                  <c:v>-50</c:v>
                </c:pt>
                <c:pt idx="3">
                  <c:v>30</c:v>
                </c:pt>
              </c:numCache>
            </c:numRef>
          </c:val>
          <c:smooth val="0"/>
          <c:extLst>
            <c:ext xmlns:c16="http://schemas.microsoft.com/office/drawing/2014/chart" uri="{C3380CC4-5D6E-409C-BE32-E72D297353CC}">
              <c16:uniqueId val="{00000001-1013-42C2-9FFA-3969AD0BB24F}"/>
            </c:ext>
          </c:extLst>
        </c:ser>
        <c:dLbls>
          <c:showLegendKey val="0"/>
          <c:showVal val="0"/>
          <c:showCatName val="0"/>
          <c:showSerName val="0"/>
          <c:showPercent val="0"/>
          <c:showBubbleSize val="0"/>
        </c:dLbls>
        <c:smooth val="0"/>
        <c:axId val="107721791"/>
        <c:axId val="107728031"/>
      </c:lineChart>
      <c:catAx>
        <c:axId val="10772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28031"/>
        <c:crosses val="autoZero"/>
        <c:auto val="1"/>
        <c:lblAlgn val="ctr"/>
        <c:lblOffset val="100"/>
        <c:noMultiLvlLbl val="0"/>
      </c:catAx>
      <c:valAx>
        <c:axId val="107728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721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Revenue $ Millions</c:v>
                </c:pt>
              </c:strCache>
            </c:strRef>
          </c:tx>
          <c:spPr>
            <a:solidFill>
              <a:schemeClr val="accent1"/>
            </a:solidFill>
            <a:ln>
              <a:noFill/>
            </a:ln>
            <a:effectLst/>
          </c:spPr>
          <c:invertIfNegative val="0"/>
          <c:cat>
            <c:strRef>
              <c:f>Sheet1!$A$2:$A$5</c:f>
              <c:strCache>
                <c:ptCount val="4"/>
                <c:pt idx="0">
                  <c:v>2021</c:v>
                </c:pt>
                <c:pt idx="1">
                  <c:v>2022</c:v>
                </c:pt>
                <c:pt idx="2">
                  <c:v>2023</c:v>
                </c:pt>
                <c:pt idx="3">
                  <c:v>TTM</c:v>
                </c:pt>
              </c:strCache>
            </c:strRef>
          </c:cat>
          <c:val>
            <c:numRef>
              <c:f>Sheet1!$B$2:$B$5</c:f>
              <c:numCache>
                <c:formatCode>General</c:formatCode>
                <c:ptCount val="4"/>
                <c:pt idx="0">
                  <c:v>421</c:v>
                </c:pt>
                <c:pt idx="1">
                  <c:v>560</c:v>
                </c:pt>
                <c:pt idx="2">
                  <c:v>986</c:v>
                </c:pt>
                <c:pt idx="3">
                  <c:v>1537</c:v>
                </c:pt>
              </c:numCache>
            </c:numRef>
          </c:val>
          <c:extLst>
            <c:ext xmlns:c16="http://schemas.microsoft.com/office/drawing/2014/chart" uri="{C3380CC4-5D6E-409C-BE32-E72D297353CC}">
              <c16:uniqueId val="{00000000-2530-4B8D-AD3F-61B57DA9D911}"/>
            </c:ext>
          </c:extLst>
        </c:ser>
        <c:dLbls>
          <c:showLegendKey val="0"/>
          <c:showVal val="0"/>
          <c:showCatName val="0"/>
          <c:showSerName val="0"/>
          <c:showPercent val="0"/>
          <c:showBubbleSize val="0"/>
        </c:dLbls>
        <c:gapWidth val="182"/>
        <c:axId val="2055575967"/>
        <c:axId val="2055565887"/>
      </c:barChart>
      <c:catAx>
        <c:axId val="20555759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565887"/>
        <c:crosses val="autoZero"/>
        <c:auto val="1"/>
        <c:lblAlgn val="ctr"/>
        <c:lblOffset val="100"/>
        <c:noMultiLvlLbl val="0"/>
      </c:catAx>
      <c:valAx>
        <c:axId val="20555658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57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BAZINI</dc:creator>
  <cp:keywords/>
  <dc:description/>
  <cp:lastModifiedBy>BENJAMIN BAZINI</cp:lastModifiedBy>
  <cp:revision>60</cp:revision>
  <dcterms:created xsi:type="dcterms:W3CDTF">2024-11-18T13:00:00Z</dcterms:created>
  <dcterms:modified xsi:type="dcterms:W3CDTF">2024-11-20T16:40:00Z</dcterms:modified>
</cp:coreProperties>
</file>