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9B" w:rsidRPr="00EA06C2" w:rsidRDefault="00DD1F9B" w:rsidP="00941321">
      <w:pPr>
        <w:jc w:val="both"/>
        <w:rPr>
          <w:b/>
          <w:sz w:val="32"/>
          <w:szCs w:val="32"/>
        </w:rPr>
      </w:pPr>
      <w:r w:rsidRPr="00EA06C2">
        <w:rPr>
          <w:b/>
          <w:sz w:val="32"/>
          <w:szCs w:val="32"/>
        </w:rPr>
        <w:t>Analysis: Revenue and Cost Drivers for Mar</w:t>
      </w:r>
      <w:r w:rsidR="00A20FB4">
        <w:rPr>
          <w:b/>
          <w:sz w:val="32"/>
          <w:szCs w:val="32"/>
        </w:rPr>
        <w:t>riott Inc. and J&amp;J</w:t>
      </w:r>
    </w:p>
    <w:p w:rsidR="00DD1F9B" w:rsidRPr="00A20FB4" w:rsidRDefault="00DD1F9B" w:rsidP="00941321">
      <w:pPr>
        <w:jc w:val="both"/>
        <w:rPr>
          <w:b/>
        </w:rPr>
      </w:pPr>
      <w:r w:rsidRPr="00A20FB4">
        <w:rPr>
          <w:b/>
        </w:rPr>
        <w:t>1. Marriott Inc.</w:t>
      </w:r>
    </w:p>
    <w:p w:rsidR="00DD1F9B" w:rsidRPr="00A20FB4" w:rsidRDefault="00DD1F9B" w:rsidP="00941321">
      <w:pPr>
        <w:jc w:val="both"/>
      </w:pPr>
      <w:r w:rsidRPr="00A20FB4">
        <w:t>Primary Revenue Sources:</w:t>
      </w:r>
    </w:p>
    <w:p w:rsidR="00323109" w:rsidRPr="00A20FB4" w:rsidRDefault="00BF5D91" w:rsidP="00941321">
      <w:pPr>
        <w:pStyle w:val="ListParagraph"/>
        <w:numPr>
          <w:ilvl w:val="0"/>
          <w:numId w:val="1"/>
        </w:numPr>
        <w:jc w:val="both"/>
      </w:pPr>
      <w:r w:rsidRPr="00A20FB4">
        <w:t>Marriott Inc.</w:t>
      </w:r>
      <w:r w:rsidRPr="00A20FB4">
        <w:t xml:space="preserve"> </w:t>
      </w:r>
      <w:r w:rsidR="002241C4" w:rsidRPr="00A20FB4">
        <w:t>reported fantasti</w:t>
      </w:r>
      <w:r w:rsidR="00000B16" w:rsidRPr="00A20FB4">
        <w:t xml:space="preserve">c results in 2023 as demand for </w:t>
      </w:r>
      <w:r w:rsidR="002241C4" w:rsidRPr="00A20FB4">
        <w:t xml:space="preserve">travel </w:t>
      </w:r>
      <w:r w:rsidR="0017514E" w:rsidRPr="00A20FB4">
        <w:t>and</w:t>
      </w:r>
      <w:r w:rsidR="002241C4" w:rsidRPr="00A20FB4">
        <w:t xml:space="preserve"> industry-le</w:t>
      </w:r>
      <w:r w:rsidR="00000B16" w:rsidRPr="00A20FB4">
        <w:t xml:space="preserve">ading portfolio grew. Full year </w:t>
      </w:r>
      <w:r w:rsidR="002241C4" w:rsidRPr="00A20FB4">
        <w:t>global reven</w:t>
      </w:r>
      <w:r w:rsidR="00000B16" w:rsidRPr="00A20FB4">
        <w:t xml:space="preserve">ue per available room (RevPAR)1 rose nearly </w:t>
      </w:r>
      <w:r w:rsidR="002241C4" w:rsidRPr="00A20FB4">
        <w:t>15 percent and net rooms grew 4.7 percent, the company’s highest net rooms growth since 2019.</w:t>
      </w:r>
    </w:p>
    <w:p w:rsidR="00A20FB4" w:rsidRDefault="00DD1F9B" w:rsidP="00941321">
      <w:pPr>
        <w:pStyle w:val="ListParagraph"/>
        <w:numPr>
          <w:ilvl w:val="0"/>
          <w:numId w:val="1"/>
        </w:numPr>
        <w:jc w:val="both"/>
      </w:pPr>
      <w:r w:rsidRPr="00213161">
        <w:rPr>
          <w:b/>
          <w:i/>
        </w:rPr>
        <w:t>Base Management Fees</w:t>
      </w:r>
      <w:r w:rsidRPr="00A20FB4">
        <w:t>: Generated from managing properties and in</w:t>
      </w:r>
      <w:r w:rsidR="003B4E76" w:rsidRPr="00A20FB4">
        <w:t xml:space="preserve">creasing year-over-year by 18%. </w:t>
      </w:r>
      <w:r w:rsidRPr="00213161">
        <w:rPr>
          <w:b/>
          <w:i/>
        </w:rPr>
        <w:t>Franchise Fees:</w:t>
      </w:r>
      <w:r w:rsidRPr="00A20FB4">
        <w:t xml:space="preserve"> Significant contributor, driven by brand expansion and de</w:t>
      </w:r>
      <w:r w:rsidR="003B4E76" w:rsidRPr="00A20FB4">
        <w:t xml:space="preserve">mand for franchised properties. </w:t>
      </w:r>
      <w:r w:rsidRPr="00213161">
        <w:rPr>
          <w:b/>
          <w:i/>
        </w:rPr>
        <w:t>Incentive Management Fees</w:t>
      </w:r>
      <w:r w:rsidRPr="00A20FB4">
        <w:t>: These fees increased by ~20% over pre-pandemic levels, driven by higher r</w:t>
      </w:r>
      <w:r w:rsidR="003B4E76" w:rsidRPr="00A20FB4">
        <w:t>oom rates and occupancy levels.</w:t>
      </w:r>
    </w:p>
    <w:p w:rsidR="00DD1F9B" w:rsidRPr="00A20FB4" w:rsidRDefault="00DD1F9B" w:rsidP="00941321">
      <w:pPr>
        <w:pStyle w:val="ListParagraph"/>
        <w:numPr>
          <w:ilvl w:val="0"/>
          <w:numId w:val="1"/>
        </w:numPr>
        <w:jc w:val="both"/>
      </w:pPr>
      <w:r w:rsidRPr="00A20FB4">
        <w:t>Price: Growth in Average Daily Rate (ADR) and Revenue Per Available Room (RevPAR) contributed s</w:t>
      </w:r>
      <w:r w:rsidR="003B4E76" w:rsidRPr="00A20FB4">
        <w:t xml:space="preserve">ignificantly to revenue growth. </w:t>
      </w:r>
      <w:r w:rsidRPr="00A20FB4">
        <w:t>Volume: Record 573,000 rooms in the pipeline and a 15% net growth in development underline</w:t>
      </w:r>
      <w:r>
        <w:t xml:space="preserve"> volume growth.</w:t>
      </w:r>
    </w:p>
    <w:p w:rsidR="00DD1F9B" w:rsidRDefault="00DD1F9B" w:rsidP="00941321">
      <w:pPr>
        <w:jc w:val="both"/>
      </w:pPr>
      <w:r>
        <w:t>C</w:t>
      </w:r>
      <w:r w:rsidR="00323109">
        <w:t>ost Drivers:</w:t>
      </w:r>
    </w:p>
    <w:p w:rsidR="00323109" w:rsidRDefault="00FC3C2D" w:rsidP="00941321">
      <w:pPr>
        <w:pStyle w:val="ListParagraph"/>
        <w:numPr>
          <w:ilvl w:val="0"/>
          <w:numId w:val="1"/>
        </w:numPr>
        <w:jc w:val="both"/>
      </w:pPr>
      <w:r>
        <w:t>L</w:t>
      </w:r>
      <w:r w:rsidR="003B4E76">
        <w:t>arge</w:t>
      </w:r>
      <w:r>
        <w:t xml:space="preserve">ly driven by </w:t>
      </w:r>
      <w:r w:rsidR="00DD1F9B">
        <w:t>Reimbursed expenses linked to property operations (correlate</w:t>
      </w:r>
      <w:r w:rsidR="003B4E76">
        <w:t>d directly with revenue growth)</w:t>
      </w:r>
      <w:r w:rsidR="003B4E76" w:rsidRPr="003B4E76">
        <w:t xml:space="preserve"> </w:t>
      </w:r>
      <w:r w:rsidR="003B4E76">
        <w:t xml:space="preserve">and </w:t>
      </w:r>
      <w:r w:rsidR="003B4E76">
        <w:t>Ge</w:t>
      </w:r>
      <w:r w:rsidR="00323109">
        <w:t>neral/</w:t>
      </w:r>
      <w:r w:rsidR="00323109">
        <w:t>Administrative and operational costs related to managing owned and franchised properties.</w:t>
      </w:r>
    </w:p>
    <w:p w:rsidR="00DD1F9B" w:rsidRPr="00A20FB4" w:rsidRDefault="00DD1F9B" w:rsidP="00941321">
      <w:pPr>
        <w:jc w:val="both"/>
        <w:rPr>
          <w:b/>
        </w:rPr>
      </w:pPr>
      <w:r w:rsidRPr="00A20FB4">
        <w:rPr>
          <w:b/>
        </w:rPr>
        <w:t>2. Johnson &amp; Johnson</w:t>
      </w:r>
    </w:p>
    <w:p w:rsidR="00EA06C2" w:rsidRDefault="00DD1F9B" w:rsidP="00941321">
      <w:pPr>
        <w:pStyle w:val="ListParagraph"/>
        <w:numPr>
          <w:ilvl w:val="0"/>
          <w:numId w:val="1"/>
        </w:numPr>
        <w:jc w:val="both"/>
      </w:pPr>
      <w:r w:rsidRPr="00A9613B">
        <w:rPr>
          <w:b/>
        </w:rPr>
        <w:t>Primary Revenue Sources</w:t>
      </w:r>
      <w:r>
        <w:t>:</w:t>
      </w:r>
      <w:r w:rsidR="00A9613B">
        <w:t xml:space="preserve"> </w:t>
      </w:r>
      <w:r w:rsidR="00EA06C2" w:rsidRPr="00A20FB4">
        <w:t>Sales of the Comp</w:t>
      </w:r>
      <w:r w:rsidR="00A9613B">
        <w:t>any's largest product, STELARA accounted for</w:t>
      </w:r>
      <w:r w:rsidR="00EA06C2" w:rsidRPr="00A20FB4">
        <w:t xml:space="preserve"> 12.8% of the Company's total revenues for fiscal 2023</w:t>
      </w:r>
      <w:r w:rsidR="0031047C" w:rsidRPr="00A20FB4">
        <w:t xml:space="preserve"> to 10.86 out of 54.8</w:t>
      </w:r>
      <w:r w:rsidR="00A9613B">
        <w:t>bn innovative medicine segment</w:t>
      </w:r>
      <w:r w:rsidR="00EA06C2" w:rsidRPr="00A20FB4">
        <w:t>. Accordingly, the patents related to this product are believe</w:t>
      </w:r>
      <w:r w:rsidR="00A20FB4" w:rsidRPr="00A20FB4">
        <w:t>d to be material to the Company</w:t>
      </w:r>
      <w:r w:rsidR="00EA06C2" w:rsidRPr="00A20FB4">
        <w:t xml:space="preserve">. Sales of the Company's second largest </w:t>
      </w:r>
      <w:r w:rsidR="00A9613B">
        <w:t xml:space="preserve">product, collectively DARZALEX and DARZALEX FASPRO </w:t>
      </w:r>
      <w:r w:rsidR="00EA06C2" w:rsidRPr="00A20FB4">
        <w:t xml:space="preserve">accounted for </w:t>
      </w:r>
      <w:r w:rsidR="00A9613B">
        <w:t xml:space="preserve">11.4% of the </w:t>
      </w:r>
      <w:r w:rsidR="00EA06C2" w:rsidRPr="00A20FB4">
        <w:t xml:space="preserve">total revenues for fiscal 2023. </w:t>
      </w:r>
    </w:p>
    <w:p w:rsidR="00DD1F9B" w:rsidRDefault="00A9613B" w:rsidP="00941321">
      <w:pPr>
        <w:pStyle w:val="ListParagraph"/>
        <w:numPr>
          <w:ilvl w:val="0"/>
          <w:numId w:val="1"/>
        </w:numPr>
        <w:jc w:val="both"/>
      </w:pPr>
      <w:r w:rsidRPr="00A9613B">
        <w:rPr>
          <w:b/>
        </w:rPr>
        <w:t>Cost Drivers</w:t>
      </w:r>
      <w:r w:rsidRPr="00A9613B">
        <w:rPr>
          <w:b/>
        </w:rPr>
        <w:t>:</w:t>
      </w:r>
      <w:r>
        <w:t xml:space="preserve"> </w:t>
      </w:r>
      <w:r w:rsidR="007A7D7D">
        <w:t>Cost of products sold increased</w:t>
      </w:r>
      <w:r w:rsidR="007A7D7D">
        <w:t xml:space="preserve"> to 26.6bn from 24.6 </w:t>
      </w:r>
      <w:r>
        <w:t>driven by: •</w:t>
      </w:r>
      <w:r w:rsidR="007A7D7D">
        <w:t xml:space="preserve">Commodity inflation, unfavorable product mix, restructuring related excess inventory costs and </w:t>
      </w:r>
      <w:proofErr w:type="spellStart"/>
      <w:r w:rsidR="007A7D7D">
        <w:t>Abiomed</w:t>
      </w:r>
      <w:proofErr w:type="spellEnd"/>
      <w:r w:rsidR="007A7D7D">
        <w:t xml:space="preserve"> amortization in the </w:t>
      </w:r>
      <w:proofErr w:type="spellStart"/>
      <w:r w:rsidR="007A7D7D">
        <w:t>MedTech</w:t>
      </w:r>
      <w:proofErr w:type="spellEnd"/>
      <w:r w:rsidR="007A7D7D">
        <w:t xml:space="preserve"> business partially offset by • Favorable patient mix and lower one-time COVID-19 vaccine manufacturing related exit costs in 2023 in the Innovative Medicine business The intangible asset amortization expense included in cost of products sold was $4.5 billion and $3.9 billion for the fiscal years 2023 and 2022, respectively. </w:t>
      </w:r>
      <w:r w:rsidRPr="00A9613B">
        <w:rPr>
          <w:b/>
          <w:i/>
        </w:rPr>
        <w:t>Fixed Costs</w:t>
      </w:r>
      <w:r>
        <w:t xml:space="preserve">: </w:t>
      </w:r>
      <w:r w:rsidR="00DD1F9B">
        <w:t>Research &amp; Development (R&amp;D) investments (~$15.1 b</w:t>
      </w:r>
      <w:r>
        <w:t xml:space="preserve">illion in 2023) for innovation. </w:t>
      </w:r>
      <w:r w:rsidR="00DD1F9B">
        <w:t>Administrative and operational costs across global facilities.</w:t>
      </w:r>
      <w:r>
        <w:t xml:space="preserve"> </w:t>
      </w:r>
      <w:r w:rsidRPr="00A9613B">
        <w:rPr>
          <w:b/>
          <w:i/>
        </w:rPr>
        <w:t>Variable Costs</w:t>
      </w:r>
      <w:r>
        <w:t xml:space="preserve">: </w:t>
      </w:r>
      <w:r w:rsidR="00DD1F9B">
        <w:t xml:space="preserve">Manufacturing and supply chain costs, influenced by raw material </w:t>
      </w:r>
      <w:r>
        <w:t xml:space="preserve">pricing and production volumes. </w:t>
      </w:r>
      <w:r w:rsidR="00DD1F9B">
        <w:t>Marketing</w:t>
      </w:r>
      <w:bookmarkStart w:id="0" w:name="_GoBack"/>
      <w:bookmarkEnd w:id="0"/>
      <w:r w:rsidR="00DD1F9B">
        <w:t xml:space="preserve"> and promotional expenses, adjusted based on product launches.</w:t>
      </w:r>
    </w:p>
    <w:p w:rsidR="00DD1F9B" w:rsidRPr="00A20FB4" w:rsidRDefault="00DD1F9B" w:rsidP="00941321">
      <w:pPr>
        <w:jc w:val="both"/>
        <w:rPr>
          <w:b/>
        </w:rPr>
      </w:pPr>
      <w:r w:rsidRPr="00A20FB4">
        <w:rPr>
          <w:b/>
        </w:rPr>
        <w:t>Peers and Comparison</w:t>
      </w:r>
    </w:p>
    <w:p w:rsidR="00DD1F9B" w:rsidRDefault="00DD1F9B" w:rsidP="00941321">
      <w:pPr>
        <w:jc w:val="both"/>
      </w:pPr>
      <w:r>
        <w:t>Marriott Inc. Peers: Hilton Worldwide, Hyatt Hotels, Intercontinental Hotels Group (IHG).</w:t>
      </w:r>
    </w:p>
    <w:p w:rsidR="00DD1F9B" w:rsidRDefault="00DD1F9B" w:rsidP="00941321">
      <w:pPr>
        <w:jc w:val="both"/>
      </w:pPr>
      <w:r w:rsidRPr="00A20FB4">
        <w:rPr>
          <w:b/>
          <w:i/>
        </w:rPr>
        <w:t>Comparison</w:t>
      </w:r>
      <w:r w:rsidRPr="00A20FB4">
        <w:rPr>
          <w:b/>
        </w:rPr>
        <w:t>:</w:t>
      </w:r>
      <w:r>
        <w:t xml:space="preserve"> Marriott outperformed its peers in revenue growth and room additions, driven by its loyalty program and diversified brand portfolio.</w:t>
      </w:r>
    </w:p>
    <w:p w:rsidR="00DD1F9B" w:rsidRDefault="00DD1F9B" w:rsidP="00941321">
      <w:pPr>
        <w:jc w:val="both"/>
      </w:pPr>
      <w:r>
        <w:t>Johnson &amp; Johnson Peers: Pfizer, Roche, Abbott Laboratories.</w:t>
      </w:r>
    </w:p>
    <w:p w:rsidR="00DA39C1" w:rsidRDefault="00DD1F9B" w:rsidP="00941321">
      <w:pPr>
        <w:jc w:val="both"/>
      </w:pPr>
      <w:r w:rsidRPr="00A20FB4">
        <w:rPr>
          <w:b/>
          <w:i/>
        </w:rPr>
        <w:t>Comparison</w:t>
      </w:r>
      <w:r>
        <w:t>: J&amp;J's balanced portfolio and robust R&amp;D investments ensure steady growth, whereas competitors like Pfizer have higher dependency on single segments (e.g., COVID-19 products).</w:t>
      </w:r>
    </w:p>
    <w:sectPr w:rsidR="00DA3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F0D14"/>
    <w:multiLevelType w:val="hybridMultilevel"/>
    <w:tmpl w:val="5F92E004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9B"/>
    <w:rsid w:val="00000B16"/>
    <w:rsid w:val="0017514E"/>
    <w:rsid w:val="00201630"/>
    <w:rsid w:val="00213161"/>
    <w:rsid w:val="002241C4"/>
    <w:rsid w:val="0031047C"/>
    <w:rsid w:val="00323109"/>
    <w:rsid w:val="003B4E76"/>
    <w:rsid w:val="007A7D7D"/>
    <w:rsid w:val="00941321"/>
    <w:rsid w:val="00983649"/>
    <w:rsid w:val="00A20FB4"/>
    <w:rsid w:val="00A9613B"/>
    <w:rsid w:val="00BF5D91"/>
    <w:rsid w:val="00C746FF"/>
    <w:rsid w:val="00DA39C1"/>
    <w:rsid w:val="00DD1F9B"/>
    <w:rsid w:val="00EA06C2"/>
    <w:rsid w:val="00FC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88F4"/>
  <w15:chartTrackingRefBased/>
  <w15:docId w15:val="{433F7491-0196-47AF-A16B-67308081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6675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2025-01-06T14:36:00Z</dcterms:created>
  <dcterms:modified xsi:type="dcterms:W3CDTF">2025-01-13T10:12:00Z</dcterms:modified>
</cp:coreProperties>
</file>