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5E" w:rsidRPr="0039795E" w:rsidRDefault="003B2A4E" w:rsidP="007D5BDA">
      <w:pPr>
        <w:spacing w:line="276" w:lineRule="auto"/>
        <w:jc w:val="both"/>
        <w:rPr>
          <w:sz w:val="28"/>
          <w:szCs w:val="28"/>
          <w:lang w:val="en-GB"/>
        </w:rPr>
      </w:pPr>
      <w:bookmarkStart w:id="0" w:name="_GoBack"/>
      <w:r w:rsidRPr="0039795E">
        <w:rPr>
          <w:b/>
          <w:bCs/>
          <w:sz w:val="28"/>
          <w:szCs w:val="28"/>
          <w:lang w:val="en-GB"/>
        </w:rPr>
        <w:t>Market Research Report on Visa Inc.</w:t>
      </w:r>
    </w:p>
    <w:p w:rsidR="003B2A4E" w:rsidRPr="00A81303" w:rsidRDefault="003B2A4E" w:rsidP="007D5BDA">
      <w:pPr>
        <w:spacing w:line="276" w:lineRule="auto"/>
        <w:jc w:val="both"/>
        <w:rPr>
          <w:b/>
          <w:sz w:val="28"/>
          <w:szCs w:val="28"/>
          <w:lang w:val="en-GB"/>
        </w:rPr>
      </w:pPr>
      <w:r w:rsidRPr="00A81303">
        <w:rPr>
          <w:b/>
          <w:bCs/>
          <w:sz w:val="28"/>
          <w:szCs w:val="28"/>
          <w:lang w:val="en-GB"/>
        </w:rPr>
        <w:t xml:space="preserve"> Introduction</w:t>
      </w:r>
    </w:p>
    <w:p w:rsidR="003B2A4E" w:rsidRPr="003B2A4E" w:rsidRDefault="003B2A4E" w:rsidP="007D5BDA">
      <w:pPr>
        <w:spacing w:line="276" w:lineRule="auto"/>
        <w:jc w:val="both"/>
        <w:rPr>
          <w:lang w:val="en-GB"/>
        </w:rPr>
      </w:pPr>
      <w:r w:rsidRPr="003B2A4E">
        <w:rPr>
          <w:lang w:val="en-GB"/>
        </w:rPr>
        <w:t>Visa Inc. is a leading global payments technology company that facilitates electronic funds transfers across the globe, primarily through Visa-branded cre</w:t>
      </w:r>
      <w:r w:rsidR="00B95A80">
        <w:rPr>
          <w:lang w:val="en-GB"/>
        </w:rPr>
        <w:t>dit, debit, and prepaid cards.</w:t>
      </w:r>
      <w:r w:rsidR="007D5BDA" w:rsidRPr="007D5BDA">
        <w:t xml:space="preserve"> </w:t>
      </w:r>
      <w:r w:rsidR="007D5BDA" w:rsidRPr="007D5BDA">
        <w:rPr>
          <w:lang w:val="en-GB"/>
        </w:rPr>
        <w:t xml:space="preserve"> Its portfolio of offerings consists of mobile payments, payment cards, commercial payments, transaction processing services, merchant solutions, and other </w:t>
      </w:r>
      <w:proofErr w:type="spellStart"/>
      <w:r w:rsidR="007D5BDA" w:rsidRPr="007D5BDA">
        <w:rPr>
          <w:lang w:val="en-GB"/>
        </w:rPr>
        <w:t>digitaI</w:t>
      </w:r>
      <w:proofErr w:type="spellEnd"/>
      <w:r w:rsidR="007D5BDA">
        <w:rPr>
          <w:lang w:val="en-GB"/>
        </w:rPr>
        <w:t xml:space="preserve"> services.</w:t>
      </w:r>
      <w:r w:rsidR="00B95A80" w:rsidRPr="007D5BDA">
        <w:rPr>
          <w:lang w:val="en-GB"/>
        </w:rPr>
        <w:t xml:space="preserve"> </w:t>
      </w:r>
      <w:r w:rsidR="00B95A80">
        <w:rPr>
          <w:lang w:val="en-GB"/>
        </w:rPr>
        <w:t>The company operates</w:t>
      </w:r>
      <w:r w:rsidRPr="003B2A4E">
        <w:rPr>
          <w:lang w:val="en-GB"/>
        </w:rPr>
        <w:t xml:space="preserve"> in ove</w:t>
      </w:r>
      <w:r w:rsidR="00B95A80">
        <w:rPr>
          <w:lang w:val="en-GB"/>
        </w:rPr>
        <w:t>r 200 countries and territories.</w:t>
      </w:r>
      <w:r w:rsidRPr="003B2A4E">
        <w:rPr>
          <w:lang w:val="en-GB"/>
        </w:rPr>
        <w:t xml:space="preserve"> Visa’s services include transaction processing, payment security solutions, and data analytics. The purpose of this report is to </w:t>
      </w:r>
      <w:proofErr w:type="spellStart"/>
      <w:r w:rsidRPr="003B2A4E">
        <w:rPr>
          <w:lang w:val="en-GB"/>
        </w:rPr>
        <w:t>analyze</w:t>
      </w:r>
      <w:proofErr w:type="spellEnd"/>
      <w:r w:rsidRPr="003B2A4E">
        <w:rPr>
          <w:lang w:val="en-GB"/>
        </w:rPr>
        <w:t xml:space="preserve"> Visa’s industry position, revenue and cost drivers, market trends, and competitive landscape.</w:t>
      </w:r>
      <w:r w:rsidR="00D4694B" w:rsidRPr="00D4694B">
        <w:rPr>
          <w:rFonts w:ascii="Arial" w:hAnsi="Arial" w:cs="Arial"/>
          <w:color w:val="222222"/>
          <w:sz w:val="25"/>
          <w:szCs w:val="25"/>
          <w:shd w:val="clear" w:color="auto" w:fill="FFFFFF"/>
        </w:rPr>
        <w:t xml:space="preserve"> </w:t>
      </w:r>
    </w:p>
    <w:p w:rsidR="003B2A4E" w:rsidRPr="00A81303" w:rsidRDefault="003B2A4E" w:rsidP="007D5BDA">
      <w:pPr>
        <w:spacing w:line="276" w:lineRule="auto"/>
        <w:jc w:val="both"/>
        <w:rPr>
          <w:b/>
          <w:bCs/>
          <w:sz w:val="28"/>
          <w:szCs w:val="28"/>
          <w:lang w:val="en-GB"/>
        </w:rPr>
      </w:pPr>
      <w:r w:rsidRPr="00A81303">
        <w:rPr>
          <w:b/>
          <w:bCs/>
          <w:sz w:val="28"/>
          <w:szCs w:val="28"/>
          <w:lang w:val="en-GB"/>
        </w:rPr>
        <w:t xml:space="preserve"> Industry Overview</w:t>
      </w:r>
    </w:p>
    <w:p w:rsidR="003B2A4E" w:rsidRPr="003B2A4E" w:rsidRDefault="003B2A4E" w:rsidP="007D5BDA">
      <w:pPr>
        <w:spacing w:line="276" w:lineRule="auto"/>
        <w:jc w:val="both"/>
        <w:rPr>
          <w:lang w:val="en-GB"/>
        </w:rPr>
      </w:pPr>
      <w:r w:rsidRPr="003B2A4E">
        <w:rPr>
          <w:lang w:val="en-GB"/>
        </w:rPr>
        <w:t>Visa operates in the financial services and payment processing industry, a rapidly evolving sector driven by technological advancements and changing consumer preferences. The industry is characterized by increasing adoption of digital payments, mobile wallets, and e-commerce transactions.</w:t>
      </w:r>
      <w:r w:rsidR="00B95A80">
        <w:rPr>
          <w:lang w:val="en-GB"/>
        </w:rPr>
        <w:t xml:space="preserve"> The sector is influenced by significant regulatory scrutiny</w:t>
      </w:r>
      <w:r w:rsidRPr="003B2A4E">
        <w:rPr>
          <w:lang w:val="en-GB"/>
        </w:rPr>
        <w:t xml:space="preserve"> and macroeconomic factors, such as inflation and currency fluctua</w:t>
      </w:r>
      <w:r w:rsidR="00B95A80">
        <w:rPr>
          <w:lang w:val="en-GB"/>
        </w:rPr>
        <w:t>tions</w:t>
      </w:r>
      <w:r w:rsidRPr="003B2A4E">
        <w:rPr>
          <w:lang w:val="en-GB"/>
        </w:rPr>
        <w:t>.</w:t>
      </w:r>
    </w:p>
    <w:p w:rsidR="003B2A4E" w:rsidRPr="00A81303" w:rsidRDefault="003B2A4E" w:rsidP="007D5BDA">
      <w:pPr>
        <w:spacing w:line="276" w:lineRule="auto"/>
        <w:jc w:val="both"/>
        <w:rPr>
          <w:b/>
          <w:bCs/>
          <w:sz w:val="28"/>
          <w:szCs w:val="28"/>
          <w:lang w:val="en-GB"/>
        </w:rPr>
      </w:pPr>
      <w:r w:rsidRPr="00A81303">
        <w:rPr>
          <w:b/>
          <w:bCs/>
          <w:sz w:val="28"/>
          <w:szCs w:val="28"/>
          <w:lang w:val="en-GB"/>
        </w:rPr>
        <w:t>Competitor Analysis</w:t>
      </w:r>
    </w:p>
    <w:p w:rsidR="003B2A4E" w:rsidRPr="00A81303" w:rsidRDefault="003B2A4E" w:rsidP="007D5BDA">
      <w:pPr>
        <w:spacing w:line="276" w:lineRule="auto"/>
        <w:jc w:val="both"/>
        <w:rPr>
          <w:b/>
          <w:bCs/>
          <w:i/>
          <w:lang w:val="en-GB"/>
        </w:rPr>
      </w:pPr>
      <w:r w:rsidRPr="00A81303">
        <w:rPr>
          <w:b/>
          <w:bCs/>
          <w:i/>
          <w:lang w:val="en-GB"/>
        </w:rPr>
        <w:t>Close Peers:</w:t>
      </w:r>
    </w:p>
    <w:p w:rsidR="003B2A4E" w:rsidRPr="003B2A4E" w:rsidRDefault="003B2A4E" w:rsidP="007D5BDA">
      <w:pPr>
        <w:numPr>
          <w:ilvl w:val="0"/>
          <w:numId w:val="1"/>
        </w:numPr>
        <w:spacing w:line="276" w:lineRule="auto"/>
        <w:jc w:val="both"/>
        <w:rPr>
          <w:lang w:val="en-GB"/>
        </w:rPr>
      </w:pPr>
      <w:proofErr w:type="spellStart"/>
      <w:r w:rsidRPr="003B2A4E">
        <w:rPr>
          <w:b/>
          <w:bCs/>
          <w:lang w:val="en-GB"/>
        </w:rPr>
        <w:t>Mastercard</w:t>
      </w:r>
      <w:proofErr w:type="spellEnd"/>
      <w:r w:rsidRPr="003B2A4E">
        <w:rPr>
          <w:b/>
          <w:bCs/>
          <w:lang w:val="en-GB"/>
        </w:rPr>
        <w:t>:</w:t>
      </w:r>
    </w:p>
    <w:p w:rsidR="003B2A4E" w:rsidRPr="003B2A4E" w:rsidRDefault="003B2A4E" w:rsidP="007D5BDA">
      <w:pPr>
        <w:numPr>
          <w:ilvl w:val="1"/>
          <w:numId w:val="1"/>
        </w:numPr>
        <w:spacing w:line="276" w:lineRule="auto"/>
        <w:jc w:val="both"/>
        <w:rPr>
          <w:lang w:val="en-GB"/>
        </w:rPr>
      </w:pPr>
      <w:r w:rsidRPr="003B2A4E">
        <w:rPr>
          <w:lang w:val="en-GB"/>
        </w:rPr>
        <w:t>Global payments network with a strong focus on innovation.</w:t>
      </w:r>
    </w:p>
    <w:p w:rsidR="003B2A4E" w:rsidRPr="003B2A4E" w:rsidRDefault="003B2A4E" w:rsidP="007D5BDA">
      <w:pPr>
        <w:numPr>
          <w:ilvl w:val="1"/>
          <w:numId w:val="1"/>
        </w:numPr>
        <w:spacing w:line="276" w:lineRule="auto"/>
        <w:jc w:val="both"/>
        <w:rPr>
          <w:lang w:val="en-GB"/>
        </w:rPr>
      </w:pPr>
      <w:r w:rsidRPr="003B2A4E">
        <w:rPr>
          <w:lang w:val="en-GB"/>
        </w:rPr>
        <w:t>Comparable revenue streams from transaction fees, cross-border transactions, and data services.</w:t>
      </w:r>
    </w:p>
    <w:p w:rsidR="003B2A4E" w:rsidRPr="003B2A4E" w:rsidRDefault="003B2A4E" w:rsidP="007D5BDA">
      <w:pPr>
        <w:numPr>
          <w:ilvl w:val="0"/>
          <w:numId w:val="1"/>
        </w:numPr>
        <w:spacing w:line="276" w:lineRule="auto"/>
        <w:jc w:val="both"/>
        <w:rPr>
          <w:lang w:val="en-GB"/>
        </w:rPr>
      </w:pPr>
      <w:r w:rsidRPr="003B2A4E">
        <w:rPr>
          <w:b/>
          <w:bCs/>
          <w:lang w:val="en-GB"/>
        </w:rPr>
        <w:t>American Express (AmEx):</w:t>
      </w:r>
    </w:p>
    <w:p w:rsidR="003B2A4E" w:rsidRPr="003B2A4E" w:rsidRDefault="003B2A4E" w:rsidP="007D5BDA">
      <w:pPr>
        <w:numPr>
          <w:ilvl w:val="1"/>
          <w:numId w:val="1"/>
        </w:numPr>
        <w:spacing w:line="276" w:lineRule="auto"/>
        <w:jc w:val="both"/>
        <w:rPr>
          <w:lang w:val="en-GB"/>
        </w:rPr>
      </w:pPr>
      <w:r w:rsidRPr="003B2A4E">
        <w:rPr>
          <w:lang w:val="en-GB"/>
        </w:rPr>
        <w:t>Specializes in premium cardholder services and travel-related benefits.</w:t>
      </w:r>
    </w:p>
    <w:p w:rsidR="003B2A4E" w:rsidRPr="003B2A4E" w:rsidRDefault="003B2A4E" w:rsidP="007D5BDA">
      <w:pPr>
        <w:numPr>
          <w:ilvl w:val="1"/>
          <w:numId w:val="1"/>
        </w:numPr>
        <w:spacing w:line="276" w:lineRule="auto"/>
        <w:jc w:val="both"/>
        <w:rPr>
          <w:lang w:val="en-GB"/>
        </w:rPr>
      </w:pPr>
      <w:r w:rsidRPr="003B2A4E">
        <w:rPr>
          <w:lang w:val="en-GB"/>
        </w:rPr>
        <w:t>More dependent on direct relationships with merchants and cardholders.</w:t>
      </w:r>
    </w:p>
    <w:p w:rsidR="003B2A4E" w:rsidRPr="00A81303" w:rsidRDefault="003B2A4E" w:rsidP="007D5BDA">
      <w:pPr>
        <w:spacing w:line="276" w:lineRule="auto"/>
        <w:jc w:val="both"/>
        <w:rPr>
          <w:b/>
          <w:bCs/>
          <w:i/>
          <w:lang w:val="en-GB"/>
        </w:rPr>
      </w:pPr>
      <w:r w:rsidRPr="00A81303">
        <w:rPr>
          <w:b/>
          <w:bCs/>
          <w:i/>
          <w:lang w:val="en-GB"/>
        </w:rPr>
        <w:t>Substitutes and New Markets:</w:t>
      </w:r>
    </w:p>
    <w:p w:rsidR="003B2A4E" w:rsidRPr="00A81303" w:rsidRDefault="003B2A4E" w:rsidP="007D5BDA">
      <w:pPr>
        <w:pStyle w:val="ListParagraph"/>
        <w:numPr>
          <w:ilvl w:val="0"/>
          <w:numId w:val="8"/>
        </w:numPr>
        <w:spacing w:line="276" w:lineRule="auto"/>
        <w:jc w:val="both"/>
        <w:rPr>
          <w:lang w:val="en-GB"/>
        </w:rPr>
      </w:pPr>
      <w:r w:rsidRPr="00A81303">
        <w:rPr>
          <w:b/>
          <w:bCs/>
          <w:lang w:val="en-GB"/>
        </w:rPr>
        <w:t>Substitutes:</w:t>
      </w:r>
      <w:r w:rsidRPr="00A81303">
        <w:rPr>
          <w:lang w:val="en-GB"/>
        </w:rPr>
        <w:t xml:space="preserve"> Emerging </w:t>
      </w:r>
      <w:proofErr w:type="spellStart"/>
      <w:r w:rsidRPr="00A81303">
        <w:rPr>
          <w:lang w:val="en-GB"/>
        </w:rPr>
        <w:t>fintech</w:t>
      </w:r>
      <w:proofErr w:type="spellEnd"/>
      <w:r w:rsidRPr="00A81303">
        <w:rPr>
          <w:lang w:val="en-GB"/>
        </w:rPr>
        <w:t xml:space="preserve"> companies like PayPal and Stripe, as well as cryptocurrency platforms, are disrupting traditional payment models.</w:t>
      </w:r>
    </w:p>
    <w:p w:rsidR="003B2A4E" w:rsidRPr="00A81303" w:rsidRDefault="003B2A4E" w:rsidP="007D5BDA">
      <w:pPr>
        <w:pStyle w:val="ListParagraph"/>
        <w:numPr>
          <w:ilvl w:val="0"/>
          <w:numId w:val="8"/>
        </w:numPr>
        <w:spacing w:line="276" w:lineRule="auto"/>
        <w:jc w:val="both"/>
        <w:rPr>
          <w:lang w:val="en-GB"/>
        </w:rPr>
      </w:pPr>
      <w:r w:rsidRPr="00A81303">
        <w:rPr>
          <w:b/>
          <w:bCs/>
          <w:lang w:val="en-GB"/>
        </w:rPr>
        <w:t>New Markets:</w:t>
      </w:r>
      <w:r w:rsidRPr="00A81303">
        <w:rPr>
          <w:lang w:val="en-GB"/>
        </w:rPr>
        <w:t xml:space="preserve"> Opportunities exist in underbanked regions such as Africa and Southeast Asia, along with sectors like embedded finance for retail and logistics.</w:t>
      </w:r>
    </w:p>
    <w:p w:rsidR="003B2A4E" w:rsidRPr="00A81303" w:rsidRDefault="003B2A4E" w:rsidP="007D5BDA">
      <w:pPr>
        <w:spacing w:line="276" w:lineRule="auto"/>
        <w:jc w:val="both"/>
        <w:rPr>
          <w:b/>
          <w:bCs/>
          <w:sz w:val="28"/>
          <w:szCs w:val="28"/>
          <w:lang w:val="en-GB"/>
        </w:rPr>
      </w:pPr>
      <w:r w:rsidRPr="00A81303">
        <w:rPr>
          <w:b/>
          <w:bCs/>
          <w:sz w:val="28"/>
          <w:szCs w:val="28"/>
          <w:lang w:val="en-GB"/>
        </w:rPr>
        <w:t>Revenue and Cost Drivers</w:t>
      </w:r>
    </w:p>
    <w:p w:rsidR="003B2A4E" w:rsidRPr="00A81303" w:rsidRDefault="00005846" w:rsidP="007D5BDA">
      <w:pPr>
        <w:spacing w:line="276" w:lineRule="auto"/>
        <w:jc w:val="both"/>
        <w:rPr>
          <w:b/>
          <w:bCs/>
          <w:i/>
          <w:lang w:val="en-GB"/>
        </w:rPr>
      </w:pPr>
      <w:r>
        <w:rPr>
          <w:b/>
          <w:bCs/>
          <w:i/>
          <w:lang w:val="en-GB"/>
        </w:rPr>
        <w:t xml:space="preserve">Major </w:t>
      </w:r>
      <w:r w:rsidR="003B2A4E" w:rsidRPr="00A81303">
        <w:rPr>
          <w:b/>
          <w:bCs/>
          <w:i/>
          <w:lang w:val="en-GB"/>
        </w:rPr>
        <w:t>Revenue Drivers:</w:t>
      </w:r>
    </w:p>
    <w:p w:rsidR="00795A11" w:rsidRDefault="00795A11" w:rsidP="007D5BDA">
      <w:pPr>
        <w:numPr>
          <w:ilvl w:val="0"/>
          <w:numId w:val="3"/>
        </w:numPr>
        <w:spacing w:line="276" w:lineRule="auto"/>
        <w:jc w:val="both"/>
        <w:rPr>
          <w:lang w:val="en-GB"/>
        </w:rPr>
      </w:pPr>
      <w:r>
        <w:rPr>
          <w:lang w:val="en-GB"/>
        </w:rPr>
        <w:t>Data processing:</w:t>
      </w:r>
      <w:r w:rsidRPr="00795A11">
        <w:t xml:space="preserve"> </w:t>
      </w:r>
      <w:r>
        <w:rPr>
          <w:lang w:val="en-GB"/>
        </w:rPr>
        <w:t>Earnings from</w:t>
      </w:r>
      <w:r w:rsidRPr="00795A11">
        <w:rPr>
          <w:lang w:val="en-GB"/>
        </w:rPr>
        <w:t xml:space="preserve"> authorization, clearing and settlement; value-added</w:t>
      </w:r>
      <w:r>
        <w:rPr>
          <w:lang w:val="en-GB"/>
        </w:rPr>
        <w:t xml:space="preserve"> </w:t>
      </w:r>
      <w:r w:rsidRPr="00795A11">
        <w:rPr>
          <w:lang w:val="en-GB"/>
        </w:rPr>
        <w:t>services related to issuing, acceptance, and risk and identity</w:t>
      </w:r>
      <w:r>
        <w:rPr>
          <w:lang w:val="en-GB"/>
        </w:rPr>
        <w:t xml:space="preserve"> </w:t>
      </w:r>
      <w:r w:rsidRPr="00795A11">
        <w:rPr>
          <w:lang w:val="en-GB"/>
        </w:rPr>
        <w:t>solut</w:t>
      </w:r>
      <w:r>
        <w:rPr>
          <w:lang w:val="en-GB"/>
        </w:rPr>
        <w:t xml:space="preserve">ions; network access; and other </w:t>
      </w:r>
      <w:r w:rsidRPr="00795A11">
        <w:rPr>
          <w:lang w:val="en-GB"/>
        </w:rPr>
        <w:t>maintenance and support</w:t>
      </w:r>
      <w:r>
        <w:rPr>
          <w:lang w:val="en-GB"/>
        </w:rPr>
        <w:t xml:space="preserve"> </w:t>
      </w:r>
      <w:r w:rsidRPr="00795A11">
        <w:rPr>
          <w:lang w:val="en-GB"/>
        </w:rPr>
        <w:t>services that facilitate transaction and information processing</w:t>
      </w:r>
      <w:r>
        <w:rPr>
          <w:lang w:val="en-GB"/>
        </w:rPr>
        <w:t xml:space="preserve"> </w:t>
      </w:r>
      <w:r w:rsidRPr="00795A11">
        <w:rPr>
          <w:lang w:val="en-GB"/>
        </w:rPr>
        <w:t>among our clients globally</w:t>
      </w:r>
      <w:r w:rsidR="00005846">
        <w:rPr>
          <w:lang w:val="en-GB"/>
        </w:rPr>
        <w:t>.</w:t>
      </w:r>
    </w:p>
    <w:p w:rsidR="00005846" w:rsidRPr="00005846" w:rsidRDefault="00005846" w:rsidP="007D5BDA">
      <w:pPr>
        <w:numPr>
          <w:ilvl w:val="0"/>
          <w:numId w:val="3"/>
        </w:numPr>
        <w:spacing w:line="276" w:lineRule="auto"/>
        <w:jc w:val="both"/>
        <w:rPr>
          <w:lang w:val="en-GB"/>
        </w:rPr>
      </w:pPr>
      <w:r>
        <w:lastRenderedPageBreak/>
        <w:t>Service Revenue: Earnings from</w:t>
      </w:r>
      <w:r>
        <w:t xml:space="preserve"> services provided in support of client usage of Visa payment services</w:t>
      </w:r>
    </w:p>
    <w:p w:rsidR="00005846" w:rsidRDefault="00005846" w:rsidP="007D5BDA">
      <w:pPr>
        <w:numPr>
          <w:ilvl w:val="0"/>
          <w:numId w:val="3"/>
        </w:numPr>
        <w:spacing w:line="276" w:lineRule="auto"/>
        <w:jc w:val="both"/>
        <w:rPr>
          <w:lang w:val="en-GB"/>
        </w:rPr>
      </w:pPr>
      <w:r>
        <w:t>Client Incentives:</w:t>
      </w:r>
      <w:r>
        <w:t xml:space="preserve"> Paid to financial institution clients, merchants and other business partners to grow payments volume; increase Visa product acceptance; encourage merchant acceptance and use of Visa payment services; and drive innovation</w:t>
      </w:r>
    </w:p>
    <w:p w:rsidR="00A81303" w:rsidRPr="00005846" w:rsidRDefault="00005846" w:rsidP="007D5BDA">
      <w:pPr>
        <w:pStyle w:val="ListParagraph"/>
        <w:numPr>
          <w:ilvl w:val="0"/>
          <w:numId w:val="3"/>
        </w:numPr>
        <w:spacing w:line="276" w:lineRule="auto"/>
        <w:jc w:val="both"/>
        <w:rPr>
          <w:lang w:val="en-GB"/>
        </w:rPr>
      </w:pPr>
      <w:r>
        <w:rPr>
          <w:lang w:val="en-GB"/>
        </w:rPr>
        <w:t xml:space="preserve">International Transaction Revenue: </w:t>
      </w:r>
      <w:r w:rsidR="00795A11" w:rsidRPr="00795A11">
        <w:rPr>
          <w:lang w:val="en-GB"/>
        </w:rPr>
        <w:t>Earned for cross-border transaction processing and currency</w:t>
      </w:r>
      <w:r w:rsidR="00795A11" w:rsidRPr="00795A11">
        <w:rPr>
          <w:lang w:val="en-GB"/>
        </w:rPr>
        <w:t xml:space="preserve"> </w:t>
      </w:r>
      <w:r w:rsidR="00795A11" w:rsidRPr="00795A11">
        <w:rPr>
          <w:lang w:val="en-GB"/>
        </w:rPr>
        <w:t>conversion activities</w:t>
      </w:r>
    </w:p>
    <w:p w:rsidR="003B2A4E" w:rsidRPr="00A81303" w:rsidRDefault="003B2A4E" w:rsidP="007D5BDA">
      <w:pPr>
        <w:spacing w:line="276" w:lineRule="auto"/>
        <w:jc w:val="both"/>
        <w:rPr>
          <w:b/>
          <w:bCs/>
          <w:i/>
          <w:lang w:val="en-GB"/>
        </w:rPr>
      </w:pPr>
      <w:r w:rsidRPr="00A81303">
        <w:rPr>
          <w:b/>
          <w:bCs/>
          <w:i/>
          <w:lang w:val="en-GB"/>
        </w:rPr>
        <w:t>Cost Drivers:</w:t>
      </w:r>
    </w:p>
    <w:p w:rsidR="003B2A4E" w:rsidRPr="003B2A4E" w:rsidRDefault="003B2A4E" w:rsidP="007D5BDA">
      <w:pPr>
        <w:numPr>
          <w:ilvl w:val="0"/>
          <w:numId w:val="4"/>
        </w:numPr>
        <w:spacing w:line="276" w:lineRule="auto"/>
        <w:jc w:val="both"/>
        <w:rPr>
          <w:lang w:val="en-GB"/>
        </w:rPr>
      </w:pPr>
      <w:r w:rsidRPr="003B2A4E">
        <w:rPr>
          <w:b/>
          <w:bCs/>
          <w:lang w:val="en-GB"/>
        </w:rPr>
        <w:t>Variable Costs:</w:t>
      </w:r>
      <w:r w:rsidRPr="003B2A4E">
        <w:rPr>
          <w:lang w:val="en-GB"/>
        </w:rPr>
        <w:t xml:space="preserve"> </w:t>
      </w:r>
      <w:r w:rsidR="00005846">
        <w:t xml:space="preserve">General and administrative, </w:t>
      </w:r>
      <w:r w:rsidRPr="003B2A4E">
        <w:rPr>
          <w:lang w:val="en-GB"/>
        </w:rPr>
        <w:t>Transaction volume-related expenses, including fraud prevention and data processing.</w:t>
      </w:r>
    </w:p>
    <w:p w:rsidR="003B2A4E" w:rsidRPr="00A81303" w:rsidRDefault="003B2A4E" w:rsidP="007D5BDA">
      <w:pPr>
        <w:numPr>
          <w:ilvl w:val="0"/>
          <w:numId w:val="4"/>
        </w:numPr>
        <w:spacing w:line="276" w:lineRule="auto"/>
        <w:jc w:val="both"/>
        <w:rPr>
          <w:lang w:val="en-GB"/>
        </w:rPr>
      </w:pPr>
      <w:r w:rsidRPr="003B2A4E">
        <w:rPr>
          <w:b/>
          <w:bCs/>
          <w:lang w:val="en-GB"/>
        </w:rPr>
        <w:t>Fixed Costs:</w:t>
      </w:r>
      <w:r w:rsidR="00005846">
        <w:rPr>
          <w:b/>
          <w:bCs/>
          <w:lang w:val="en-GB"/>
        </w:rPr>
        <w:t xml:space="preserve">  </w:t>
      </w:r>
      <w:r w:rsidR="00005846" w:rsidRPr="00005846">
        <w:rPr>
          <w:bCs/>
          <w:lang w:val="en-GB"/>
        </w:rPr>
        <w:t>Personnel expense,</w:t>
      </w:r>
      <w:r w:rsidRPr="003B2A4E">
        <w:rPr>
          <w:lang w:val="en-GB"/>
        </w:rPr>
        <w:t xml:space="preserve"> Investment in technology infrastructure, research and development, and compliance with regulatory standards.</w:t>
      </w:r>
    </w:p>
    <w:p w:rsidR="003B2A4E" w:rsidRPr="00A81303" w:rsidRDefault="003B2A4E" w:rsidP="007D5BDA">
      <w:pPr>
        <w:spacing w:line="276" w:lineRule="auto"/>
        <w:jc w:val="both"/>
        <w:rPr>
          <w:b/>
          <w:bCs/>
          <w:sz w:val="28"/>
          <w:szCs w:val="28"/>
          <w:lang w:val="en-GB"/>
        </w:rPr>
      </w:pPr>
      <w:r w:rsidRPr="00A81303">
        <w:rPr>
          <w:b/>
          <w:bCs/>
          <w:sz w:val="28"/>
          <w:szCs w:val="28"/>
          <w:lang w:val="en-GB"/>
        </w:rPr>
        <w:t>Current Industry Trends</w:t>
      </w:r>
    </w:p>
    <w:p w:rsidR="003B2A4E" w:rsidRPr="003B2A4E" w:rsidRDefault="003B2A4E" w:rsidP="007D5BDA">
      <w:pPr>
        <w:numPr>
          <w:ilvl w:val="0"/>
          <w:numId w:val="5"/>
        </w:numPr>
        <w:spacing w:line="276" w:lineRule="auto"/>
        <w:jc w:val="both"/>
        <w:rPr>
          <w:lang w:val="en-GB"/>
        </w:rPr>
      </w:pPr>
      <w:r w:rsidRPr="003B2A4E">
        <w:rPr>
          <w:lang w:val="en-GB"/>
        </w:rPr>
        <w:t>Increasing adoption of mobile and contactless payments.</w:t>
      </w:r>
    </w:p>
    <w:p w:rsidR="003B2A4E" w:rsidRPr="003B2A4E" w:rsidRDefault="003B2A4E" w:rsidP="007D5BDA">
      <w:pPr>
        <w:numPr>
          <w:ilvl w:val="0"/>
          <w:numId w:val="5"/>
        </w:numPr>
        <w:spacing w:line="276" w:lineRule="auto"/>
        <w:jc w:val="both"/>
        <w:rPr>
          <w:lang w:val="en-GB"/>
        </w:rPr>
      </w:pPr>
      <w:r w:rsidRPr="003B2A4E">
        <w:rPr>
          <w:lang w:val="en-GB"/>
        </w:rPr>
        <w:t>Growth of e-commerce driving higher transaction volumes.</w:t>
      </w:r>
    </w:p>
    <w:p w:rsidR="003B2A4E" w:rsidRPr="003B2A4E" w:rsidRDefault="003B2A4E" w:rsidP="007D5BDA">
      <w:pPr>
        <w:numPr>
          <w:ilvl w:val="0"/>
          <w:numId w:val="5"/>
        </w:numPr>
        <w:spacing w:line="276" w:lineRule="auto"/>
        <w:jc w:val="both"/>
        <w:rPr>
          <w:lang w:val="en-GB"/>
        </w:rPr>
      </w:pPr>
      <w:r w:rsidRPr="003B2A4E">
        <w:rPr>
          <w:lang w:val="en-GB"/>
        </w:rPr>
        <w:t xml:space="preserve">Partnerships with </w:t>
      </w:r>
      <w:proofErr w:type="spellStart"/>
      <w:r w:rsidRPr="003B2A4E">
        <w:rPr>
          <w:lang w:val="en-GB"/>
        </w:rPr>
        <w:t>fintech</w:t>
      </w:r>
      <w:proofErr w:type="spellEnd"/>
      <w:r w:rsidRPr="003B2A4E">
        <w:rPr>
          <w:lang w:val="en-GB"/>
        </w:rPr>
        <w:t xml:space="preserve"> companies to enhance service offerings.</w:t>
      </w:r>
    </w:p>
    <w:p w:rsidR="003B2A4E" w:rsidRPr="003B2A4E" w:rsidRDefault="003B2A4E" w:rsidP="007D5BDA">
      <w:pPr>
        <w:numPr>
          <w:ilvl w:val="0"/>
          <w:numId w:val="5"/>
        </w:numPr>
        <w:spacing w:line="276" w:lineRule="auto"/>
        <w:jc w:val="both"/>
        <w:rPr>
          <w:lang w:val="en-GB"/>
        </w:rPr>
      </w:pPr>
      <w:r w:rsidRPr="003B2A4E">
        <w:rPr>
          <w:lang w:val="en-GB"/>
        </w:rPr>
        <w:t>Rising cybersecurity threats requiring advanced fraud prevention technologies.</w:t>
      </w:r>
    </w:p>
    <w:p w:rsidR="003B2A4E" w:rsidRPr="00A81303" w:rsidRDefault="003B2A4E" w:rsidP="007D5BDA">
      <w:pPr>
        <w:spacing w:line="276" w:lineRule="auto"/>
        <w:jc w:val="both"/>
        <w:rPr>
          <w:b/>
          <w:bCs/>
          <w:sz w:val="28"/>
          <w:szCs w:val="28"/>
          <w:lang w:val="en-GB"/>
        </w:rPr>
      </w:pPr>
      <w:r w:rsidRPr="00A81303">
        <w:rPr>
          <w:b/>
          <w:bCs/>
          <w:sz w:val="28"/>
          <w:szCs w:val="28"/>
          <w:lang w:val="en-GB"/>
        </w:rPr>
        <w:t>SWOT Analysis</w:t>
      </w:r>
    </w:p>
    <w:tbl>
      <w:tblPr>
        <w:tblStyle w:val="TableGrid"/>
        <w:tblW w:w="0" w:type="auto"/>
        <w:tblLook w:val="04A0" w:firstRow="1" w:lastRow="0" w:firstColumn="1" w:lastColumn="0" w:noHBand="0" w:noVBand="1"/>
      </w:tblPr>
      <w:tblGrid>
        <w:gridCol w:w="3946"/>
        <w:gridCol w:w="5070"/>
      </w:tblGrid>
      <w:tr w:rsidR="003B2A4E" w:rsidRPr="003B2A4E" w:rsidTr="00D4694B">
        <w:tc>
          <w:tcPr>
            <w:tcW w:w="0" w:type="auto"/>
            <w:hideMark/>
          </w:tcPr>
          <w:p w:rsidR="003B2A4E" w:rsidRPr="003B2A4E" w:rsidRDefault="003B2A4E" w:rsidP="007D5BDA">
            <w:pPr>
              <w:spacing w:after="160" w:line="276" w:lineRule="auto"/>
              <w:jc w:val="both"/>
              <w:rPr>
                <w:b/>
                <w:bCs/>
                <w:lang w:val="en-GB"/>
              </w:rPr>
            </w:pPr>
            <w:r w:rsidRPr="003B2A4E">
              <w:rPr>
                <w:b/>
                <w:bCs/>
                <w:lang w:val="en-GB"/>
              </w:rPr>
              <w:t>Strengths</w:t>
            </w:r>
          </w:p>
        </w:tc>
        <w:tc>
          <w:tcPr>
            <w:tcW w:w="0" w:type="auto"/>
            <w:hideMark/>
          </w:tcPr>
          <w:p w:rsidR="003B2A4E" w:rsidRPr="003B2A4E" w:rsidRDefault="003B2A4E" w:rsidP="007D5BDA">
            <w:pPr>
              <w:spacing w:after="160" w:line="276" w:lineRule="auto"/>
              <w:jc w:val="both"/>
              <w:rPr>
                <w:b/>
                <w:bCs/>
                <w:lang w:val="en-GB"/>
              </w:rPr>
            </w:pPr>
            <w:r w:rsidRPr="003B2A4E">
              <w:rPr>
                <w:b/>
                <w:bCs/>
                <w:lang w:val="en-GB"/>
              </w:rPr>
              <w:t>Weaknesses</w:t>
            </w:r>
          </w:p>
        </w:tc>
      </w:tr>
      <w:tr w:rsidR="003B2A4E" w:rsidRPr="003B2A4E" w:rsidTr="00D4694B">
        <w:tc>
          <w:tcPr>
            <w:tcW w:w="0" w:type="auto"/>
            <w:hideMark/>
          </w:tcPr>
          <w:p w:rsidR="003B2A4E" w:rsidRPr="003B2A4E" w:rsidRDefault="003B2A4E" w:rsidP="007D5BDA">
            <w:pPr>
              <w:spacing w:after="160" w:line="276" w:lineRule="auto"/>
              <w:jc w:val="both"/>
              <w:rPr>
                <w:lang w:val="en-GB"/>
              </w:rPr>
            </w:pPr>
            <w:r w:rsidRPr="003B2A4E">
              <w:rPr>
                <w:lang w:val="en-GB"/>
              </w:rPr>
              <w:t>Global presence and brand recognition.</w:t>
            </w:r>
          </w:p>
        </w:tc>
        <w:tc>
          <w:tcPr>
            <w:tcW w:w="0" w:type="auto"/>
            <w:hideMark/>
          </w:tcPr>
          <w:p w:rsidR="003B2A4E" w:rsidRPr="003B2A4E" w:rsidRDefault="003B2A4E" w:rsidP="007D5BDA">
            <w:pPr>
              <w:spacing w:after="160" w:line="276" w:lineRule="auto"/>
              <w:jc w:val="both"/>
              <w:rPr>
                <w:lang w:val="en-GB"/>
              </w:rPr>
            </w:pPr>
            <w:r w:rsidRPr="003B2A4E">
              <w:rPr>
                <w:lang w:val="en-GB"/>
              </w:rPr>
              <w:t>High dependence on transaction fees.</w:t>
            </w:r>
          </w:p>
        </w:tc>
      </w:tr>
      <w:tr w:rsidR="003B2A4E" w:rsidRPr="003B2A4E" w:rsidTr="00D4694B">
        <w:tc>
          <w:tcPr>
            <w:tcW w:w="0" w:type="auto"/>
            <w:hideMark/>
          </w:tcPr>
          <w:p w:rsidR="003B2A4E" w:rsidRPr="003B2A4E" w:rsidRDefault="003B2A4E" w:rsidP="007D5BDA">
            <w:pPr>
              <w:spacing w:after="160" w:line="276" w:lineRule="auto"/>
              <w:jc w:val="both"/>
              <w:rPr>
                <w:lang w:val="en-GB"/>
              </w:rPr>
            </w:pPr>
            <w:r w:rsidRPr="003B2A4E">
              <w:rPr>
                <w:lang w:val="en-GB"/>
              </w:rPr>
              <w:t>Strong partnerships with financial institutions.</w:t>
            </w:r>
          </w:p>
        </w:tc>
        <w:tc>
          <w:tcPr>
            <w:tcW w:w="0" w:type="auto"/>
            <w:hideMark/>
          </w:tcPr>
          <w:p w:rsidR="003B2A4E" w:rsidRPr="003B2A4E" w:rsidRDefault="003B2A4E" w:rsidP="007D5BDA">
            <w:pPr>
              <w:spacing w:after="160" w:line="276" w:lineRule="auto"/>
              <w:jc w:val="both"/>
              <w:rPr>
                <w:lang w:val="en-GB"/>
              </w:rPr>
            </w:pPr>
            <w:r w:rsidRPr="003B2A4E">
              <w:rPr>
                <w:lang w:val="en-GB"/>
              </w:rPr>
              <w:t>Regulatory challenges across regions.</w:t>
            </w:r>
          </w:p>
        </w:tc>
      </w:tr>
      <w:tr w:rsidR="003B2A4E" w:rsidRPr="003B2A4E" w:rsidTr="00D4694B">
        <w:tc>
          <w:tcPr>
            <w:tcW w:w="0" w:type="auto"/>
            <w:hideMark/>
          </w:tcPr>
          <w:p w:rsidR="003B2A4E" w:rsidRPr="003B2A4E" w:rsidRDefault="003B2A4E" w:rsidP="007D5BDA">
            <w:pPr>
              <w:spacing w:after="160" w:line="276" w:lineRule="auto"/>
              <w:jc w:val="both"/>
              <w:rPr>
                <w:lang w:val="en-GB"/>
              </w:rPr>
            </w:pPr>
            <w:r w:rsidRPr="003B2A4E">
              <w:rPr>
                <w:lang w:val="en-GB"/>
              </w:rPr>
              <w:t>Advanced technology and payment security.</w:t>
            </w:r>
          </w:p>
        </w:tc>
        <w:tc>
          <w:tcPr>
            <w:tcW w:w="0" w:type="auto"/>
            <w:hideMark/>
          </w:tcPr>
          <w:p w:rsidR="003B2A4E" w:rsidRPr="003B2A4E" w:rsidRDefault="003B2A4E" w:rsidP="007D5BDA">
            <w:pPr>
              <w:spacing w:after="160" w:line="276" w:lineRule="auto"/>
              <w:jc w:val="both"/>
              <w:rPr>
                <w:lang w:val="en-GB"/>
              </w:rPr>
            </w:pPr>
            <w:r w:rsidRPr="003B2A4E">
              <w:rPr>
                <w:lang w:val="en-GB"/>
              </w:rPr>
              <w:t>Limited presence in alternative payment systems like crypto.</w:t>
            </w:r>
          </w:p>
        </w:tc>
      </w:tr>
    </w:tbl>
    <w:p w:rsidR="003B2A4E" w:rsidRPr="003B2A4E" w:rsidRDefault="003B2A4E" w:rsidP="007D5BDA">
      <w:pPr>
        <w:spacing w:line="276" w:lineRule="auto"/>
        <w:jc w:val="both"/>
        <w:rPr>
          <w:vanish/>
          <w:lang w:val="en-GB"/>
        </w:rPr>
      </w:pPr>
    </w:p>
    <w:tbl>
      <w:tblPr>
        <w:tblStyle w:val="TableGrid"/>
        <w:tblW w:w="0" w:type="auto"/>
        <w:tblLook w:val="04A0" w:firstRow="1" w:lastRow="0" w:firstColumn="1" w:lastColumn="0" w:noHBand="0" w:noVBand="1"/>
      </w:tblPr>
      <w:tblGrid>
        <w:gridCol w:w="3964"/>
        <w:gridCol w:w="5052"/>
      </w:tblGrid>
      <w:tr w:rsidR="003B2A4E" w:rsidRPr="003B2A4E" w:rsidTr="00D4694B">
        <w:tc>
          <w:tcPr>
            <w:tcW w:w="3964" w:type="dxa"/>
            <w:hideMark/>
          </w:tcPr>
          <w:p w:rsidR="003B2A4E" w:rsidRPr="00A81303" w:rsidRDefault="003B2A4E" w:rsidP="007D5BDA">
            <w:pPr>
              <w:spacing w:after="160" w:line="276" w:lineRule="auto"/>
              <w:jc w:val="both"/>
              <w:rPr>
                <w:b/>
                <w:lang w:val="en-GB"/>
              </w:rPr>
            </w:pPr>
            <w:r w:rsidRPr="00A81303">
              <w:rPr>
                <w:b/>
                <w:lang w:val="en-GB"/>
              </w:rPr>
              <w:t>Opportunities</w:t>
            </w:r>
          </w:p>
        </w:tc>
        <w:tc>
          <w:tcPr>
            <w:tcW w:w="5052" w:type="dxa"/>
            <w:hideMark/>
          </w:tcPr>
          <w:p w:rsidR="003B2A4E" w:rsidRPr="00A81303" w:rsidRDefault="003B2A4E" w:rsidP="007D5BDA">
            <w:pPr>
              <w:spacing w:after="160" w:line="276" w:lineRule="auto"/>
              <w:jc w:val="both"/>
              <w:rPr>
                <w:b/>
                <w:lang w:val="en-GB"/>
              </w:rPr>
            </w:pPr>
            <w:r w:rsidRPr="00A81303">
              <w:rPr>
                <w:b/>
                <w:lang w:val="en-GB"/>
              </w:rPr>
              <w:t>Threats</w:t>
            </w:r>
          </w:p>
        </w:tc>
      </w:tr>
      <w:tr w:rsidR="003B2A4E" w:rsidRPr="003B2A4E" w:rsidTr="00D4694B">
        <w:tc>
          <w:tcPr>
            <w:tcW w:w="3964" w:type="dxa"/>
            <w:hideMark/>
          </w:tcPr>
          <w:p w:rsidR="003B2A4E" w:rsidRPr="003B2A4E" w:rsidRDefault="003B2A4E" w:rsidP="007D5BDA">
            <w:pPr>
              <w:spacing w:after="160" w:line="276" w:lineRule="auto"/>
              <w:jc w:val="both"/>
              <w:rPr>
                <w:lang w:val="en-GB"/>
              </w:rPr>
            </w:pPr>
            <w:r w:rsidRPr="003B2A4E">
              <w:rPr>
                <w:lang w:val="en-GB"/>
              </w:rPr>
              <w:t>Expansion into underbanked regions.</w:t>
            </w:r>
          </w:p>
        </w:tc>
        <w:tc>
          <w:tcPr>
            <w:tcW w:w="5052" w:type="dxa"/>
            <w:hideMark/>
          </w:tcPr>
          <w:p w:rsidR="003B2A4E" w:rsidRPr="003B2A4E" w:rsidRDefault="003B2A4E" w:rsidP="007D5BDA">
            <w:pPr>
              <w:spacing w:after="160" w:line="276" w:lineRule="auto"/>
              <w:jc w:val="both"/>
              <w:rPr>
                <w:lang w:val="en-GB"/>
              </w:rPr>
            </w:pPr>
            <w:r w:rsidRPr="003B2A4E">
              <w:rPr>
                <w:lang w:val="en-GB"/>
              </w:rPr>
              <w:t xml:space="preserve">Competition from </w:t>
            </w:r>
            <w:proofErr w:type="spellStart"/>
            <w:r w:rsidRPr="003B2A4E">
              <w:rPr>
                <w:lang w:val="en-GB"/>
              </w:rPr>
              <w:t>fintech</w:t>
            </w:r>
            <w:proofErr w:type="spellEnd"/>
            <w:r w:rsidRPr="003B2A4E">
              <w:rPr>
                <w:lang w:val="en-GB"/>
              </w:rPr>
              <w:t xml:space="preserve"> and crypto platforms.</w:t>
            </w:r>
          </w:p>
        </w:tc>
      </w:tr>
      <w:tr w:rsidR="003B2A4E" w:rsidRPr="003B2A4E" w:rsidTr="00D4694B">
        <w:tc>
          <w:tcPr>
            <w:tcW w:w="3964" w:type="dxa"/>
            <w:hideMark/>
          </w:tcPr>
          <w:p w:rsidR="003B2A4E" w:rsidRPr="003B2A4E" w:rsidRDefault="003B2A4E" w:rsidP="007D5BDA">
            <w:pPr>
              <w:spacing w:after="160" w:line="276" w:lineRule="auto"/>
              <w:jc w:val="both"/>
              <w:rPr>
                <w:lang w:val="en-GB"/>
              </w:rPr>
            </w:pPr>
            <w:r w:rsidRPr="003B2A4E">
              <w:rPr>
                <w:lang w:val="en-GB"/>
              </w:rPr>
              <w:t xml:space="preserve">Leveraging </w:t>
            </w:r>
            <w:proofErr w:type="spellStart"/>
            <w:r w:rsidRPr="003B2A4E">
              <w:rPr>
                <w:lang w:val="en-GB"/>
              </w:rPr>
              <w:t>blockchain</w:t>
            </w:r>
            <w:proofErr w:type="spellEnd"/>
            <w:r w:rsidRPr="003B2A4E">
              <w:rPr>
                <w:lang w:val="en-GB"/>
              </w:rPr>
              <w:t xml:space="preserve"> for new payment solutions.</w:t>
            </w:r>
          </w:p>
        </w:tc>
        <w:tc>
          <w:tcPr>
            <w:tcW w:w="5052" w:type="dxa"/>
            <w:hideMark/>
          </w:tcPr>
          <w:p w:rsidR="003B2A4E" w:rsidRPr="003B2A4E" w:rsidRDefault="003B2A4E" w:rsidP="007D5BDA">
            <w:pPr>
              <w:spacing w:after="160" w:line="276" w:lineRule="auto"/>
              <w:jc w:val="both"/>
              <w:rPr>
                <w:lang w:val="en-GB"/>
              </w:rPr>
            </w:pPr>
            <w:r w:rsidRPr="003B2A4E">
              <w:rPr>
                <w:lang w:val="en-GB"/>
              </w:rPr>
              <w:t>Economic downturns reducing transaction volumes.</w:t>
            </w:r>
          </w:p>
        </w:tc>
      </w:tr>
    </w:tbl>
    <w:p w:rsidR="003B2A4E" w:rsidRPr="003B2A4E" w:rsidRDefault="003B2A4E" w:rsidP="007D5BDA">
      <w:pPr>
        <w:spacing w:line="276" w:lineRule="auto"/>
        <w:jc w:val="both"/>
        <w:rPr>
          <w:lang w:val="en-GB"/>
        </w:rPr>
      </w:pPr>
    </w:p>
    <w:p w:rsidR="003B2A4E" w:rsidRPr="003B2A4E" w:rsidRDefault="003B2A4E" w:rsidP="007D5BDA">
      <w:pPr>
        <w:spacing w:line="276" w:lineRule="auto"/>
        <w:jc w:val="both"/>
        <w:rPr>
          <w:b/>
          <w:bCs/>
          <w:lang w:val="en-GB"/>
        </w:rPr>
      </w:pPr>
      <w:r w:rsidRPr="003B2A4E">
        <w:rPr>
          <w:b/>
          <w:bCs/>
          <w:lang w:val="en-GB"/>
        </w:rPr>
        <w:t xml:space="preserve"> </w:t>
      </w:r>
      <w:r w:rsidRPr="00A81303">
        <w:rPr>
          <w:b/>
          <w:bCs/>
          <w:sz w:val="28"/>
          <w:szCs w:val="28"/>
          <w:lang w:val="en-GB"/>
        </w:rPr>
        <w:t>PESTEL Analysis</w:t>
      </w:r>
    </w:p>
    <w:tbl>
      <w:tblPr>
        <w:tblStyle w:val="TableGrid"/>
        <w:tblW w:w="0" w:type="auto"/>
        <w:tblLook w:val="04A0" w:firstRow="1" w:lastRow="0" w:firstColumn="1" w:lastColumn="0" w:noHBand="0" w:noVBand="1"/>
      </w:tblPr>
      <w:tblGrid>
        <w:gridCol w:w="1528"/>
        <w:gridCol w:w="7488"/>
      </w:tblGrid>
      <w:tr w:rsidR="003B2A4E" w:rsidRPr="003B2A4E" w:rsidTr="00A81303">
        <w:tc>
          <w:tcPr>
            <w:tcW w:w="0" w:type="auto"/>
            <w:hideMark/>
          </w:tcPr>
          <w:p w:rsidR="003B2A4E" w:rsidRPr="00A81303" w:rsidRDefault="003B2A4E" w:rsidP="007D5BDA">
            <w:pPr>
              <w:spacing w:after="160" w:line="276" w:lineRule="auto"/>
              <w:jc w:val="both"/>
              <w:rPr>
                <w:b/>
                <w:lang w:val="en-GB"/>
              </w:rPr>
            </w:pPr>
            <w:r w:rsidRPr="00A81303">
              <w:rPr>
                <w:b/>
                <w:lang w:val="en-GB"/>
              </w:rPr>
              <w:t>Factor</w:t>
            </w:r>
          </w:p>
        </w:tc>
        <w:tc>
          <w:tcPr>
            <w:tcW w:w="0" w:type="auto"/>
            <w:hideMark/>
          </w:tcPr>
          <w:p w:rsidR="003B2A4E" w:rsidRPr="00A81303" w:rsidRDefault="003B2A4E" w:rsidP="007D5BDA">
            <w:pPr>
              <w:spacing w:after="160" w:line="276" w:lineRule="auto"/>
              <w:jc w:val="both"/>
              <w:rPr>
                <w:b/>
                <w:lang w:val="en-GB"/>
              </w:rPr>
            </w:pPr>
            <w:r w:rsidRPr="00A81303">
              <w:rPr>
                <w:b/>
                <w:lang w:val="en-GB"/>
              </w:rPr>
              <w:t>Insights</w:t>
            </w:r>
          </w:p>
        </w:tc>
      </w:tr>
      <w:tr w:rsidR="003B2A4E" w:rsidRPr="003B2A4E" w:rsidTr="00A81303">
        <w:tc>
          <w:tcPr>
            <w:tcW w:w="0" w:type="auto"/>
            <w:hideMark/>
          </w:tcPr>
          <w:p w:rsidR="003B2A4E" w:rsidRPr="003B2A4E" w:rsidRDefault="003B2A4E" w:rsidP="007D5BDA">
            <w:pPr>
              <w:spacing w:after="160" w:line="276" w:lineRule="auto"/>
              <w:jc w:val="both"/>
              <w:rPr>
                <w:lang w:val="en-GB"/>
              </w:rPr>
            </w:pPr>
            <w:r w:rsidRPr="003B2A4E">
              <w:rPr>
                <w:lang w:val="en-GB"/>
              </w:rPr>
              <w:t>Political</w:t>
            </w:r>
          </w:p>
        </w:tc>
        <w:tc>
          <w:tcPr>
            <w:tcW w:w="0" w:type="auto"/>
            <w:hideMark/>
          </w:tcPr>
          <w:p w:rsidR="003B2A4E" w:rsidRPr="003B2A4E" w:rsidRDefault="003B2A4E" w:rsidP="007D5BDA">
            <w:pPr>
              <w:spacing w:after="160" w:line="276" w:lineRule="auto"/>
              <w:jc w:val="both"/>
              <w:rPr>
                <w:lang w:val="en-GB"/>
              </w:rPr>
            </w:pPr>
            <w:r w:rsidRPr="003B2A4E">
              <w:rPr>
                <w:lang w:val="en-GB"/>
              </w:rPr>
              <w:t>Visa faces varying regulatory frameworks across regions, including anti-money laundering and data protection laws.</w:t>
            </w:r>
          </w:p>
        </w:tc>
      </w:tr>
      <w:tr w:rsidR="003B2A4E" w:rsidRPr="003B2A4E" w:rsidTr="00A81303">
        <w:tc>
          <w:tcPr>
            <w:tcW w:w="0" w:type="auto"/>
            <w:hideMark/>
          </w:tcPr>
          <w:p w:rsidR="003B2A4E" w:rsidRPr="003B2A4E" w:rsidRDefault="003B2A4E" w:rsidP="007D5BDA">
            <w:pPr>
              <w:spacing w:after="160" w:line="276" w:lineRule="auto"/>
              <w:jc w:val="both"/>
              <w:rPr>
                <w:lang w:val="en-GB"/>
              </w:rPr>
            </w:pPr>
            <w:r w:rsidRPr="003B2A4E">
              <w:rPr>
                <w:lang w:val="en-GB"/>
              </w:rPr>
              <w:t>Economic</w:t>
            </w:r>
          </w:p>
        </w:tc>
        <w:tc>
          <w:tcPr>
            <w:tcW w:w="0" w:type="auto"/>
            <w:hideMark/>
          </w:tcPr>
          <w:p w:rsidR="003B2A4E" w:rsidRPr="003B2A4E" w:rsidRDefault="003B2A4E" w:rsidP="007D5BDA">
            <w:pPr>
              <w:spacing w:after="160" w:line="276" w:lineRule="auto"/>
              <w:jc w:val="both"/>
              <w:rPr>
                <w:lang w:val="en-GB"/>
              </w:rPr>
            </w:pPr>
            <w:r w:rsidRPr="003B2A4E">
              <w:rPr>
                <w:lang w:val="en-GB"/>
              </w:rPr>
              <w:t>Economic trends like inflation and currency fluctuations impact transaction volumes and cross-border fees.</w:t>
            </w:r>
          </w:p>
        </w:tc>
      </w:tr>
      <w:tr w:rsidR="003B2A4E" w:rsidRPr="003B2A4E" w:rsidTr="00A81303">
        <w:tc>
          <w:tcPr>
            <w:tcW w:w="0" w:type="auto"/>
            <w:hideMark/>
          </w:tcPr>
          <w:p w:rsidR="003B2A4E" w:rsidRPr="003B2A4E" w:rsidRDefault="003B2A4E" w:rsidP="007D5BDA">
            <w:pPr>
              <w:spacing w:after="160" w:line="276" w:lineRule="auto"/>
              <w:jc w:val="both"/>
              <w:rPr>
                <w:lang w:val="en-GB"/>
              </w:rPr>
            </w:pPr>
            <w:r w:rsidRPr="003B2A4E">
              <w:rPr>
                <w:lang w:val="en-GB"/>
              </w:rPr>
              <w:t>Social</w:t>
            </w:r>
          </w:p>
        </w:tc>
        <w:tc>
          <w:tcPr>
            <w:tcW w:w="0" w:type="auto"/>
            <w:hideMark/>
          </w:tcPr>
          <w:p w:rsidR="003B2A4E" w:rsidRPr="003B2A4E" w:rsidRDefault="003B2A4E" w:rsidP="007D5BDA">
            <w:pPr>
              <w:spacing w:after="160" w:line="276" w:lineRule="auto"/>
              <w:jc w:val="both"/>
              <w:rPr>
                <w:lang w:val="en-GB"/>
              </w:rPr>
            </w:pPr>
            <w:r w:rsidRPr="003B2A4E">
              <w:rPr>
                <w:lang w:val="en-GB"/>
              </w:rPr>
              <w:t>Growing preference for digital and contactless payments, especially post-pandemic.</w:t>
            </w:r>
          </w:p>
        </w:tc>
      </w:tr>
      <w:tr w:rsidR="003B2A4E" w:rsidRPr="003B2A4E" w:rsidTr="00A81303">
        <w:tc>
          <w:tcPr>
            <w:tcW w:w="0" w:type="auto"/>
            <w:hideMark/>
          </w:tcPr>
          <w:p w:rsidR="003B2A4E" w:rsidRPr="003B2A4E" w:rsidRDefault="003B2A4E" w:rsidP="007D5BDA">
            <w:pPr>
              <w:spacing w:after="160" w:line="276" w:lineRule="auto"/>
              <w:jc w:val="both"/>
              <w:rPr>
                <w:lang w:val="en-GB"/>
              </w:rPr>
            </w:pPr>
            <w:r w:rsidRPr="003B2A4E">
              <w:rPr>
                <w:lang w:val="en-GB"/>
              </w:rPr>
              <w:t>Technological</w:t>
            </w:r>
          </w:p>
        </w:tc>
        <w:tc>
          <w:tcPr>
            <w:tcW w:w="0" w:type="auto"/>
            <w:hideMark/>
          </w:tcPr>
          <w:p w:rsidR="003B2A4E" w:rsidRPr="003B2A4E" w:rsidRDefault="003B2A4E" w:rsidP="007D5BDA">
            <w:pPr>
              <w:spacing w:after="160" w:line="276" w:lineRule="auto"/>
              <w:jc w:val="both"/>
              <w:rPr>
                <w:lang w:val="en-GB"/>
              </w:rPr>
            </w:pPr>
            <w:r w:rsidRPr="003B2A4E">
              <w:rPr>
                <w:lang w:val="en-GB"/>
              </w:rPr>
              <w:t xml:space="preserve">Advancements in </w:t>
            </w:r>
            <w:proofErr w:type="spellStart"/>
            <w:r w:rsidRPr="003B2A4E">
              <w:rPr>
                <w:lang w:val="en-GB"/>
              </w:rPr>
              <w:t>blockchain</w:t>
            </w:r>
            <w:proofErr w:type="spellEnd"/>
            <w:r w:rsidRPr="003B2A4E">
              <w:rPr>
                <w:lang w:val="en-GB"/>
              </w:rPr>
              <w:t>, AI, and cybersecurity drive innovation in payment processing.</w:t>
            </w:r>
          </w:p>
        </w:tc>
      </w:tr>
      <w:tr w:rsidR="003B2A4E" w:rsidRPr="003B2A4E" w:rsidTr="00A81303">
        <w:tc>
          <w:tcPr>
            <w:tcW w:w="0" w:type="auto"/>
            <w:hideMark/>
          </w:tcPr>
          <w:p w:rsidR="003B2A4E" w:rsidRPr="003B2A4E" w:rsidRDefault="003B2A4E" w:rsidP="007D5BDA">
            <w:pPr>
              <w:spacing w:after="160" w:line="276" w:lineRule="auto"/>
              <w:jc w:val="both"/>
              <w:rPr>
                <w:lang w:val="en-GB"/>
              </w:rPr>
            </w:pPr>
            <w:r w:rsidRPr="003B2A4E">
              <w:rPr>
                <w:lang w:val="en-GB"/>
              </w:rPr>
              <w:t>Environmental</w:t>
            </w:r>
          </w:p>
        </w:tc>
        <w:tc>
          <w:tcPr>
            <w:tcW w:w="0" w:type="auto"/>
            <w:hideMark/>
          </w:tcPr>
          <w:p w:rsidR="003B2A4E" w:rsidRPr="003B2A4E" w:rsidRDefault="003B2A4E" w:rsidP="007D5BDA">
            <w:pPr>
              <w:spacing w:after="160" w:line="276" w:lineRule="auto"/>
              <w:jc w:val="both"/>
              <w:rPr>
                <w:lang w:val="en-GB"/>
              </w:rPr>
            </w:pPr>
            <w:r w:rsidRPr="003B2A4E">
              <w:rPr>
                <w:lang w:val="en-GB"/>
              </w:rPr>
              <w:t>Increasing focus on sustainability in operations and partnerships.</w:t>
            </w:r>
          </w:p>
        </w:tc>
      </w:tr>
      <w:tr w:rsidR="003B2A4E" w:rsidRPr="003B2A4E" w:rsidTr="00A81303">
        <w:tc>
          <w:tcPr>
            <w:tcW w:w="0" w:type="auto"/>
            <w:hideMark/>
          </w:tcPr>
          <w:p w:rsidR="003B2A4E" w:rsidRPr="003B2A4E" w:rsidRDefault="003B2A4E" w:rsidP="007D5BDA">
            <w:pPr>
              <w:spacing w:after="160" w:line="276" w:lineRule="auto"/>
              <w:jc w:val="both"/>
              <w:rPr>
                <w:lang w:val="en-GB"/>
              </w:rPr>
            </w:pPr>
            <w:r w:rsidRPr="003B2A4E">
              <w:rPr>
                <w:lang w:val="en-GB"/>
              </w:rPr>
              <w:t>Legal</w:t>
            </w:r>
          </w:p>
        </w:tc>
        <w:tc>
          <w:tcPr>
            <w:tcW w:w="0" w:type="auto"/>
            <w:hideMark/>
          </w:tcPr>
          <w:p w:rsidR="003B2A4E" w:rsidRPr="003B2A4E" w:rsidRDefault="003B2A4E" w:rsidP="007D5BDA">
            <w:pPr>
              <w:spacing w:after="160" w:line="276" w:lineRule="auto"/>
              <w:jc w:val="both"/>
              <w:rPr>
                <w:lang w:val="en-GB"/>
              </w:rPr>
            </w:pPr>
            <w:r w:rsidRPr="003B2A4E">
              <w:rPr>
                <w:lang w:val="en-GB"/>
              </w:rPr>
              <w:t>Compliance with evolving laws such as the EU’s PSD2 and US consumer protection regulations.</w:t>
            </w:r>
          </w:p>
        </w:tc>
      </w:tr>
    </w:tbl>
    <w:p w:rsidR="003B2A4E" w:rsidRPr="003B2A4E" w:rsidRDefault="003B2A4E" w:rsidP="007D5BDA">
      <w:pPr>
        <w:spacing w:line="276" w:lineRule="auto"/>
        <w:jc w:val="both"/>
        <w:rPr>
          <w:lang w:val="en-GB"/>
        </w:rPr>
      </w:pPr>
    </w:p>
    <w:p w:rsidR="003B2A4E" w:rsidRPr="00D4694B" w:rsidRDefault="003B2A4E" w:rsidP="007D5BDA">
      <w:pPr>
        <w:spacing w:line="276" w:lineRule="auto"/>
        <w:jc w:val="both"/>
        <w:rPr>
          <w:b/>
          <w:bCs/>
          <w:sz w:val="28"/>
          <w:szCs w:val="28"/>
          <w:lang w:val="en-GB"/>
        </w:rPr>
      </w:pPr>
      <w:r w:rsidRPr="00D4694B">
        <w:rPr>
          <w:b/>
          <w:bCs/>
          <w:sz w:val="28"/>
          <w:szCs w:val="28"/>
          <w:lang w:val="en-GB"/>
        </w:rPr>
        <w:t>Competitive Environment and Strategic Analysis</w:t>
      </w:r>
    </w:p>
    <w:p w:rsidR="003B2A4E" w:rsidRPr="003B2A4E" w:rsidRDefault="00D4694B" w:rsidP="007D5BDA">
      <w:pPr>
        <w:spacing w:line="276" w:lineRule="auto"/>
        <w:jc w:val="both"/>
        <w:rPr>
          <w:lang w:val="en-GB"/>
        </w:rPr>
      </w:pPr>
      <w:r>
        <w:rPr>
          <w:lang w:val="en-GB"/>
        </w:rPr>
        <w:t>The</w:t>
      </w:r>
      <w:r w:rsidR="003B2A4E" w:rsidRPr="003B2A4E">
        <w:rPr>
          <w:lang w:val="en-GB"/>
        </w:rPr>
        <w:t xml:space="preserve"> competitive advantage</w:t>
      </w:r>
      <w:r>
        <w:rPr>
          <w:lang w:val="en-GB"/>
        </w:rPr>
        <w:t xml:space="preserve"> of</w:t>
      </w:r>
      <w:r w:rsidRPr="00D4694B">
        <w:rPr>
          <w:lang w:val="en-GB"/>
        </w:rPr>
        <w:t xml:space="preserve"> </w:t>
      </w:r>
      <w:r>
        <w:rPr>
          <w:lang w:val="en-GB"/>
        </w:rPr>
        <w:t>Visa</w:t>
      </w:r>
      <w:r w:rsidR="003B2A4E" w:rsidRPr="003B2A4E">
        <w:rPr>
          <w:lang w:val="en-GB"/>
        </w:rPr>
        <w:t xml:space="preserve"> lies in its extensive global network, trusted brand, and technological investments. While </w:t>
      </w:r>
      <w:proofErr w:type="spellStart"/>
      <w:r w:rsidR="003B2A4E" w:rsidRPr="003B2A4E">
        <w:rPr>
          <w:lang w:val="en-GB"/>
        </w:rPr>
        <w:t>Mastercard</w:t>
      </w:r>
      <w:proofErr w:type="spellEnd"/>
      <w:r w:rsidR="003B2A4E" w:rsidRPr="003B2A4E">
        <w:rPr>
          <w:lang w:val="en-GB"/>
        </w:rPr>
        <w:t xml:space="preserve"> closely matches Visa in scale, Visa’s focus on processing efficiency and innovation sets it apart. However, threats from </w:t>
      </w:r>
      <w:proofErr w:type="spellStart"/>
      <w:r w:rsidR="003B2A4E" w:rsidRPr="003B2A4E">
        <w:rPr>
          <w:lang w:val="en-GB"/>
        </w:rPr>
        <w:t>fintech</w:t>
      </w:r>
      <w:proofErr w:type="spellEnd"/>
      <w:r w:rsidR="003B2A4E" w:rsidRPr="003B2A4E">
        <w:rPr>
          <w:lang w:val="en-GB"/>
        </w:rPr>
        <w:t xml:space="preserve"> disruptors necessitate continuous adaptation. Strategic recommendations include:</w:t>
      </w:r>
    </w:p>
    <w:p w:rsidR="003B2A4E" w:rsidRPr="003B2A4E" w:rsidRDefault="003B2A4E" w:rsidP="007D5BDA">
      <w:pPr>
        <w:numPr>
          <w:ilvl w:val="0"/>
          <w:numId w:val="6"/>
        </w:numPr>
        <w:spacing w:line="276" w:lineRule="auto"/>
        <w:jc w:val="both"/>
        <w:rPr>
          <w:lang w:val="en-GB"/>
        </w:rPr>
      </w:pPr>
      <w:r w:rsidRPr="003B2A4E">
        <w:rPr>
          <w:lang w:val="en-GB"/>
        </w:rPr>
        <w:t>Expanding into high-growth emerging markets.</w:t>
      </w:r>
    </w:p>
    <w:p w:rsidR="003B2A4E" w:rsidRPr="003B2A4E" w:rsidRDefault="003B2A4E" w:rsidP="007D5BDA">
      <w:pPr>
        <w:numPr>
          <w:ilvl w:val="0"/>
          <w:numId w:val="6"/>
        </w:numPr>
        <w:spacing w:line="276" w:lineRule="auto"/>
        <w:jc w:val="both"/>
        <w:rPr>
          <w:lang w:val="en-GB"/>
        </w:rPr>
      </w:pPr>
      <w:r w:rsidRPr="003B2A4E">
        <w:rPr>
          <w:lang w:val="en-GB"/>
        </w:rPr>
        <w:t xml:space="preserve">Developing </w:t>
      </w:r>
      <w:proofErr w:type="spellStart"/>
      <w:r w:rsidRPr="003B2A4E">
        <w:rPr>
          <w:lang w:val="en-GB"/>
        </w:rPr>
        <w:t>blockchain</w:t>
      </w:r>
      <w:proofErr w:type="spellEnd"/>
      <w:r w:rsidRPr="003B2A4E">
        <w:rPr>
          <w:lang w:val="en-GB"/>
        </w:rPr>
        <w:t>-based solutions for faster and cheaper transactions.</w:t>
      </w:r>
    </w:p>
    <w:p w:rsidR="003B2A4E" w:rsidRPr="00D4694B" w:rsidRDefault="003B2A4E" w:rsidP="007D5BDA">
      <w:pPr>
        <w:numPr>
          <w:ilvl w:val="0"/>
          <w:numId w:val="6"/>
        </w:numPr>
        <w:spacing w:line="276" w:lineRule="auto"/>
        <w:jc w:val="both"/>
        <w:rPr>
          <w:lang w:val="en-GB"/>
        </w:rPr>
      </w:pPr>
      <w:r w:rsidRPr="003B2A4E">
        <w:rPr>
          <w:lang w:val="en-GB"/>
        </w:rPr>
        <w:t xml:space="preserve">Strengthening partnerships with </w:t>
      </w:r>
      <w:proofErr w:type="spellStart"/>
      <w:r w:rsidRPr="003B2A4E">
        <w:rPr>
          <w:lang w:val="en-GB"/>
        </w:rPr>
        <w:t>fintech</w:t>
      </w:r>
      <w:proofErr w:type="spellEnd"/>
      <w:r w:rsidRPr="003B2A4E">
        <w:rPr>
          <w:lang w:val="en-GB"/>
        </w:rPr>
        <w:t xml:space="preserve"> companies to capture niche markets.</w:t>
      </w:r>
    </w:p>
    <w:p w:rsidR="003B2A4E" w:rsidRPr="00D4694B" w:rsidRDefault="003B2A4E" w:rsidP="007D5BDA">
      <w:pPr>
        <w:spacing w:line="276" w:lineRule="auto"/>
        <w:jc w:val="both"/>
        <w:rPr>
          <w:b/>
          <w:bCs/>
          <w:sz w:val="28"/>
          <w:szCs w:val="28"/>
          <w:lang w:val="en-GB"/>
        </w:rPr>
      </w:pPr>
      <w:r w:rsidRPr="00D4694B">
        <w:rPr>
          <w:b/>
          <w:bCs/>
          <w:sz w:val="28"/>
          <w:szCs w:val="28"/>
          <w:lang w:val="en-GB"/>
        </w:rPr>
        <w:t>Conclusion</w:t>
      </w:r>
    </w:p>
    <w:p w:rsidR="003B2A4E" w:rsidRPr="003B2A4E" w:rsidRDefault="003B2A4E" w:rsidP="007D5BDA">
      <w:pPr>
        <w:spacing w:line="276" w:lineRule="auto"/>
        <w:jc w:val="both"/>
        <w:rPr>
          <w:lang w:val="en-GB"/>
        </w:rPr>
      </w:pPr>
      <w:r w:rsidRPr="003B2A4E">
        <w:rPr>
          <w:lang w:val="en-GB"/>
        </w:rPr>
        <w:t>Visa Inc. remains a dominant player in the payment processing industry, supported by its robust infrastructure and global reach. However, it must navigate challenges posed by new competitors and shifting market dynamics. By leveraging emerging technologies and expanding its market presence, Visa is well-positioned to sustain its leadership in the evolving payments ecosystem.</w:t>
      </w:r>
    </w:p>
    <w:p w:rsidR="003B2A4E" w:rsidRPr="003B2A4E" w:rsidRDefault="003B2A4E" w:rsidP="007D5BDA">
      <w:pPr>
        <w:spacing w:line="276" w:lineRule="auto"/>
        <w:jc w:val="both"/>
        <w:rPr>
          <w:lang w:val="en-GB"/>
        </w:rPr>
      </w:pPr>
    </w:p>
    <w:p w:rsidR="003B2A4E" w:rsidRPr="003B2A4E" w:rsidRDefault="003B2A4E" w:rsidP="007D5BDA">
      <w:pPr>
        <w:spacing w:line="276" w:lineRule="auto"/>
        <w:jc w:val="both"/>
        <w:rPr>
          <w:b/>
          <w:bCs/>
          <w:lang w:val="en-GB"/>
        </w:rPr>
      </w:pPr>
      <w:r w:rsidRPr="003B2A4E">
        <w:rPr>
          <w:b/>
          <w:bCs/>
          <w:lang w:val="en-GB"/>
        </w:rPr>
        <w:t>References</w:t>
      </w:r>
    </w:p>
    <w:p w:rsidR="003B2A4E" w:rsidRPr="003B2A4E" w:rsidRDefault="003B2A4E" w:rsidP="007D5BDA">
      <w:pPr>
        <w:numPr>
          <w:ilvl w:val="0"/>
          <w:numId w:val="7"/>
        </w:numPr>
        <w:spacing w:line="276" w:lineRule="auto"/>
        <w:jc w:val="both"/>
        <w:rPr>
          <w:lang w:val="en-GB"/>
        </w:rPr>
      </w:pPr>
      <w:r w:rsidRPr="003B2A4E">
        <w:rPr>
          <w:lang w:val="en-GB"/>
        </w:rPr>
        <w:t>Visa Inc. Annual Reports.</w:t>
      </w:r>
    </w:p>
    <w:p w:rsidR="003B2A4E" w:rsidRPr="003B2A4E" w:rsidRDefault="003B2A4E" w:rsidP="007D5BDA">
      <w:pPr>
        <w:numPr>
          <w:ilvl w:val="0"/>
          <w:numId w:val="7"/>
        </w:numPr>
        <w:spacing w:line="276" w:lineRule="auto"/>
        <w:jc w:val="both"/>
        <w:rPr>
          <w:lang w:val="en-GB"/>
        </w:rPr>
      </w:pPr>
      <w:r w:rsidRPr="003B2A4E">
        <w:rPr>
          <w:lang w:val="en-GB"/>
        </w:rPr>
        <w:t>Industry analysis reports from publicly available sources.</w:t>
      </w:r>
    </w:p>
    <w:p w:rsidR="003B2A4E" w:rsidRPr="003B2A4E" w:rsidRDefault="003B2A4E" w:rsidP="007D5BDA">
      <w:pPr>
        <w:numPr>
          <w:ilvl w:val="0"/>
          <w:numId w:val="7"/>
        </w:numPr>
        <w:spacing w:line="276" w:lineRule="auto"/>
        <w:jc w:val="both"/>
        <w:rPr>
          <w:lang w:val="en-GB"/>
        </w:rPr>
      </w:pPr>
      <w:r w:rsidRPr="003B2A4E">
        <w:rPr>
          <w:lang w:val="en-GB"/>
        </w:rPr>
        <w:t>News articles and insights from trusted financial platforms.</w:t>
      </w:r>
    </w:p>
    <w:bookmarkEnd w:id="0"/>
    <w:p w:rsidR="00DA39C1" w:rsidRDefault="00DA39C1" w:rsidP="007D5BDA">
      <w:pPr>
        <w:spacing w:line="276" w:lineRule="auto"/>
        <w:jc w:val="both"/>
      </w:pPr>
    </w:p>
    <w:sectPr w:rsidR="00DA3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0BCA"/>
    <w:multiLevelType w:val="multilevel"/>
    <w:tmpl w:val="E3C0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778ED"/>
    <w:multiLevelType w:val="multilevel"/>
    <w:tmpl w:val="8746F8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BD3D14"/>
    <w:multiLevelType w:val="multilevel"/>
    <w:tmpl w:val="B670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70EF3"/>
    <w:multiLevelType w:val="multilevel"/>
    <w:tmpl w:val="7AAA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F1A1E"/>
    <w:multiLevelType w:val="hybridMultilevel"/>
    <w:tmpl w:val="5260B0C4"/>
    <w:lvl w:ilvl="0" w:tplc="2000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3A405F5"/>
    <w:multiLevelType w:val="multilevel"/>
    <w:tmpl w:val="5B82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C4DCD"/>
    <w:multiLevelType w:val="multilevel"/>
    <w:tmpl w:val="E256A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F680D"/>
    <w:multiLevelType w:val="multilevel"/>
    <w:tmpl w:val="15A0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08"/>
  <w:drawingGridVerticalSpacing w:val="1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4E"/>
    <w:rsid w:val="00005846"/>
    <w:rsid w:val="00201630"/>
    <w:rsid w:val="0039795E"/>
    <w:rsid w:val="003B2A4E"/>
    <w:rsid w:val="00795A11"/>
    <w:rsid w:val="007D5BDA"/>
    <w:rsid w:val="00983649"/>
    <w:rsid w:val="00A81303"/>
    <w:rsid w:val="00B95A80"/>
    <w:rsid w:val="00C746FF"/>
    <w:rsid w:val="00D4694B"/>
    <w:rsid w:val="00DA3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117F"/>
  <w15:chartTrackingRefBased/>
  <w15:docId w15:val="{B5480209-DDE0-4ACA-B318-ACDE4ED2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303"/>
    <w:pPr>
      <w:ind w:left="720"/>
      <w:contextualSpacing/>
    </w:pPr>
  </w:style>
  <w:style w:type="table" w:styleId="TableGrid">
    <w:name w:val="Table Grid"/>
    <w:basedOn w:val="TableNormal"/>
    <w:uiPriority w:val="39"/>
    <w:rsid w:val="00A8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00009">
      <w:bodyDiv w:val="1"/>
      <w:marLeft w:val="0"/>
      <w:marRight w:val="0"/>
      <w:marTop w:val="0"/>
      <w:marBottom w:val="0"/>
      <w:divBdr>
        <w:top w:val="none" w:sz="0" w:space="0" w:color="auto"/>
        <w:left w:val="none" w:sz="0" w:space="0" w:color="auto"/>
        <w:bottom w:val="none" w:sz="0" w:space="0" w:color="auto"/>
        <w:right w:val="none" w:sz="0" w:space="0" w:color="auto"/>
      </w:divBdr>
      <w:divsChild>
        <w:div w:id="74590749">
          <w:marLeft w:val="0"/>
          <w:marRight w:val="0"/>
          <w:marTop w:val="0"/>
          <w:marBottom w:val="0"/>
          <w:divBdr>
            <w:top w:val="none" w:sz="0" w:space="0" w:color="auto"/>
            <w:left w:val="none" w:sz="0" w:space="0" w:color="auto"/>
            <w:bottom w:val="none" w:sz="0" w:space="0" w:color="auto"/>
            <w:right w:val="none" w:sz="0" w:space="0" w:color="auto"/>
          </w:divBdr>
        </w:div>
        <w:div w:id="664168937">
          <w:marLeft w:val="0"/>
          <w:marRight w:val="0"/>
          <w:marTop w:val="0"/>
          <w:marBottom w:val="0"/>
          <w:divBdr>
            <w:top w:val="none" w:sz="0" w:space="0" w:color="auto"/>
            <w:left w:val="none" w:sz="0" w:space="0" w:color="auto"/>
            <w:bottom w:val="none" w:sz="0" w:space="0" w:color="auto"/>
            <w:right w:val="none" w:sz="0" w:space="0" w:color="auto"/>
          </w:divBdr>
        </w:div>
        <w:div w:id="1018043478">
          <w:marLeft w:val="0"/>
          <w:marRight w:val="0"/>
          <w:marTop w:val="0"/>
          <w:marBottom w:val="0"/>
          <w:divBdr>
            <w:top w:val="none" w:sz="0" w:space="0" w:color="auto"/>
            <w:left w:val="none" w:sz="0" w:space="0" w:color="auto"/>
            <w:bottom w:val="none" w:sz="0" w:space="0" w:color="auto"/>
            <w:right w:val="none" w:sz="0" w:space="0" w:color="auto"/>
          </w:divBdr>
        </w:div>
        <w:div w:id="868449918">
          <w:marLeft w:val="0"/>
          <w:marRight w:val="0"/>
          <w:marTop w:val="0"/>
          <w:marBottom w:val="0"/>
          <w:divBdr>
            <w:top w:val="none" w:sz="0" w:space="0" w:color="auto"/>
            <w:left w:val="none" w:sz="0" w:space="0" w:color="auto"/>
            <w:bottom w:val="none" w:sz="0" w:space="0" w:color="auto"/>
            <w:right w:val="none" w:sz="0" w:space="0" w:color="auto"/>
          </w:divBdr>
        </w:div>
        <w:div w:id="1271625609">
          <w:marLeft w:val="0"/>
          <w:marRight w:val="0"/>
          <w:marTop w:val="0"/>
          <w:marBottom w:val="0"/>
          <w:divBdr>
            <w:top w:val="none" w:sz="0" w:space="0" w:color="auto"/>
            <w:left w:val="none" w:sz="0" w:space="0" w:color="auto"/>
            <w:bottom w:val="none" w:sz="0" w:space="0" w:color="auto"/>
            <w:right w:val="none" w:sz="0" w:space="0" w:color="auto"/>
          </w:divBdr>
        </w:div>
        <w:div w:id="1197501561">
          <w:marLeft w:val="0"/>
          <w:marRight w:val="0"/>
          <w:marTop w:val="0"/>
          <w:marBottom w:val="0"/>
          <w:divBdr>
            <w:top w:val="none" w:sz="0" w:space="0" w:color="auto"/>
            <w:left w:val="none" w:sz="0" w:space="0" w:color="auto"/>
            <w:bottom w:val="none" w:sz="0" w:space="0" w:color="auto"/>
            <w:right w:val="none" w:sz="0" w:space="0" w:color="auto"/>
          </w:divBdr>
        </w:div>
        <w:div w:id="400636391">
          <w:marLeft w:val="0"/>
          <w:marRight w:val="0"/>
          <w:marTop w:val="0"/>
          <w:marBottom w:val="0"/>
          <w:divBdr>
            <w:top w:val="none" w:sz="0" w:space="0" w:color="auto"/>
            <w:left w:val="none" w:sz="0" w:space="0" w:color="auto"/>
            <w:bottom w:val="none" w:sz="0" w:space="0" w:color="auto"/>
            <w:right w:val="none" w:sz="0" w:space="0" w:color="auto"/>
          </w:divBdr>
        </w:div>
        <w:div w:id="1595943428">
          <w:marLeft w:val="0"/>
          <w:marRight w:val="0"/>
          <w:marTop w:val="0"/>
          <w:marBottom w:val="0"/>
          <w:divBdr>
            <w:top w:val="none" w:sz="0" w:space="0" w:color="auto"/>
            <w:left w:val="none" w:sz="0" w:space="0" w:color="auto"/>
            <w:bottom w:val="none" w:sz="0" w:space="0" w:color="auto"/>
            <w:right w:val="none" w:sz="0" w:space="0" w:color="auto"/>
          </w:divBdr>
        </w:div>
        <w:div w:id="2004892826">
          <w:marLeft w:val="0"/>
          <w:marRight w:val="0"/>
          <w:marTop w:val="0"/>
          <w:marBottom w:val="0"/>
          <w:divBdr>
            <w:top w:val="none" w:sz="0" w:space="0" w:color="auto"/>
            <w:left w:val="none" w:sz="0" w:space="0" w:color="auto"/>
            <w:bottom w:val="none" w:sz="0" w:space="0" w:color="auto"/>
            <w:right w:val="none" w:sz="0" w:space="0" w:color="auto"/>
          </w:divBdr>
        </w:div>
        <w:div w:id="180539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2025-01-14T10:17:00Z</dcterms:created>
  <dcterms:modified xsi:type="dcterms:W3CDTF">2025-01-23T13:40:00Z</dcterms:modified>
</cp:coreProperties>
</file>