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3C71A" w14:textId="77777777" w:rsidR="00041BAD" w:rsidRPr="00ED29BD" w:rsidRDefault="00000000" w:rsidP="00ED29BD">
      <w:pPr>
        <w:pStyle w:val="Heading2"/>
        <w:ind w:left="-1134" w:right="-1283"/>
        <w:jc w:val="center"/>
        <w:rPr>
          <w:color w:val="auto"/>
          <w:sz w:val="36"/>
          <w:szCs w:val="36"/>
        </w:rPr>
      </w:pPr>
      <w:r w:rsidRPr="00ED29BD">
        <w:rPr>
          <w:color w:val="auto"/>
          <w:sz w:val="36"/>
          <w:szCs w:val="36"/>
        </w:rPr>
        <w:t>Marriott International Inc.</w:t>
      </w:r>
    </w:p>
    <w:p w14:paraId="77BBF3D7" w14:textId="3249429D" w:rsidR="00BC6A1B" w:rsidRPr="00396A07" w:rsidRDefault="00000000" w:rsidP="00ED29BD">
      <w:pPr>
        <w:pStyle w:val="Heading3"/>
        <w:ind w:left="-1134" w:right="-1283"/>
        <w:rPr>
          <w:rFonts w:ascii="Arial" w:hAnsi="Arial" w:cs="Arial"/>
          <w:color w:val="auto"/>
          <w:sz w:val="20"/>
          <w:szCs w:val="20"/>
        </w:rPr>
      </w:pPr>
      <w:r w:rsidRPr="00396A07">
        <w:rPr>
          <w:rFonts w:ascii="Arial" w:hAnsi="Arial" w:cs="Arial"/>
          <w:color w:val="auto"/>
          <w:sz w:val="20"/>
          <w:szCs w:val="20"/>
        </w:rPr>
        <w:t>Revenue Drivers:</w:t>
      </w:r>
    </w:p>
    <w:p w14:paraId="60ED2C09" w14:textId="0A910E18" w:rsidR="00D75CEC" w:rsidRPr="00BC6A1B" w:rsidRDefault="00D75CEC" w:rsidP="00BC6A1B">
      <w:pPr>
        <w:ind w:left="-1134" w:right="-1283"/>
        <w:jc w:val="center"/>
        <w:rPr>
          <w:rFonts w:ascii="Arial" w:hAnsi="Arial" w:cs="Arial"/>
          <w:sz w:val="20"/>
          <w:szCs w:val="20"/>
        </w:rPr>
      </w:pPr>
      <w:r w:rsidRPr="00BC6A1B">
        <w:rPr>
          <w:rFonts w:ascii="Arial" w:hAnsi="Arial" w:cs="Arial"/>
          <w:noProof/>
          <w:sz w:val="20"/>
          <w:szCs w:val="20"/>
        </w:rPr>
        <w:drawing>
          <wp:inline distT="0" distB="0" distL="0" distR="0" wp14:anchorId="79D66D0E" wp14:editId="50E02104">
            <wp:extent cx="4572000" cy="2743200"/>
            <wp:effectExtent l="0" t="0" r="0" b="0"/>
            <wp:docPr id="1311190979" name="Chart 1">
              <a:extLst xmlns:a="http://schemas.openxmlformats.org/drawingml/2006/main">
                <a:ext uri="{FF2B5EF4-FFF2-40B4-BE49-F238E27FC236}">
                  <a16:creationId xmlns:a16="http://schemas.microsoft.com/office/drawing/2014/main" id="{EC0464CB-9FCD-B290-B12D-20A8728D66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97F5FD6" w14:textId="19165C72" w:rsidR="00041BAD" w:rsidRPr="00BC6A1B" w:rsidRDefault="00D75CEC" w:rsidP="00BC6A1B">
      <w:pPr>
        <w:ind w:left="-1134" w:right="-1283"/>
        <w:rPr>
          <w:rFonts w:ascii="Arial" w:hAnsi="Arial" w:cs="Arial"/>
          <w:noProof/>
          <w:sz w:val="20"/>
          <w:szCs w:val="20"/>
        </w:rPr>
      </w:pPr>
      <w:r w:rsidRPr="00BC6A1B">
        <w:rPr>
          <w:rFonts w:ascii="Arial" w:hAnsi="Arial" w:cs="Arial"/>
          <w:noProof/>
          <w:sz w:val="20"/>
          <w:szCs w:val="20"/>
        </w:rPr>
        <w:t xml:space="preserve">Above is the main revenue drivers according to the latest Quarter 3 Report Consolidated Statement of Income. </w:t>
      </w:r>
      <w:r w:rsidR="00BC6A1B" w:rsidRPr="00BC6A1B">
        <w:rPr>
          <w:rFonts w:ascii="Arial" w:hAnsi="Arial" w:cs="Arial"/>
          <w:noProof/>
          <w:sz w:val="20"/>
          <w:szCs w:val="20"/>
        </w:rPr>
        <w:t xml:space="preserve">If we take a deeper look into the driver these would be: </w:t>
      </w:r>
    </w:p>
    <w:tbl>
      <w:tblPr>
        <w:tblStyle w:val="TableGrid"/>
        <w:tblW w:w="10314" w:type="dxa"/>
        <w:tblInd w:w="-834" w:type="dxa"/>
        <w:tblLook w:val="04A0" w:firstRow="1" w:lastRow="0" w:firstColumn="1" w:lastColumn="0" w:noHBand="0" w:noVBand="1"/>
      </w:tblPr>
      <w:tblGrid>
        <w:gridCol w:w="4770"/>
        <w:gridCol w:w="5544"/>
      </w:tblGrid>
      <w:tr w:rsidR="00BC6A1B" w:rsidRPr="00BC6A1B" w14:paraId="77F344E5" w14:textId="77777777" w:rsidTr="00ED29BD">
        <w:tc>
          <w:tcPr>
            <w:tcW w:w="4770" w:type="dxa"/>
          </w:tcPr>
          <w:p w14:paraId="6E630896" w14:textId="77777777" w:rsidR="00BC6A1B" w:rsidRPr="00BC6A1B" w:rsidRDefault="00BC6A1B" w:rsidP="00BF154D">
            <w:pPr>
              <w:ind w:left="426"/>
              <w:jc w:val="center"/>
              <w:rPr>
                <w:rFonts w:ascii="Arial" w:hAnsi="Arial" w:cs="Arial"/>
                <w:b/>
                <w:bCs/>
                <w:sz w:val="20"/>
                <w:szCs w:val="20"/>
              </w:rPr>
            </w:pPr>
            <w:r w:rsidRPr="00BC6A1B">
              <w:rPr>
                <w:rFonts w:ascii="Arial" w:hAnsi="Arial" w:cs="Arial"/>
                <w:b/>
                <w:bCs/>
                <w:sz w:val="20"/>
                <w:szCs w:val="20"/>
              </w:rPr>
              <w:t>Revenue Drivers</w:t>
            </w:r>
          </w:p>
        </w:tc>
        <w:tc>
          <w:tcPr>
            <w:tcW w:w="5544" w:type="dxa"/>
          </w:tcPr>
          <w:p w14:paraId="684D48EB" w14:textId="77777777" w:rsidR="00BC6A1B" w:rsidRPr="00BC6A1B" w:rsidRDefault="00BC6A1B" w:rsidP="00BF154D">
            <w:pPr>
              <w:ind w:left="426"/>
              <w:jc w:val="center"/>
              <w:rPr>
                <w:rFonts w:ascii="Arial" w:hAnsi="Arial" w:cs="Arial"/>
                <w:b/>
                <w:bCs/>
                <w:sz w:val="20"/>
                <w:szCs w:val="20"/>
              </w:rPr>
            </w:pPr>
            <w:r w:rsidRPr="00BC6A1B">
              <w:rPr>
                <w:rFonts w:ascii="Arial" w:hAnsi="Arial" w:cs="Arial"/>
                <w:b/>
                <w:bCs/>
                <w:sz w:val="20"/>
                <w:szCs w:val="20"/>
              </w:rPr>
              <w:t>Description</w:t>
            </w:r>
          </w:p>
        </w:tc>
      </w:tr>
      <w:tr w:rsidR="00BC6A1B" w:rsidRPr="00BC6A1B" w14:paraId="64A82907" w14:textId="77777777" w:rsidTr="00ED29BD">
        <w:tc>
          <w:tcPr>
            <w:tcW w:w="4770" w:type="dxa"/>
          </w:tcPr>
          <w:p w14:paraId="4AA70A1D" w14:textId="1A616A3E" w:rsidR="00BC6A1B" w:rsidRPr="00BC6A1B" w:rsidRDefault="00BC6A1B" w:rsidP="00BC6A1B">
            <w:pPr>
              <w:ind w:left="426"/>
              <w:rPr>
                <w:rFonts w:ascii="Arial" w:hAnsi="Arial" w:cs="Arial"/>
                <w:sz w:val="20"/>
                <w:szCs w:val="20"/>
              </w:rPr>
            </w:pPr>
            <w:r w:rsidRPr="00BC6A1B">
              <w:rPr>
                <w:rFonts w:ascii="Arial" w:hAnsi="Arial" w:cs="Arial"/>
                <w:sz w:val="20"/>
                <w:szCs w:val="20"/>
              </w:rPr>
              <w:t>Room Rates (Price)</w:t>
            </w:r>
          </w:p>
        </w:tc>
        <w:tc>
          <w:tcPr>
            <w:tcW w:w="5544" w:type="dxa"/>
          </w:tcPr>
          <w:p w14:paraId="053BDD5F" w14:textId="77777777" w:rsidR="00BC6A1B" w:rsidRPr="00BC6A1B" w:rsidRDefault="00BC6A1B" w:rsidP="00BF154D">
            <w:pPr>
              <w:ind w:left="426"/>
              <w:rPr>
                <w:rFonts w:ascii="Arial" w:hAnsi="Arial" w:cs="Arial"/>
                <w:sz w:val="20"/>
                <w:szCs w:val="20"/>
              </w:rPr>
            </w:pPr>
            <w:r w:rsidRPr="00BC6A1B">
              <w:rPr>
                <w:rFonts w:ascii="Arial" w:hAnsi="Arial" w:cs="Arial"/>
                <w:sz w:val="20"/>
                <w:szCs w:val="20"/>
              </w:rPr>
              <w:t>Average daily rate (ADR) per room.</w:t>
            </w:r>
          </w:p>
        </w:tc>
      </w:tr>
      <w:tr w:rsidR="00BC6A1B" w:rsidRPr="00BC6A1B" w14:paraId="5004455A" w14:textId="77777777" w:rsidTr="00ED29BD">
        <w:tc>
          <w:tcPr>
            <w:tcW w:w="4770" w:type="dxa"/>
          </w:tcPr>
          <w:p w14:paraId="223ACF21" w14:textId="77777777" w:rsidR="00BC6A1B" w:rsidRPr="00BC6A1B" w:rsidRDefault="00BC6A1B" w:rsidP="00BC6A1B">
            <w:pPr>
              <w:ind w:left="426"/>
              <w:rPr>
                <w:rFonts w:ascii="Arial" w:hAnsi="Arial" w:cs="Arial"/>
                <w:sz w:val="20"/>
                <w:szCs w:val="20"/>
              </w:rPr>
            </w:pPr>
            <w:r w:rsidRPr="00BC6A1B">
              <w:rPr>
                <w:rFonts w:ascii="Arial" w:hAnsi="Arial" w:cs="Arial"/>
                <w:sz w:val="20"/>
                <w:szCs w:val="20"/>
              </w:rPr>
              <w:t>Occupancy Rates (Volume)</w:t>
            </w:r>
          </w:p>
        </w:tc>
        <w:tc>
          <w:tcPr>
            <w:tcW w:w="5544" w:type="dxa"/>
          </w:tcPr>
          <w:p w14:paraId="4528F9CF" w14:textId="77777777" w:rsidR="00BC6A1B" w:rsidRPr="00BC6A1B" w:rsidRDefault="00BC6A1B" w:rsidP="00BF154D">
            <w:pPr>
              <w:ind w:left="426"/>
              <w:rPr>
                <w:rFonts w:ascii="Arial" w:hAnsi="Arial" w:cs="Arial"/>
                <w:sz w:val="20"/>
                <w:szCs w:val="20"/>
              </w:rPr>
            </w:pPr>
            <w:r w:rsidRPr="00BC6A1B">
              <w:rPr>
                <w:rFonts w:ascii="Arial" w:hAnsi="Arial" w:cs="Arial"/>
                <w:sz w:val="20"/>
                <w:szCs w:val="20"/>
              </w:rPr>
              <w:t>Percentage of available rooms occupied over a specific period.</w:t>
            </w:r>
          </w:p>
        </w:tc>
      </w:tr>
      <w:tr w:rsidR="00BC6A1B" w:rsidRPr="00BC6A1B" w14:paraId="7DBB480D" w14:textId="77777777" w:rsidTr="00ED29BD">
        <w:tc>
          <w:tcPr>
            <w:tcW w:w="4770" w:type="dxa"/>
          </w:tcPr>
          <w:p w14:paraId="4EE56EA7" w14:textId="77777777" w:rsidR="00BC6A1B" w:rsidRPr="00BC6A1B" w:rsidRDefault="00BC6A1B" w:rsidP="00BC6A1B">
            <w:pPr>
              <w:ind w:left="426"/>
              <w:rPr>
                <w:rFonts w:ascii="Arial" w:hAnsi="Arial" w:cs="Arial"/>
                <w:sz w:val="20"/>
                <w:szCs w:val="20"/>
              </w:rPr>
            </w:pPr>
            <w:r w:rsidRPr="00BC6A1B">
              <w:rPr>
                <w:rFonts w:ascii="Arial" w:hAnsi="Arial" w:cs="Arial"/>
                <w:sz w:val="20"/>
                <w:szCs w:val="20"/>
              </w:rPr>
              <w:t>Revenue per Available Room (RevPAR)</w:t>
            </w:r>
          </w:p>
        </w:tc>
        <w:tc>
          <w:tcPr>
            <w:tcW w:w="5544" w:type="dxa"/>
          </w:tcPr>
          <w:p w14:paraId="52D2D828" w14:textId="77777777" w:rsidR="00BC6A1B" w:rsidRPr="00BC6A1B" w:rsidRDefault="00BC6A1B" w:rsidP="00BF154D">
            <w:pPr>
              <w:ind w:left="426"/>
              <w:rPr>
                <w:rFonts w:ascii="Arial" w:hAnsi="Arial" w:cs="Arial"/>
                <w:sz w:val="20"/>
                <w:szCs w:val="20"/>
              </w:rPr>
            </w:pPr>
            <w:r w:rsidRPr="00BC6A1B">
              <w:rPr>
                <w:rFonts w:ascii="Arial" w:hAnsi="Arial" w:cs="Arial"/>
                <w:sz w:val="20"/>
                <w:szCs w:val="20"/>
              </w:rPr>
              <w:t>Calculated by multiplying ADR by occupancy rate.</w:t>
            </w:r>
          </w:p>
        </w:tc>
      </w:tr>
      <w:tr w:rsidR="00BC6A1B" w:rsidRPr="00BC6A1B" w14:paraId="65D91ED1" w14:textId="77777777" w:rsidTr="00ED29BD">
        <w:tc>
          <w:tcPr>
            <w:tcW w:w="4770" w:type="dxa"/>
          </w:tcPr>
          <w:p w14:paraId="14C80C8B" w14:textId="77777777" w:rsidR="00BC6A1B" w:rsidRPr="00BC6A1B" w:rsidRDefault="00BC6A1B" w:rsidP="00BC6A1B">
            <w:pPr>
              <w:ind w:left="426"/>
              <w:rPr>
                <w:rFonts w:ascii="Arial" w:hAnsi="Arial" w:cs="Arial"/>
                <w:sz w:val="20"/>
                <w:szCs w:val="20"/>
              </w:rPr>
            </w:pPr>
            <w:r w:rsidRPr="00BC6A1B">
              <w:rPr>
                <w:rFonts w:ascii="Arial" w:hAnsi="Arial" w:cs="Arial"/>
                <w:sz w:val="20"/>
                <w:szCs w:val="20"/>
              </w:rPr>
              <w:t>Ancillary Services</w:t>
            </w:r>
          </w:p>
        </w:tc>
        <w:tc>
          <w:tcPr>
            <w:tcW w:w="5544" w:type="dxa"/>
          </w:tcPr>
          <w:p w14:paraId="5995E0AC" w14:textId="77777777" w:rsidR="00BC6A1B" w:rsidRPr="00BC6A1B" w:rsidRDefault="00BC6A1B" w:rsidP="00BF154D">
            <w:pPr>
              <w:ind w:left="426"/>
              <w:rPr>
                <w:rFonts w:ascii="Arial" w:hAnsi="Arial" w:cs="Arial"/>
                <w:sz w:val="20"/>
                <w:szCs w:val="20"/>
              </w:rPr>
            </w:pPr>
            <w:r w:rsidRPr="00BC6A1B">
              <w:rPr>
                <w:rFonts w:ascii="Arial" w:hAnsi="Arial" w:cs="Arial"/>
                <w:sz w:val="20"/>
                <w:szCs w:val="20"/>
              </w:rPr>
              <w:t>Income from food, beverage, spa services, events, etc.</w:t>
            </w:r>
          </w:p>
        </w:tc>
      </w:tr>
      <w:tr w:rsidR="00BC6A1B" w:rsidRPr="00BC6A1B" w14:paraId="426797BF" w14:textId="77777777" w:rsidTr="00ED29BD">
        <w:tc>
          <w:tcPr>
            <w:tcW w:w="4770" w:type="dxa"/>
          </w:tcPr>
          <w:p w14:paraId="55802D30" w14:textId="77777777" w:rsidR="00BC6A1B" w:rsidRPr="00BC6A1B" w:rsidRDefault="00BC6A1B" w:rsidP="00BC6A1B">
            <w:pPr>
              <w:ind w:left="426"/>
              <w:rPr>
                <w:rFonts w:ascii="Arial" w:hAnsi="Arial" w:cs="Arial"/>
                <w:sz w:val="20"/>
                <w:szCs w:val="20"/>
              </w:rPr>
            </w:pPr>
            <w:r w:rsidRPr="00BC6A1B">
              <w:rPr>
                <w:rFonts w:ascii="Arial" w:hAnsi="Arial" w:cs="Arial"/>
                <w:sz w:val="20"/>
                <w:szCs w:val="20"/>
              </w:rPr>
              <w:t>Loyalty Programs</w:t>
            </w:r>
          </w:p>
        </w:tc>
        <w:tc>
          <w:tcPr>
            <w:tcW w:w="5544" w:type="dxa"/>
          </w:tcPr>
          <w:p w14:paraId="31526E8B" w14:textId="77777777" w:rsidR="00BC6A1B" w:rsidRPr="00BC6A1B" w:rsidRDefault="00BC6A1B" w:rsidP="00BF154D">
            <w:pPr>
              <w:ind w:left="426"/>
              <w:rPr>
                <w:rFonts w:ascii="Arial" w:hAnsi="Arial" w:cs="Arial"/>
                <w:sz w:val="20"/>
                <w:szCs w:val="20"/>
              </w:rPr>
            </w:pPr>
            <w:r w:rsidRPr="00BC6A1B">
              <w:rPr>
                <w:rFonts w:ascii="Arial" w:hAnsi="Arial" w:cs="Arial"/>
                <w:sz w:val="20"/>
                <w:szCs w:val="20"/>
              </w:rPr>
              <w:t>Marriott Bonvoy memberships and co-branded credit cards.</w:t>
            </w:r>
          </w:p>
        </w:tc>
      </w:tr>
      <w:tr w:rsidR="00BC6A1B" w:rsidRPr="00BC6A1B" w14:paraId="6B63FF36" w14:textId="77777777" w:rsidTr="00ED29BD">
        <w:tc>
          <w:tcPr>
            <w:tcW w:w="4770" w:type="dxa"/>
          </w:tcPr>
          <w:p w14:paraId="1B355EA5" w14:textId="77777777" w:rsidR="00BC6A1B" w:rsidRPr="00BC6A1B" w:rsidRDefault="00BC6A1B" w:rsidP="00BC6A1B">
            <w:pPr>
              <w:ind w:left="426"/>
              <w:rPr>
                <w:rFonts w:ascii="Arial" w:hAnsi="Arial" w:cs="Arial"/>
                <w:sz w:val="20"/>
                <w:szCs w:val="20"/>
              </w:rPr>
            </w:pPr>
            <w:r w:rsidRPr="00BC6A1B">
              <w:rPr>
                <w:rFonts w:ascii="Arial" w:hAnsi="Arial" w:cs="Arial"/>
                <w:sz w:val="20"/>
                <w:szCs w:val="20"/>
              </w:rPr>
              <w:t>Geographical Expansion</w:t>
            </w:r>
          </w:p>
        </w:tc>
        <w:tc>
          <w:tcPr>
            <w:tcW w:w="5544" w:type="dxa"/>
          </w:tcPr>
          <w:p w14:paraId="697C94C3" w14:textId="77777777" w:rsidR="00BC6A1B" w:rsidRPr="00BC6A1B" w:rsidRDefault="00BC6A1B" w:rsidP="00BF154D">
            <w:pPr>
              <w:ind w:left="426"/>
              <w:rPr>
                <w:rFonts w:ascii="Arial" w:hAnsi="Arial" w:cs="Arial"/>
                <w:sz w:val="20"/>
                <w:szCs w:val="20"/>
              </w:rPr>
            </w:pPr>
            <w:r w:rsidRPr="00BC6A1B">
              <w:rPr>
                <w:rFonts w:ascii="Arial" w:hAnsi="Arial" w:cs="Arial"/>
                <w:sz w:val="20"/>
                <w:szCs w:val="20"/>
              </w:rPr>
              <w:t>Revenue from new markets.</w:t>
            </w:r>
            <w:r w:rsidRPr="00BC6A1B">
              <w:rPr>
                <w:rFonts w:ascii="Arial" w:hAnsi="Arial" w:cs="Arial"/>
                <w:sz w:val="20"/>
                <w:szCs w:val="20"/>
              </w:rPr>
              <w:br/>
            </w:r>
          </w:p>
        </w:tc>
      </w:tr>
    </w:tbl>
    <w:p w14:paraId="3D18F33D" w14:textId="77777777" w:rsidR="00BC6A1B" w:rsidRPr="00BC6A1B" w:rsidRDefault="00BC6A1B" w:rsidP="00BC6A1B">
      <w:pPr>
        <w:ind w:left="-1134" w:right="-1283"/>
        <w:rPr>
          <w:rFonts w:ascii="Arial" w:hAnsi="Arial" w:cs="Arial"/>
          <w:sz w:val="20"/>
          <w:szCs w:val="20"/>
        </w:rPr>
      </w:pPr>
    </w:p>
    <w:p w14:paraId="668C59F9" w14:textId="77777777" w:rsidR="00041BAD" w:rsidRPr="00BC6A1B" w:rsidRDefault="00000000" w:rsidP="00BC6A1B">
      <w:pPr>
        <w:ind w:left="-1134" w:right="-1283"/>
        <w:rPr>
          <w:rFonts w:ascii="Arial" w:hAnsi="Arial" w:cs="Arial"/>
          <w:sz w:val="20"/>
          <w:szCs w:val="20"/>
        </w:rPr>
      </w:pPr>
      <w:r w:rsidRPr="00BC6A1B">
        <w:rPr>
          <w:rFonts w:ascii="Arial" w:hAnsi="Arial" w:cs="Arial"/>
          <w:sz w:val="20"/>
          <w:szCs w:val="20"/>
        </w:rPr>
        <w:t xml:space="preserve">In Q1-Q3 2024, Marriott showed strong revenue growth, with RevPAR rising approximately 15% over 2023, supported by high demand for both leisure and business travel as the pandemic impact lessened. According to Marriott's 2023 Annual Report, total revenue grew </w:t>
      </w:r>
      <w:proofErr w:type="gramStart"/>
      <w:r w:rsidRPr="00BC6A1B">
        <w:rPr>
          <w:rFonts w:ascii="Arial" w:hAnsi="Arial" w:cs="Arial"/>
          <w:sz w:val="20"/>
          <w:szCs w:val="20"/>
        </w:rPr>
        <w:t>as a result of</w:t>
      </w:r>
      <w:proofErr w:type="gramEnd"/>
      <w:r w:rsidRPr="00BC6A1B">
        <w:rPr>
          <w:rFonts w:ascii="Arial" w:hAnsi="Arial" w:cs="Arial"/>
          <w:sz w:val="20"/>
          <w:szCs w:val="20"/>
        </w:rPr>
        <w:t xml:space="preserve"> an increase in group and transient travel, especially among small and medium enterprises.</w:t>
      </w:r>
    </w:p>
    <w:p w14:paraId="31649F5E" w14:textId="77777777" w:rsidR="00041BAD" w:rsidRPr="00396A07" w:rsidRDefault="00000000" w:rsidP="00BC6A1B">
      <w:pPr>
        <w:pStyle w:val="Heading3"/>
        <w:ind w:left="-1134" w:right="-1283"/>
        <w:rPr>
          <w:rFonts w:ascii="Arial" w:hAnsi="Arial" w:cs="Arial"/>
          <w:color w:val="auto"/>
          <w:sz w:val="20"/>
          <w:szCs w:val="20"/>
        </w:rPr>
      </w:pPr>
      <w:r w:rsidRPr="00396A07">
        <w:rPr>
          <w:rFonts w:ascii="Arial" w:hAnsi="Arial" w:cs="Arial"/>
          <w:color w:val="auto"/>
          <w:sz w:val="20"/>
          <w:szCs w:val="20"/>
        </w:rPr>
        <w:t>Cost Drivers:</w:t>
      </w:r>
    </w:p>
    <w:tbl>
      <w:tblPr>
        <w:tblStyle w:val="TableGrid"/>
        <w:tblW w:w="11023" w:type="dxa"/>
        <w:jc w:val="center"/>
        <w:tblLook w:val="04A0" w:firstRow="1" w:lastRow="0" w:firstColumn="1" w:lastColumn="0" w:noHBand="0" w:noVBand="1"/>
      </w:tblPr>
      <w:tblGrid>
        <w:gridCol w:w="5070"/>
        <w:gridCol w:w="5953"/>
      </w:tblGrid>
      <w:tr w:rsidR="00BC6A1B" w14:paraId="1FFF3297" w14:textId="77777777" w:rsidTr="00ED29BD">
        <w:trPr>
          <w:jc w:val="center"/>
        </w:trPr>
        <w:tc>
          <w:tcPr>
            <w:tcW w:w="5070" w:type="dxa"/>
          </w:tcPr>
          <w:p w14:paraId="3CD8AA63" w14:textId="18B30CB7" w:rsidR="00BC6A1B" w:rsidRPr="00BC6A1B" w:rsidRDefault="00BC6A1B" w:rsidP="00BC6A1B">
            <w:pPr>
              <w:ind w:right="-1283"/>
              <w:jc w:val="center"/>
              <w:rPr>
                <w:b/>
                <w:bCs/>
              </w:rPr>
            </w:pPr>
            <w:r w:rsidRPr="00BC6A1B">
              <w:rPr>
                <w:rFonts w:ascii="Arial" w:hAnsi="Arial" w:cs="Arial"/>
                <w:b/>
                <w:bCs/>
                <w:sz w:val="20"/>
                <w:szCs w:val="20"/>
              </w:rPr>
              <w:t>Fixed Costs:</w:t>
            </w:r>
          </w:p>
        </w:tc>
        <w:tc>
          <w:tcPr>
            <w:tcW w:w="5953" w:type="dxa"/>
          </w:tcPr>
          <w:p w14:paraId="5F0D6597" w14:textId="693912DD" w:rsidR="00BC6A1B" w:rsidRPr="00BC6A1B" w:rsidRDefault="00BC6A1B" w:rsidP="00BC6A1B">
            <w:pPr>
              <w:ind w:right="-1283"/>
              <w:jc w:val="center"/>
              <w:rPr>
                <w:b/>
                <w:bCs/>
              </w:rPr>
            </w:pPr>
            <w:r w:rsidRPr="00BC6A1B">
              <w:rPr>
                <w:rFonts w:ascii="Arial" w:hAnsi="Arial" w:cs="Arial"/>
                <w:b/>
                <w:bCs/>
                <w:sz w:val="20"/>
                <w:szCs w:val="20"/>
              </w:rPr>
              <w:t>Variable Costs:</w:t>
            </w:r>
          </w:p>
        </w:tc>
      </w:tr>
      <w:tr w:rsidR="00BC6A1B" w14:paraId="5B6EF8BB" w14:textId="77777777" w:rsidTr="00ED29BD">
        <w:trPr>
          <w:jc w:val="center"/>
        </w:trPr>
        <w:tc>
          <w:tcPr>
            <w:tcW w:w="5070" w:type="dxa"/>
          </w:tcPr>
          <w:p w14:paraId="1C449171" w14:textId="0C4C4B12" w:rsidR="00BC6A1B" w:rsidRDefault="00BC6A1B" w:rsidP="00BC6A1B">
            <w:pPr>
              <w:ind w:right="-1283"/>
            </w:pPr>
            <w:r w:rsidRPr="00BC6A1B">
              <w:rPr>
                <w:rFonts w:ascii="Arial" w:hAnsi="Arial" w:cs="Arial"/>
                <w:sz w:val="20"/>
                <w:szCs w:val="20"/>
              </w:rPr>
              <w:t>Property Maintenance: Regular upkeep of properties</w:t>
            </w:r>
          </w:p>
        </w:tc>
        <w:tc>
          <w:tcPr>
            <w:tcW w:w="5953" w:type="dxa"/>
          </w:tcPr>
          <w:p w14:paraId="0D8C5393" w14:textId="2A882D6A" w:rsidR="00BC6A1B" w:rsidRDefault="00BC6A1B" w:rsidP="00BC6A1B">
            <w:pPr>
              <w:ind w:right="-1283"/>
            </w:pPr>
            <w:r w:rsidRPr="00BC6A1B">
              <w:rPr>
                <w:rFonts w:ascii="Arial" w:hAnsi="Arial" w:cs="Arial"/>
                <w:sz w:val="20"/>
                <w:szCs w:val="20"/>
              </w:rPr>
              <w:t>Utilities: Costs vary with occupancy.</w:t>
            </w:r>
          </w:p>
        </w:tc>
      </w:tr>
      <w:tr w:rsidR="00BC6A1B" w14:paraId="662DFAD6" w14:textId="77777777" w:rsidTr="00ED29BD">
        <w:trPr>
          <w:jc w:val="center"/>
        </w:trPr>
        <w:tc>
          <w:tcPr>
            <w:tcW w:w="5070" w:type="dxa"/>
          </w:tcPr>
          <w:p w14:paraId="4B48FEF7" w14:textId="465B0815" w:rsidR="00BC6A1B" w:rsidRDefault="00BC6A1B" w:rsidP="00BC6A1B">
            <w:pPr>
              <w:ind w:right="-1283"/>
            </w:pPr>
            <w:r w:rsidRPr="00BC6A1B">
              <w:rPr>
                <w:rFonts w:ascii="Arial" w:hAnsi="Arial" w:cs="Arial"/>
                <w:sz w:val="20"/>
                <w:szCs w:val="20"/>
              </w:rPr>
              <w:t>Salaries and Wages: Fixed pay for permanent staff.</w:t>
            </w:r>
          </w:p>
        </w:tc>
        <w:tc>
          <w:tcPr>
            <w:tcW w:w="5953" w:type="dxa"/>
          </w:tcPr>
          <w:p w14:paraId="4A6A2C30" w14:textId="06849941" w:rsidR="00BC6A1B" w:rsidRDefault="00BC6A1B" w:rsidP="00BC6A1B">
            <w:pPr>
              <w:ind w:right="-1283"/>
            </w:pPr>
            <w:r w:rsidRPr="00BC6A1B">
              <w:rPr>
                <w:rFonts w:ascii="Arial" w:hAnsi="Arial" w:cs="Arial"/>
                <w:sz w:val="20"/>
                <w:szCs w:val="20"/>
              </w:rPr>
              <w:t>Housekeeping Supplies: Dependent on guest volume.</w:t>
            </w:r>
          </w:p>
        </w:tc>
      </w:tr>
      <w:tr w:rsidR="00BC6A1B" w14:paraId="7ACBD653" w14:textId="77777777" w:rsidTr="00ED29BD">
        <w:trPr>
          <w:jc w:val="center"/>
        </w:trPr>
        <w:tc>
          <w:tcPr>
            <w:tcW w:w="5070" w:type="dxa"/>
          </w:tcPr>
          <w:p w14:paraId="0CFCD5F0" w14:textId="601AFCE8" w:rsidR="00BC6A1B" w:rsidRDefault="00BC6A1B" w:rsidP="00BC6A1B">
            <w:pPr>
              <w:ind w:right="-1283"/>
            </w:pPr>
            <w:r w:rsidRPr="00BC6A1B">
              <w:rPr>
                <w:rFonts w:ascii="Arial" w:hAnsi="Arial" w:cs="Arial"/>
                <w:sz w:val="20"/>
                <w:szCs w:val="20"/>
              </w:rPr>
              <w:t>Depreciation: Allocation of asset costs over useful lives.</w:t>
            </w:r>
          </w:p>
        </w:tc>
        <w:tc>
          <w:tcPr>
            <w:tcW w:w="5953" w:type="dxa"/>
          </w:tcPr>
          <w:p w14:paraId="5AA804C5" w14:textId="2B2924C8" w:rsidR="00BC6A1B" w:rsidRDefault="00BC6A1B" w:rsidP="00BC6A1B">
            <w:pPr>
              <w:ind w:right="-1283"/>
            </w:pPr>
            <w:r w:rsidRPr="00BC6A1B">
              <w:rPr>
                <w:rFonts w:ascii="Arial" w:hAnsi="Arial" w:cs="Arial"/>
                <w:sz w:val="20"/>
                <w:szCs w:val="20"/>
              </w:rPr>
              <w:t>Food and Beverage Supplies: Proportional to service usage.</w:t>
            </w:r>
          </w:p>
        </w:tc>
      </w:tr>
    </w:tbl>
    <w:p w14:paraId="2324A4C0" w14:textId="5E119CF4" w:rsidR="00041BAD" w:rsidRPr="00BC6A1B" w:rsidRDefault="00041BAD" w:rsidP="00BC6A1B">
      <w:pPr>
        <w:ind w:right="-1283"/>
        <w:rPr>
          <w:rFonts w:ascii="Arial" w:hAnsi="Arial" w:cs="Arial"/>
          <w:sz w:val="20"/>
          <w:szCs w:val="20"/>
        </w:rPr>
      </w:pPr>
    </w:p>
    <w:p w14:paraId="4FD12EF1" w14:textId="77777777" w:rsidR="00041BAD" w:rsidRPr="00BC6A1B" w:rsidRDefault="00000000" w:rsidP="00BC6A1B">
      <w:pPr>
        <w:ind w:left="-1134" w:right="-1283"/>
        <w:jc w:val="both"/>
        <w:rPr>
          <w:rFonts w:ascii="Arial" w:hAnsi="Arial" w:cs="Arial"/>
          <w:sz w:val="20"/>
          <w:szCs w:val="20"/>
        </w:rPr>
      </w:pPr>
      <w:r w:rsidRPr="00BC6A1B">
        <w:rPr>
          <w:rFonts w:ascii="Arial" w:hAnsi="Arial" w:cs="Arial"/>
          <w:sz w:val="20"/>
          <w:szCs w:val="20"/>
        </w:rPr>
        <w:t xml:space="preserve">Marriott's cost structure is heavily influenced by property-level expenses, which include maintenance, utilities, and food/beverage supplies. In Q1-Q3 2024, operating income showed positive trends due to efficient cost management and </w:t>
      </w:r>
      <w:r w:rsidRPr="00BC6A1B">
        <w:rPr>
          <w:rFonts w:ascii="Arial" w:hAnsi="Arial" w:cs="Arial"/>
          <w:sz w:val="20"/>
          <w:szCs w:val="20"/>
        </w:rPr>
        <w:lastRenderedPageBreak/>
        <w:t>economies of scale achieved through high occupancy. General administrative costs and utilities increased moderately, while depreciation and lease expenses remained stable.</w:t>
      </w:r>
    </w:p>
    <w:p w14:paraId="2702C18C" w14:textId="77777777" w:rsidR="00041BAD" w:rsidRPr="00396A07" w:rsidRDefault="00000000" w:rsidP="00BC6A1B">
      <w:pPr>
        <w:pStyle w:val="Heading3"/>
        <w:ind w:left="-1134" w:right="-1283"/>
        <w:jc w:val="both"/>
        <w:rPr>
          <w:rFonts w:ascii="Arial" w:hAnsi="Arial" w:cs="Arial"/>
          <w:color w:val="auto"/>
          <w:sz w:val="20"/>
          <w:szCs w:val="20"/>
        </w:rPr>
      </w:pPr>
      <w:r w:rsidRPr="00396A07">
        <w:rPr>
          <w:rFonts w:ascii="Arial" w:hAnsi="Arial" w:cs="Arial"/>
          <w:color w:val="auto"/>
          <w:sz w:val="20"/>
          <w:szCs w:val="20"/>
        </w:rPr>
        <w:t>Company Performance Overview:</w:t>
      </w:r>
    </w:p>
    <w:p w14:paraId="2FC7E436" w14:textId="77777777" w:rsidR="00041BAD" w:rsidRPr="00BC6A1B" w:rsidRDefault="00000000" w:rsidP="00BC6A1B">
      <w:pPr>
        <w:ind w:left="-1134" w:right="-1283"/>
        <w:jc w:val="both"/>
        <w:rPr>
          <w:rFonts w:ascii="Arial" w:hAnsi="Arial" w:cs="Arial"/>
          <w:sz w:val="20"/>
          <w:szCs w:val="20"/>
        </w:rPr>
      </w:pPr>
      <w:r w:rsidRPr="00BC6A1B">
        <w:rPr>
          <w:rFonts w:ascii="Arial" w:hAnsi="Arial" w:cs="Arial"/>
          <w:sz w:val="20"/>
          <w:szCs w:val="20"/>
        </w:rPr>
        <w:t>In 2024, Marriott reported consistent growth across its key revenue drivers, with total revenue reaching $6.439 billion in Q2 2024, a 6% increase from Q2 2023. Adjusted EBITDA in 2023 reached over $4.6 billion, up 21% over the previous year. Marriott Bonvoy's loyalty program, which contributed significantly to customer retention and engagement, saw record highs in member usage. The company’s digital channels, including the Marriott Bonvoy mobile app, accounted for a 22% increase in room nights in 2023, demonstrating effective digital engagement strategies.</w:t>
      </w:r>
    </w:p>
    <w:p w14:paraId="228AC8FB" w14:textId="77777777" w:rsidR="00041BAD" w:rsidRPr="00396A07" w:rsidRDefault="00000000" w:rsidP="00BC6A1B">
      <w:pPr>
        <w:pStyle w:val="Heading3"/>
        <w:ind w:left="-1134" w:right="-1283"/>
        <w:jc w:val="both"/>
        <w:rPr>
          <w:rFonts w:ascii="Arial" w:hAnsi="Arial" w:cs="Arial"/>
          <w:color w:val="auto"/>
          <w:sz w:val="20"/>
          <w:szCs w:val="20"/>
        </w:rPr>
      </w:pPr>
      <w:r w:rsidRPr="00396A07">
        <w:rPr>
          <w:rFonts w:ascii="Arial" w:hAnsi="Arial" w:cs="Arial"/>
          <w:color w:val="auto"/>
          <w:sz w:val="20"/>
          <w:szCs w:val="20"/>
        </w:rPr>
        <w:t>Peer Comparison:</w:t>
      </w:r>
    </w:p>
    <w:p w14:paraId="414D0519" w14:textId="77777777" w:rsidR="00041BAD" w:rsidRDefault="00000000" w:rsidP="00BC6A1B">
      <w:pPr>
        <w:ind w:left="-1134" w:right="-1283"/>
        <w:jc w:val="both"/>
        <w:rPr>
          <w:rFonts w:ascii="Arial" w:hAnsi="Arial" w:cs="Arial"/>
          <w:sz w:val="20"/>
          <w:szCs w:val="20"/>
        </w:rPr>
      </w:pPr>
      <w:r w:rsidRPr="00BC6A1B">
        <w:rPr>
          <w:rFonts w:ascii="Arial" w:hAnsi="Arial" w:cs="Arial"/>
          <w:sz w:val="20"/>
          <w:szCs w:val="20"/>
        </w:rPr>
        <w:t>Marriott's key competitors include Hilton Worldwide Holdings Inc. and Hyatt Hotels Corporation. In 2023, Hilton experienced a 33% increase in revenue, while Hyatt saw a 25% growth. Despite challenges like rising operational costs, Marriott's revenue growth outpaced its peers, indicating strong brand positioning and effective cost management.</w:t>
      </w:r>
    </w:p>
    <w:p w14:paraId="29132121" w14:textId="77777777" w:rsidR="007D19CA" w:rsidRDefault="007D19CA" w:rsidP="00BC6A1B">
      <w:pPr>
        <w:ind w:left="-1134" w:right="-1283"/>
        <w:jc w:val="both"/>
        <w:rPr>
          <w:rFonts w:ascii="Arial" w:hAnsi="Arial" w:cs="Arial"/>
          <w:sz w:val="20"/>
          <w:szCs w:val="20"/>
        </w:rPr>
      </w:pPr>
    </w:p>
    <w:p w14:paraId="11D9CDB1" w14:textId="77777777" w:rsidR="007D19CA" w:rsidRDefault="007D19CA" w:rsidP="00BC6A1B">
      <w:pPr>
        <w:ind w:left="-1134" w:right="-1283"/>
        <w:jc w:val="both"/>
        <w:rPr>
          <w:rFonts w:ascii="Arial" w:hAnsi="Arial" w:cs="Arial"/>
          <w:sz w:val="20"/>
          <w:szCs w:val="20"/>
        </w:rPr>
      </w:pPr>
    </w:p>
    <w:p w14:paraId="10D07039" w14:textId="77777777" w:rsidR="007D19CA" w:rsidRDefault="007D19CA" w:rsidP="00BC6A1B">
      <w:pPr>
        <w:ind w:left="-1134" w:right="-1283"/>
        <w:jc w:val="both"/>
        <w:rPr>
          <w:rFonts w:ascii="Arial" w:hAnsi="Arial" w:cs="Arial"/>
          <w:sz w:val="20"/>
          <w:szCs w:val="20"/>
        </w:rPr>
      </w:pPr>
    </w:p>
    <w:p w14:paraId="40F54020" w14:textId="77777777" w:rsidR="007D19CA" w:rsidRDefault="007D19CA" w:rsidP="00BC6A1B">
      <w:pPr>
        <w:ind w:left="-1134" w:right="-1283"/>
        <w:jc w:val="both"/>
        <w:rPr>
          <w:rFonts w:ascii="Arial" w:hAnsi="Arial" w:cs="Arial"/>
          <w:sz w:val="20"/>
          <w:szCs w:val="20"/>
        </w:rPr>
      </w:pPr>
    </w:p>
    <w:p w14:paraId="5D11B7B7" w14:textId="77777777" w:rsidR="007D19CA" w:rsidRDefault="007D19CA" w:rsidP="00BC6A1B">
      <w:pPr>
        <w:ind w:left="-1134" w:right="-1283"/>
        <w:jc w:val="both"/>
        <w:rPr>
          <w:rFonts w:ascii="Arial" w:hAnsi="Arial" w:cs="Arial"/>
          <w:sz w:val="20"/>
          <w:szCs w:val="20"/>
        </w:rPr>
      </w:pPr>
    </w:p>
    <w:p w14:paraId="25839D0C" w14:textId="77777777" w:rsidR="007D19CA" w:rsidRDefault="007D19CA" w:rsidP="00BC6A1B">
      <w:pPr>
        <w:ind w:left="-1134" w:right="-1283"/>
        <w:jc w:val="both"/>
        <w:rPr>
          <w:rFonts w:ascii="Arial" w:hAnsi="Arial" w:cs="Arial"/>
          <w:sz w:val="20"/>
          <w:szCs w:val="20"/>
        </w:rPr>
      </w:pPr>
    </w:p>
    <w:p w14:paraId="59C67D30" w14:textId="77777777" w:rsidR="007D19CA" w:rsidRDefault="007D19CA" w:rsidP="00BC6A1B">
      <w:pPr>
        <w:ind w:left="-1134" w:right="-1283"/>
        <w:jc w:val="both"/>
        <w:rPr>
          <w:rFonts w:ascii="Arial" w:hAnsi="Arial" w:cs="Arial"/>
          <w:sz w:val="20"/>
          <w:szCs w:val="20"/>
        </w:rPr>
      </w:pPr>
    </w:p>
    <w:p w14:paraId="361F8E16" w14:textId="77777777" w:rsidR="007D19CA" w:rsidRDefault="007D19CA" w:rsidP="00BC6A1B">
      <w:pPr>
        <w:ind w:left="-1134" w:right="-1283"/>
        <w:jc w:val="both"/>
        <w:rPr>
          <w:rFonts w:ascii="Arial" w:hAnsi="Arial" w:cs="Arial"/>
          <w:sz w:val="20"/>
          <w:szCs w:val="20"/>
        </w:rPr>
      </w:pPr>
    </w:p>
    <w:p w14:paraId="0F788AD5" w14:textId="77777777" w:rsidR="007D19CA" w:rsidRDefault="007D19CA" w:rsidP="00BC6A1B">
      <w:pPr>
        <w:ind w:left="-1134" w:right="-1283"/>
        <w:jc w:val="both"/>
        <w:rPr>
          <w:rFonts w:ascii="Arial" w:hAnsi="Arial" w:cs="Arial"/>
          <w:sz w:val="20"/>
          <w:szCs w:val="20"/>
        </w:rPr>
      </w:pPr>
    </w:p>
    <w:p w14:paraId="368DBE81" w14:textId="77777777" w:rsidR="007D19CA" w:rsidRDefault="007D19CA" w:rsidP="00BC6A1B">
      <w:pPr>
        <w:ind w:left="-1134" w:right="-1283"/>
        <w:jc w:val="both"/>
        <w:rPr>
          <w:rFonts w:ascii="Arial" w:hAnsi="Arial" w:cs="Arial"/>
          <w:sz w:val="20"/>
          <w:szCs w:val="20"/>
        </w:rPr>
      </w:pPr>
    </w:p>
    <w:p w14:paraId="76401176" w14:textId="77777777" w:rsidR="007D19CA" w:rsidRDefault="007D19CA" w:rsidP="00BC6A1B">
      <w:pPr>
        <w:ind w:left="-1134" w:right="-1283"/>
        <w:jc w:val="both"/>
        <w:rPr>
          <w:rFonts w:ascii="Arial" w:hAnsi="Arial" w:cs="Arial"/>
          <w:sz w:val="20"/>
          <w:szCs w:val="20"/>
        </w:rPr>
      </w:pPr>
    </w:p>
    <w:p w14:paraId="54858D41" w14:textId="77777777" w:rsidR="007D19CA" w:rsidRDefault="007D19CA" w:rsidP="00BC6A1B">
      <w:pPr>
        <w:ind w:left="-1134" w:right="-1283"/>
        <w:jc w:val="both"/>
        <w:rPr>
          <w:rFonts w:ascii="Arial" w:hAnsi="Arial" w:cs="Arial"/>
          <w:sz w:val="20"/>
          <w:szCs w:val="20"/>
        </w:rPr>
      </w:pPr>
    </w:p>
    <w:p w14:paraId="7707D46B" w14:textId="77777777" w:rsidR="007D19CA" w:rsidRDefault="007D19CA" w:rsidP="00BC6A1B">
      <w:pPr>
        <w:ind w:left="-1134" w:right="-1283"/>
        <w:jc w:val="both"/>
        <w:rPr>
          <w:rFonts w:ascii="Arial" w:hAnsi="Arial" w:cs="Arial"/>
          <w:sz w:val="20"/>
          <w:szCs w:val="20"/>
        </w:rPr>
      </w:pPr>
    </w:p>
    <w:p w14:paraId="2DC935FF" w14:textId="77777777" w:rsidR="007D19CA" w:rsidRDefault="007D19CA" w:rsidP="00BC6A1B">
      <w:pPr>
        <w:ind w:left="-1134" w:right="-1283"/>
        <w:jc w:val="both"/>
        <w:rPr>
          <w:rFonts w:ascii="Arial" w:hAnsi="Arial" w:cs="Arial"/>
          <w:sz w:val="20"/>
          <w:szCs w:val="20"/>
        </w:rPr>
      </w:pPr>
    </w:p>
    <w:p w14:paraId="197B5144" w14:textId="77777777" w:rsidR="007D19CA" w:rsidRDefault="007D19CA" w:rsidP="00BC6A1B">
      <w:pPr>
        <w:ind w:left="-1134" w:right="-1283"/>
        <w:jc w:val="both"/>
        <w:rPr>
          <w:rFonts w:ascii="Arial" w:hAnsi="Arial" w:cs="Arial"/>
          <w:sz w:val="20"/>
          <w:szCs w:val="20"/>
        </w:rPr>
      </w:pPr>
    </w:p>
    <w:p w14:paraId="58377134" w14:textId="77777777" w:rsidR="007D19CA" w:rsidRDefault="007D19CA" w:rsidP="00BC6A1B">
      <w:pPr>
        <w:ind w:left="-1134" w:right="-1283"/>
        <w:jc w:val="both"/>
        <w:rPr>
          <w:rFonts w:ascii="Arial" w:hAnsi="Arial" w:cs="Arial"/>
          <w:sz w:val="20"/>
          <w:szCs w:val="20"/>
        </w:rPr>
      </w:pPr>
    </w:p>
    <w:p w14:paraId="04BB502D" w14:textId="77777777" w:rsidR="007D19CA" w:rsidRDefault="007D19CA" w:rsidP="00BC6A1B">
      <w:pPr>
        <w:ind w:left="-1134" w:right="-1283"/>
        <w:jc w:val="both"/>
        <w:rPr>
          <w:rFonts w:ascii="Arial" w:hAnsi="Arial" w:cs="Arial"/>
          <w:sz w:val="20"/>
          <w:szCs w:val="20"/>
        </w:rPr>
      </w:pPr>
    </w:p>
    <w:p w14:paraId="053B4C4B" w14:textId="77777777" w:rsidR="007D19CA" w:rsidRDefault="007D19CA" w:rsidP="00BC6A1B">
      <w:pPr>
        <w:ind w:left="-1134" w:right="-1283"/>
        <w:jc w:val="both"/>
        <w:rPr>
          <w:rFonts w:ascii="Arial" w:hAnsi="Arial" w:cs="Arial"/>
          <w:sz w:val="20"/>
          <w:szCs w:val="20"/>
        </w:rPr>
      </w:pPr>
    </w:p>
    <w:p w14:paraId="17E31E59" w14:textId="77777777" w:rsidR="007D19CA" w:rsidRDefault="007D19CA" w:rsidP="00BC6A1B">
      <w:pPr>
        <w:ind w:left="-1134" w:right="-1283"/>
        <w:jc w:val="both"/>
        <w:rPr>
          <w:rFonts w:ascii="Arial" w:hAnsi="Arial" w:cs="Arial"/>
          <w:sz w:val="20"/>
          <w:szCs w:val="20"/>
        </w:rPr>
      </w:pPr>
    </w:p>
    <w:p w14:paraId="20DA3099" w14:textId="77777777" w:rsidR="007D19CA" w:rsidRDefault="007D19CA" w:rsidP="00BC6A1B">
      <w:pPr>
        <w:ind w:left="-1134" w:right="-1283"/>
        <w:jc w:val="both"/>
        <w:rPr>
          <w:rFonts w:ascii="Arial" w:hAnsi="Arial" w:cs="Arial"/>
          <w:sz w:val="20"/>
          <w:szCs w:val="20"/>
        </w:rPr>
      </w:pPr>
    </w:p>
    <w:p w14:paraId="2846925A" w14:textId="33D23DDD" w:rsidR="00ED6B22" w:rsidRDefault="00ED6B22" w:rsidP="00ED6B22">
      <w:pPr>
        <w:pStyle w:val="Heading1"/>
        <w:jc w:val="center"/>
        <w:rPr>
          <w:color w:val="auto"/>
          <w:sz w:val="36"/>
          <w:szCs w:val="36"/>
        </w:rPr>
      </w:pPr>
      <w:r w:rsidRPr="00ED6B22">
        <w:rPr>
          <w:color w:val="auto"/>
          <w:sz w:val="36"/>
          <w:szCs w:val="36"/>
        </w:rPr>
        <w:lastRenderedPageBreak/>
        <w:t>Johnson and Johnson Inc</w:t>
      </w:r>
      <w:r>
        <w:rPr>
          <w:color w:val="auto"/>
          <w:sz w:val="36"/>
          <w:szCs w:val="36"/>
        </w:rPr>
        <w:t>.</w:t>
      </w:r>
    </w:p>
    <w:p w14:paraId="382B34BD" w14:textId="77777777" w:rsidR="00ED6B22" w:rsidRPr="00ED6B22" w:rsidRDefault="00ED6B22" w:rsidP="00ED6B22"/>
    <w:p w14:paraId="0D19AEC6" w14:textId="43EAF85B" w:rsidR="007D19CA" w:rsidRPr="00ED6B22" w:rsidRDefault="007D19CA" w:rsidP="00ED6B22">
      <w:pPr>
        <w:ind w:left="-1134" w:right="-1283"/>
        <w:jc w:val="both"/>
        <w:rPr>
          <w:rFonts w:ascii="Arial" w:hAnsi="Arial" w:cs="Arial"/>
          <w:b/>
          <w:bCs/>
          <w:sz w:val="20"/>
          <w:szCs w:val="20"/>
        </w:rPr>
      </w:pPr>
      <w:r w:rsidRPr="00ED6B22">
        <w:rPr>
          <w:rFonts w:ascii="Arial" w:hAnsi="Arial" w:cs="Arial"/>
          <w:b/>
          <w:bCs/>
          <w:sz w:val="20"/>
          <w:szCs w:val="20"/>
        </w:rPr>
        <w:t>Revenue Drivers</w:t>
      </w:r>
      <w:r w:rsidR="00ED6B22" w:rsidRPr="00ED6B22">
        <w:rPr>
          <w:rFonts w:ascii="Arial" w:hAnsi="Arial" w:cs="Arial"/>
          <w:b/>
          <w:bCs/>
          <w:sz w:val="20"/>
          <w:szCs w:val="20"/>
        </w:rPr>
        <w:t>:</w:t>
      </w:r>
    </w:p>
    <w:p w14:paraId="2D52999A" w14:textId="6F0CE7B7" w:rsidR="007D19CA" w:rsidRPr="007D19CA" w:rsidRDefault="005E0494" w:rsidP="005E0494">
      <w:pPr>
        <w:ind w:left="-1134" w:right="-1283"/>
        <w:jc w:val="center"/>
        <w:rPr>
          <w:rFonts w:ascii="Arial" w:hAnsi="Arial" w:cs="Arial"/>
          <w:sz w:val="20"/>
          <w:szCs w:val="20"/>
        </w:rPr>
      </w:pPr>
      <w:r>
        <w:rPr>
          <w:noProof/>
        </w:rPr>
        <w:drawing>
          <wp:inline distT="0" distB="0" distL="0" distR="0" wp14:anchorId="5D223E95" wp14:editId="41D69798">
            <wp:extent cx="4572000" cy="2743200"/>
            <wp:effectExtent l="0" t="0" r="0" b="0"/>
            <wp:docPr id="784450758" name="Chart 1">
              <a:extLst xmlns:a="http://schemas.openxmlformats.org/drawingml/2006/main">
                <a:ext uri="{FF2B5EF4-FFF2-40B4-BE49-F238E27FC236}">
                  <a16:creationId xmlns:a16="http://schemas.microsoft.com/office/drawing/2014/main" id="{05434E0B-D653-B01C-3580-2B783766CE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DB8136" w14:textId="37F83CB7" w:rsidR="007D19CA" w:rsidRDefault="007D19CA" w:rsidP="007D19CA">
      <w:pPr>
        <w:ind w:left="-1134" w:right="-1283"/>
        <w:jc w:val="both"/>
        <w:rPr>
          <w:rFonts w:ascii="Arial" w:hAnsi="Arial" w:cs="Arial"/>
          <w:sz w:val="20"/>
          <w:szCs w:val="20"/>
        </w:rPr>
      </w:pPr>
      <w:r w:rsidRPr="007D19CA">
        <w:rPr>
          <w:rFonts w:ascii="Arial" w:hAnsi="Arial" w:cs="Arial"/>
          <w:sz w:val="20"/>
          <w:szCs w:val="20"/>
        </w:rPr>
        <w:t xml:space="preserve"> </w:t>
      </w:r>
      <w:r w:rsidR="005E0494">
        <w:rPr>
          <w:rFonts w:ascii="Arial" w:hAnsi="Arial" w:cs="Arial"/>
          <w:sz w:val="20"/>
          <w:szCs w:val="20"/>
        </w:rPr>
        <w:t>The above figure shows that main revenue driver for Johnson &amp; Johnson. Th</w:t>
      </w:r>
      <w:r w:rsidR="00396A07">
        <w:rPr>
          <w:rFonts w:ascii="Arial" w:hAnsi="Arial" w:cs="Arial"/>
          <w:sz w:val="20"/>
          <w:szCs w:val="20"/>
        </w:rPr>
        <w:t>e</w:t>
      </w:r>
      <w:r w:rsidR="005E0494">
        <w:rPr>
          <w:rFonts w:ascii="Arial" w:hAnsi="Arial" w:cs="Arial"/>
          <w:sz w:val="20"/>
          <w:szCs w:val="20"/>
        </w:rPr>
        <w:t xml:space="preserve"> two main drivers </w:t>
      </w:r>
      <w:r w:rsidR="00396A07">
        <w:rPr>
          <w:rFonts w:ascii="Arial" w:hAnsi="Arial" w:cs="Arial"/>
          <w:sz w:val="20"/>
          <w:szCs w:val="20"/>
        </w:rPr>
        <w:t xml:space="preserve">have segment that are spread across the globe which can be found in the Quarter 3 report of the company under consolidated statement of income note 9. The few notable revenue driver can be: </w:t>
      </w:r>
    </w:p>
    <w:tbl>
      <w:tblPr>
        <w:tblStyle w:val="TableGrid"/>
        <w:tblW w:w="10314" w:type="dxa"/>
        <w:tblInd w:w="-834" w:type="dxa"/>
        <w:tblLook w:val="04A0" w:firstRow="1" w:lastRow="0" w:firstColumn="1" w:lastColumn="0" w:noHBand="0" w:noVBand="1"/>
      </w:tblPr>
      <w:tblGrid>
        <w:gridCol w:w="4428"/>
        <w:gridCol w:w="5886"/>
      </w:tblGrid>
      <w:tr w:rsidR="00396A07" w:rsidRPr="00BC6A1B" w14:paraId="1B61705E" w14:textId="77777777" w:rsidTr="00BF154D">
        <w:tc>
          <w:tcPr>
            <w:tcW w:w="4428" w:type="dxa"/>
          </w:tcPr>
          <w:p w14:paraId="21E36008" w14:textId="77777777" w:rsidR="00396A07" w:rsidRPr="00BC6A1B" w:rsidRDefault="00396A07" w:rsidP="00BF154D">
            <w:pPr>
              <w:ind w:left="426"/>
              <w:jc w:val="center"/>
              <w:rPr>
                <w:rFonts w:ascii="Arial" w:hAnsi="Arial" w:cs="Arial"/>
                <w:b/>
                <w:bCs/>
                <w:sz w:val="20"/>
                <w:szCs w:val="20"/>
              </w:rPr>
            </w:pPr>
            <w:bookmarkStart w:id="0" w:name="_Hlk182262325"/>
            <w:r w:rsidRPr="00BC6A1B">
              <w:rPr>
                <w:rFonts w:ascii="Arial" w:hAnsi="Arial" w:cs="Arial"/>
                <w:b/>
                <w:bCs/>
                <w:sz w:val="20"/>
                <w:szCs w:val="20"/>
              </w:rPr>
              <w:t>Revenue Drivers</w:t>
            </w:r>
          </w:p>
        </w:tc>
        <w:tc>
          <w:tcPr>
            <w:tcW w:w="5886" w:type="dxa"/>
          </w:tcPr>
          <w:p w14:paraId="2AE7D84B" w14:textId="77777777" w:rsidR="00396A07" w:rsidRPr="00BC6A1B" w:rsidRDefault="00396A07" w:rsidP="00BF154D">
            <w:pPr>
              <w:ind w:left="426"/>
              <w:jc w:val="center"/>
              <w:rPr>
                <w:rFonts w:ascii="Arial" w:hAnsi="Arial" w:cs="Arial"/>
                <w:b/>
                <w:bCs/>
                <w:sz w:val="20"/>
                <w:szCs w:val="20"/>
              </w:rPr>
            </w:pPr>
            <w:r w:rsidRPr="00BC6A1B">
              <w:rPr>
                <w:rFonts w:ascii="Arial" w:hAnsi="Arial" w:cs="Arial"/>
                <w:b/>
                <w:bCs/>
                <w:sz w:val="20"/>
                <w:szCs w:val="20"/>
              </w:rPr>
              <w:t>Description</w:t>
            </w:r>
          </w:p>
        </w:tc>
      </w:tr>
      <w:tr w:rsidR="00396A07" w:rsidRPr="00BC6A1B" w14:paraId="45C7C3E5" w14:textId="77777777" w:rsidTr="00BF154D">
        <w:tc>
          <w:tcPr>
            <w:tcW w:w="4428" w:type="dxa"/>
          </w:tcPr>
          <w:p w14:paraId="042085B1" w14:textId="77777777" w:rsidR="00396A07" w:rsidRPr="00BC6A1B" w:rsidRDefault="00396A07" w:rsidP="00BF154D">
            <w:pPr>
              <w:rPr>
                <w:rFonts w:ascii="Arial" w:hAnsi="Arial" w:cs="Arial"/>
                <w:sz w:val="20"/>
                <w:szCs w:val="20"/>
              </w:rPr>
            </w:pPr>
            <w:r w:rsidRPr="007D19CA">
              <w:rPr>
                <w:rFonts w:ascii="Arial" w:hAnsi="Arial" w:cs="Arial"/>
                <w:sz w:val="20"/>
                <w:szCs w:val="20"/>
              </w:rPr>
              <w:t>Pharmaceutical Sales</w:t>
            </w:r>
          </w:p>
        </w:tc>
        <w:tc>
          <w:tcPr>
            <w:tcW w:w="5886" w:type="dxa"/>
          </w:tcPr>
          <w:p w14:paraId="6EB58BF9" w14:textId="77777777" w:rsidR="00396A07" w:rsidRPr="00BC6A1B" w:rsidRDefault="00396A07" w:rsidP="00BF154D">
            <w:pPr>
              <w:rPr>
                <w:rFonts w:ascii="Arial" w:hAnsi="Arial" w:cs="Arial"/>
                <w:sz w:val="20"/>
                <w:szCs w:val="20"/>
              </w:rPr>
            </w:pPr>
            <w:r w:rsidRPr="007D19CA">
              <w:rPr>
                <w:rFonts w:ascii="Arial" w:hAnsi="Arial" w:cs="Arial"/>
                <w:sz w:val="20"/>
                <w:szCs w:val="20"/>
              </w:rPr>
              <w:t>Revenue from prescription medications.</w:t>
            </w:r>
          </w:p>
        </w:tc>
      </w:tr>
      <w:tr w:rsidR="00396A07" w:rsidRPr="00BC6A1B" w14:paraId="385AF5D9" w14:textId="77777777" w:rsidTr="00BF154D">
        <w:tc>
          <w:tcPr>
            <w:tcW w:w="4428" w:type="dxa"/>
          </w:tcPr>
          <w:p w14:paraId="1BB30C86" w14:textId="77777777" w:rsidR="00396A07" w:rsidRPr="00BC6A1B" w:rsidRDefault="00396A07" w:rsidP="00BF154D">
            <w:pPr>
              <w:rPr>
                <w:rFonts w:ascii="Arial" w:hAnsi="Arial" w:cs="Arial"/>
                <w:sz w:val="20"/>
                <w:szCs w:val="20"/>
              </w:rPr>
            </w:pPr>
            <w:r w:rsidRPr="007D19CA">
              <w:rPr>
                <w:rFonts w:ascii="Arial" w:hAnsi="Arial" w:cs="Arial"/>
                <w:sz w:val="20"/>
                <w:szCs w:val="20"/>
              </w:rPr>
              <w:t>Medical Devices</w:t>
            </w:r>
          </w:p>
        </w:tc>
        <w:tc>
          <w:tcPr>
            <w:tcW w:w="5886" w:type="dxa"/>
          </w:tcPr>
          <w:p w14:paraId="3EF42C79" w14:textId="77777777" w:rsidR="00396A07" w:rsidRPr="00BC6A1B" w:rsidRDefault="00396A07" w:rsidP="00BF154D">
            <w:pPr>
              <w:rPr>
                <w:rFonts w:ascii="Arial" w:hAnsi="Arial" w:cs="Arial"/>
                <w:sz w:val="20"/>
                <w:szCs w:val="20"/>
              </w:rPr>
            </w:pPr>
            <w:r w:rsidRPr="007D19CA">
              <w:rPr>
                <w:rFonts w:ascii="Arial" w:hAnsi="Arial" w:cs="Arial"/>
                <w:sz w:val="20"/>
                <w:szCs w:val="20"/>
              </w:rPr>
              <w:t>Income from medical equipment and diagnostic devices.</w:t>
            </w:r>
          </w:p>
        </w:tc>
      </w:tr>
      <w:tr w:rsidR="00396A07" w:rsidRPr="00BC6A1B" w14:paraId="78EF4D4F" w14:textId="77777777" w:rsidTr="00BF154D">
        <w:tc>
          <w:tcPr>
            <w:tcW w:w="4428" w:type="dxa"/>
          </w:tcPr>
          <w:p w14:paraId="14966226" w14:textId="77777777" w:rsidR="00396A07" w:rsidRPr="00BC6A1B" w:rsidRDefault="00396A07" w:rsidP="00BF154D">
            <w:pPr>
              <w:rPr>
                <w:rFonts w:ascii="Arial" w:hAnsi="Arial" w:cs="Arial"/>
                <w:sz w:val="20"/>
                <w:szCs w:val="20"/>
              </w:rPr>
            </w:pPr>
            <w:r w:rsidRPr="007D19CA">
              <w:rPr>
                <w:rFonts w:ascii="Arial" w:hAnsi="Arial" w:cs="Arial"/>
                <w:sz w:val="20"/>
                <w:szCs w:val="20"/>
              </w:rPr>
              <w:t>Consumer Health Products:</w:t>
            </w:r>
          </w:p>
        </w:tc>
        <w:tc>
          <w:tcPr>
            <w:tcW w:w="5886" w:type="dxa"/>
          </w:tcPr>
          <w:p w14:paraId="683FF6E3" w14:textId="77777777" w:rsidR="00396A07" w:rsidRPr="00BC6A1B" w:rsidRDefault="00396A07" w:rsidP="00BF154D">
            <w:pPr>
              <w:rPr>
                <w:rFonts w:ascii="Arial" w:hAnsi="Arial" w:cs="Arial"/>
                <w:sz w:val="20"/>
                <w:szCs w:val="20"/>
              </w:rPr>
            </w:pPr>
            <w:r w:rsidRPr="007D19CA">
              <w:rPr>
                <w:rFonts w:ascii="Arial" w:hAnsi="Arial" w:cs="Arial"/>
                <w:sz w:val="20"/>
                <w:szCs w:val="20"/>
              </w:rPr>
              <w:t>Sales of over-the-counter medications and consumer health products.</w:t>
            </w:r>
          </w:p>
        </w:tc>
      </w:tr>
      <w:tr w:rsidR="00396A07" w:rsidRPr="00BC6A1B" w14:paraId="62EE5705" w14:textId="77777777" w:rsidTr="00BF154D">
        <w:tc>
          <w:tcPr>
            <w:tcW w:w="4428" w:type="dxa"/>
          </w:tcPr>
          <w:p w14:paraId="0F75D0A7" w14:textId="77777777" w:rsidR="00396A07" w:rsidRPr="00BC6A1B" w:rsidRDefault="00396A07" w:rsidP="00BF154D">
            <w:pPr>
              <w:rPr>
                <w:rFonts w:ascii="Arial" w:hAnsi="Arial" w:cs="Arial"/>
                <w:sz w:val="20"/>
                <w:szCs w:val="20"/>
              </w:rPr>
            </w:pPr>
            <w:r>
              <w:rPr>
                <w:rFonts w:ascii="Arial" w:hAnsi="Arial" w:cs="Arial"/>
                <w:sz w:val="20"/>
                <w:szCs w:val="20"/>
              </w:rPr>
              <w:t>Research and Development</w:t>
            </w:r>
          </w:p>
        </w:tc>
        <w:tc>
          <w:tcPr>
            <w:tcW w:w="5886" w:type="dxa"/>
          </w:tcPr>
          <w:p w14:paraId="35D2615F" w14:textId="77777777" w:rsidR="00396A07" w:rsidRPr="00BC6A1B" w:rsidRDefault="00396A07" w:rsidP="00BF154D">
            <w:pPr>
              <w:rPr>
                <w:rFonts w:ascii="Arial" w:hAnsi="Arial" w:cs="Arial"/>
                <w:sz w:val="20"/>
                <w:szCs w:val="20"/>
              </w:rPr>
            </w:pPr>
            <w:r>
              <w:rPr>
                <w:rFonts w:ascii="Arial" w:hAnsi="Arial" w:cs="Arial"/>
                <w:sz w:val="20"/>
                <w:szCs w:val="20"/>
              </w:rPr>
              <w:t>Investment leading to new product launches and IP revenue</w:t>
            </w:r>
          </w:p>
        </w:tc>
      </w:tr>
      <w:tr w:rsidR="00396A07" w:rsidRPr="00BC6A1B" w14:paraId="02BC8673" w14:textId="77777777" w:rsidTr="00BF154D">
        <w:tc>
          <w:tcPr>
            <w:tcW w:w="4428" w:type="dxa"/>
          </w:tcPr>
          <w:p w14:paraId="6C8D4F07" w14:textId="77777777" w:rsidR="00396A07" w:rsidRPr="00BC6A1B" w:rsidRDefault="00396A07" w:rsidP="00BF154D">
            <w:pPr>
              <w:rPr>
                <w:rFonts w:ascii="Arial" w:hAnsi="Arial" w:cs="Arial"/>
                <w:sz w:val="20"/>
                <w:szCs w:val="20"/>
              </w:rPr>
            </w:pPr>
            <w:r>
              <w:rPr>
                <w:rFonts w:ascii="Arial" w:hAnsi="Arial" w:cs="Arial"/>
                <w:sz w:val="20"/>
                <w:szCs w:val="20"/>
              </w:rPr>
              <w:t xml:space="preserve">Geographical Diversification </w:t>
            </w:r>
          </w:p>
        </w:tc>
        <w:tc>
          <w:tcPr>
            <w:tcW w:w="5886" w:type="dxa"/>
          </w:tcPr>
          <w:p w14:paraId="041DB52F" w14:textId="39B9889D" w:rsidR="00396A07" w:rsidRPr="00BC6A1B" w:rsidRDefault="00ED6B22" w:rsidP="00BF154D">
            <w:pPr>
              <w:rPr>
                <w:rFonts w:ascii="Arial" w:hAnsi="Arial" w:cs="Arial"/>
                <w:sz w:val="20"/>
                <w:szCs w:val="20"/>
              </w:rPr>
            </w:pPr>
            <w:r>
              <w:rPr>
                <w:rFonts w:ascii="Arial" w:hAnsi="Arial" w:cs="Arial"/>
                <w:sz w:val="20"/>
                <w:szCs w:val="20"/>
              </w:rPr>
              <w:t>Revenue</w:t>
            </w:r>
            <w:r w:rsidR="00396A07">
              <w:rPr>
                <w:rFonts w:ascii="Arial" w:hAnsi="Arial" w:cs="Arial"/>
                <w:sz w:val="20"/>
                <w:szCs w:val="20"/>
              </w:rPr>
              <w:t xml:space="preserve"> from markets outside the USA </w:t>
            </w:r>
          </w:p>
        </w:tc>
      </w:tr>
      <w:tr w:rsidR="00396A07" w:rsidRPr="00BC6A1B" w14:paraId="1425CB04" w14:textId="77777777" w:rsidTr="00BF154D">
        <w:tc>
          <w:tcPr>
            <w:tcW w:w="4428" w:type="dxa"/>
          </w:tcPr>
          <w:p w14:paraId="157E8A00" w14:textId="77777777" w:rsidR="00396A07" w:rsidRPr="00BC6A1B" w:rsidRDefault="00396A07" w:rsidP="00BF154D">
            <w:pPr>
              <w:ind w:left="426"/>
              <w:rPr>
                <w:rFonts w:ascii="Arial" w:hAnsi="Arial" w:cs="Arial"/>
                <w:sz w:val="20"/>
                <w:szCs w:val="20"/>
              </w:rPr>
            </w:pPr>
          </w:p>
        </w:tc>
        <w:tc>
          <w:tcPr>
            <w:tcW w:w="5886" w:type="dxa"/>
          </w:tcPr>
          <w:p w14:paraId="3280D986" w14:textId="77777777" w:rsidR="00396A07" w:rsidRPr="00BC6A1B" w:rsidRDefault="00396A07" w:rsidP="00BF154D">
            <w:pPr>
              <w:ind w:left="426"/>
              <w:rPr>
                <w:rFonts w:ascii="Arial" w:hAnsi="Arial" w:cs="Arial"/>
                <w:sz w:val="20"/>
                <w:szCs w:val="20"/>
              </w:rPr>
            </w:pPr>
          </w:p>
        </w:tc>
      </w:tr>
      <w:bookmarkEnd w:id="0"/>
    </w:tbl>
    <w:p w14:paraId="6BADF857" w14:textId="77777777" w:rsidR="00396A07" w:rsidRPr="007D19CA" w:rsidRDefault="00396A07" w:rsidP="007D19CA">
      <w:pPr>
        <w:ind w:left="-1134" w:right="-1283"/>
        <w:jc w:val="both"/>
        <w:rPr>
          <w:rFonts w:ascii="Arial" w:hAnsi="Arial" w:cs="Arial"/>
          <w:sz w:val="20"/>
          <w:szCs w:val="20"/>
        </w:rPr>
      </w:pPr>
    </w:p>
    <w:p w14:paraId="03F8CD69" w14:textId="77777777" w:rsidR="007D19CA" w:rsidRPr="007D19CA" w:rsidRDefault="007D19CA" w:rsidP="007D19CA">
      <w:pPr>
        <w:ind w:left="-1134" w:right="-1283"/>
        <w:jc w:val="both"/>
        <w:rPr>
          <w:rFonts w:ascii="Arial" w:hAnsi="Arial" w:cs="Arial"/>
          <w:sz w:val="20"/>
          <w:szCs w:val="20"/>
        </w:rPr>
      </w:pPr>
      <w:r w:rsidRPr="007D19CA">
        <w:rPr>
          <w:rFonts w:ascii="Arial" w:hAnsi="Arial" w:cs="Arial"/>
          <w:sz w:val="20"/>
          <w:szCs w:val="20"/>
        </w:rPr>
        <w:t xml:space="preserve">In Q1-Q3 2024, Johnson &amp; Johnson's Pharmaceutical segment, driven by innovative drugs like DARZALEX and STELARA, accounted for the largest share of revenue, followed by the MedTech segment, which saw growth in </w:t>
      </w:r>
      <w:proofErr w:type="spellStart"/>
      <w:r w:rsidRPr="007D19CA">
        <w:rPr>
          <w:rFonts w:ascii="Arial" w:hAnsi="Arial" w:cs="Arial"/>
          <w:sz w:val="20"/>
          <w:szCs w:val="20"/>
        </w:rPr>
        <w:t>Orthopaedics</w:t>
      </w:r>
      <w:proofErr w:type="spellEnd"/>
      <w:r w:rsidRPr="007D19CA">
        <w:rPr>
          <w:rFonts w:ascii="Arial" w:hAnsi="Arial" w:cs="Arial"/>
          <w:sz w:val="20"/>
          <w:szCs w:val="20"/>
        </w:rPr>
        <w:t xml:space="preserve"> and Surgery. Geographical diversification, including increased penetration in emerging markets, also supported revenue growth.</w:t>
      </w:r>
    </w:p>
    <w:p w14:paraId="7AECF1FC" w14:textId="77777777" w:rsidR="007D19CA" w:rsidRPr="00ED6B22" w:rsidRDefault="007D19CA" w:rsidP="007D19CA">
      <w:pPr>
        <w:ind w:left="-1134" w:right="-1283"/>
        <w:jc w:val="both"/>
        <w:rPr>
          <w:rFonts w:ascii="Arial" w:hAnsi="Arial" w:cs="Arial"/>
          <w:b/>
          <w:bCs/>
          <w:sz w:val="20"/>
          <w:szCs w:val="20"/>
        </w:rPr>
      </w:pPr>
      <w:r w:rsidRPr="00ED6B22">
        <w:rPr>
          <w:rFonts w:ascii="Arial" w:hAnsi="Arial" w:cs="Arial"/>
          <w:b/>
          <w:bCs/>
          <w:sz w:val="20"/>
          <w:szCs w:val="20"/>
        </w:rPr>
        <w:t>Cost Drivers:</w:t>
      </w:r>
    </w:p>
    <w:tbl>
      <w:tblPr>
        <w:tblStyle w:val="TableGrid"/>
        <w:tblW w:w="10314" w:type="dxa"/>
        <w:jc w:val="center"/>
        <w:tblLook w:val="04A0" w:firstRow="1" w:lastRow="0" w:firstColumn="1" w:lastColumn="0" w:noHBand="0" w:noVBand="1"/>
      </w:tblPr>
      <w:tblGrid>
        <w:gridCol w:w="4428"/>
        <w:gridCol w:w="5886"/>
      </w:tblGrid>
      <w:tr w:rsidR="00ED6B22" w14:paraId="3ED6323A" w14:textId="77777777" w:rsidTr="00ED6B22">
        <w:trPr>
          <w:jc w:val="center"/>
        </w:trPr>
        <w:tc>
          <w:tcPr>
            <w:tcW w:w="4428" w:type="dxa"/>
          </w:tcPr>
          <w:p w14:paraId="034CD935" w14:textId="7F47B478" w:rsidR="00ED6B22" w:rsidRPr="00ED6B22" w:rsidRDefault="00ED6B22" w:rsidP="00ED6B22">
            <w:pPr>
              <w:ind w:right="-1283"/>
              <w:jc w:val="center"/>
              <w:rPr>
                <w:rFonts w:ascii="Arial" w:hAnsi="Arial" w:cs="Arial"/>
                <w:b/>
                <w:bCs/>
                <w:sz w:val="20"/>
                <w:szCs w:val="20"/>
              </w:rPr>
            </w:pPr>
            <w:r w:rsidRPr="00ED6B22">
              <w:rPr>
                <w:rFonts w:ascii="Arial" w:hAnsi="Arial" w:cs="Arial"/>
                <w:b/>
                <w:bCs/>
                <w:sz w:val="20"/>
                <w:szCs w:val="20"/>
              </w:rPr>
              <w:t>Cost Drivers</w:t>
            </w:r>
          </w:p>
        </w:tc>
        <w:tc>
          <w:tcPr>
            <w:tcW w:w="5886" w:type="dxa"/>
          </w:tcPr>
          <w:p w14:paraId="36358904" w14:textId="3E182BC8" w:rsidR="00ED6B22" w:rsidRPr="00ED6B22" w:rsidRDefault="00ED6B22" w:rsidP="00ED6B22">
            <w:pPr>
              <w:ind w:right="-1283"/>
              <w:jc w:val="center"/>
              <w:rPr>
                <w:rFonts w:ascii="Arial" w:hAnsi="Arial" w:cs="Arial"/>
                <w:b/>
                <w:bCs/>
                <w:sz w:val="20"/>
                <w:szCs w:val="20"/>
              </w:rPr>
            </w:pPr>
            <w:r w:rsidRPr="00ED6B22">
              <w:rPr>
                <w:rFonts w:ascii="Arial" w:hAnsi="Arial" w:cs="Arial"/>
                <w:b/>
                <w:bCs/>
                <w:sz w:val="20"/>
                <w:szCs w:val="20"/>
              </w:rPr>
              <w:t>Description</w:t>
            </w:r>
          </w:p>
        </w:tc>
      </w:tr>
      <w:tr w:rsidR="00ED6B22" w14:paraId="09738914" w14:textId="77777777" w:rsidTr="00ED6B22">
        <w:trPr>
          <w:jc w:val="center"/>
        </w:trPr>
        <w:tc>
          <w:tcPr>
            <w:tcW w:w="4428" w:type="dxa"/>
          </w:tcPr>
          <w:p w14:paraId="3A51A866" w14:textId="4B44024A" w:rsidR="00ED6B22" w:rsidRDefault="00ED6B22" w:rsidP="007D19CA">
            <w:pPr>
              <w:ind w:right="-1283"/>
              <w:jc w:val="both"/>
              <w:rPr>
                <w:rFonts w:ascii="Arial" w:hAnsi="Arial" w:cs="Arial"/>
                <w:sz w:val="20"/>
                <w:szCs w:val="20"/>
              </w:rPr>
            </w:pPr>
            <w:r>
              <w:rPr>
                <w:rFonts w:ascii="Arial" w:hAnsi="Arial" w:cs="Arial"/>
                <w:sz w:val="20"/>
                <w:szCs w:val="20"/>
              </w:rPr>
              <w:t>R&amp;D Expenses</w:t>
            </w:r>
          </w:p>
        </w:tc>
        <w:tc>
          <w:tcPr>
            <w:tcW w:w="5886" w:type="dxa"/>
          </w:tcPr>
          <w:p w14:paraId="69B615E9" w14:textId="1E385C8C" w:rsidR="00ED6B22" w:rsidRDefault="00ED6B22" w:rsidP="007D19CA">
            <w:pPr>
              <w:ind w:right="-1283"/>
              <w:jc w:val="both"/>
              <w:rPr>
                <w:rFonts w:ascii="Arial" w:hAnsi="Arial" w:cs="Arial"/>
                <w:sz w:val="20"/>
                <w:szCs w:val="20"/>
              </w:rPr>
            </w:pPr>
            <w:r>
              <w:rPr>
                <w:rFonts w:ascii="Arial" w:hAnsi="Arial" w:cs="Arial"/>
                <w:sz w:val="20"/>
                <w:szCs w:val="20"/>
              </w:rPr>
              <w:t xml:space="preserve">A substantial investment in product development </w:t>
            </w:r>
          </w:p>
        </w:tc>
      </w:tr>
      <w:tr w:rsidR="00ED6B22" w14:paraId="4083E756" w14:textId="77777777" w:rsidTr="00ED6B22">
        <w:trPr>
          <w:jc w:val="center"/>
        </w:trPr>
        <w:tc>
          <w:tcPr>
            <w:tcW w:w="4428" w:type="dxa"/>
          </w:tcPr>
          <w:p w14:paraId="305E7A4A" w14:textId="4DE25C87" w:rsidR="00ED6B22" w:rsidRDefault="00ED6B22" w:rsidP="007D19CA">
            <w:pPr>
              <w:ind w:right="-1283"/>
              <w:jc w:val="both"/>
              <w:rPr>
                <w:rFonts w:ascii="Arial" w:hAnsi="Arial" w:cs="Arial"/>
                <w:sz w:val="20"/>
                <w:szCs w:val="20"/>
              </w:rPr>
            </w:pPr>
            <w:r>
              <w:rPr>
                <w:rFonts w:ascii="Arial" w:hAnsi="Arial" w:cs="Arial"/>
                <w:sz w:val="20"/>
                <w:szCs w:val="20"/>
              </w:rPr>
              <w:t>Manufacturing Overheads</w:t>
            </w:r>
          </w:p>
        </w:tc>
        <w:tc>
          <w:tcPr>
            <w:tcW w:w="5886" w:type="dxa"/>
          </w:tcPr>
          <w:p w14:paraId="3386414D" w14:textId="38A2A38C" w:rsidR="00ED6B22" w:rsidRDefault="00ED6B22" w:rsidP="007D19CA">
            <w:pPr>
              <w:ind w:right="-1283"/>
              <w:jc w:val="both"/>
              <w:rPr>
                <w:rFonts w:ascii="Arial" w:hAnsi="Arial" w:cs="Arial"/>
                <w:sz w:val="20"/>
                <w:szCs w:val="20"/>
              </w:rPr>
            </w:pPr>
            <w:r>
              <w:rPr>
                <w:rFonts w:ascii="Arial" w:hAnsi="Arial" w:cs="Arial"/>
                <w:sz w:val="20"/>
                <w:szCs w:val="20"/>
              </w:rPr>
              <w:t>Costs related to production facilities and labor</w:t>
            </w:r>
          </w:p>
        </w:tc>
      </w:tr>
      <w:tr w:rsidR="00ED6B22" w14:paraId="43793AB9" w14:textId="77777777" w:rsidTr="00ED6B22">
        <w:trPr>
          <w:jc w:val="center"/>
        </w:trPr>
        <w:tc>
          <w:tcPr>
            <w:tcW w:w="4428" w:type="dxa"/>
          </w:tcPr>
          <w:p w14:paraId="1F4EA935" w14:textId="4C943C97" w:rsidR="00ED6B22" w:rsidRDefault="00ED6B22" w:rsidP="007D19CA">
            <w:pPr>
              <w:ind w:right="-1283"/>
              <w:jc w:val="both"/>
              <w:rPr>
                <w:rFonts w:ascii="Arial" w:hAnsi="Arial" w:cs="Arial"/>
                <w:sz w:val="20"/>
                <w:szCs w:val="20"/>
              </w:rPr>
            </w:pPr>
            <w:r>
              <w:rPr>
                <w:rFonts w:ascii="Arial" w:hAnsi="Arial" w:cs="Arial"/>
                <w:sz w:val="20"/>
                <w:szCs w:val="20"/>
              </w:rPr>
              <w:t>Administrative Expenses</w:t>
            </w:r>
          </w:p>
        </w:tc>
        <w:tc>
          <w:tcPr>
            <w:tcW w:w="5886" w:type="dxa"/>
          </w:tcPr>
          <w:p w14:paraId="27BE1D5D" w14:textId="1034696C" w:rsidR="00ED6B22" w:rsidRDefault="00ED6B22" w:rsidP="007D19CA">
            <w:pPr>
              <w:ind w:right="-1283"/>
              <w:jc w:val="both"/>
              <w:rPr>
                <w:rFonts w:ascii="Arial" w:hAnsi="Arial" w:cs="Arial"/>
                <w:sz w:val="20"/>
                <w:szCs w:val="20"/>
              </w:rPr>
            </w:pPr>
            <w:r>
              <w:rPr>
                <w:rFonts w:ascii="Arial" w:hAnsi="Arial" w:cs="Arial"/>
                <w:sz w:val="20"/>
                <w:szCs w:val="20"/>
              </w:rPr>
              <w:t>General corporate overheads</w:t>
            </w:r>
          </w:p>
        </w:tc>
      </w:tr>
      <w:tr w:rsidR="00ED6B22" w14:paraId="6DE0E80A" w14:textId="77777777" w:rsidTr="00ED6B22">
        <w:trPr>
          <w:jc w:val="center"/>
        </w:trPr>
        <w:tc>
          <w:tcPr>
            <w:tcW w:w="4428" w:type="dxa"/>
          </w:tcPr>
          <w:p w14:paraId="1CCE9F0E" w14:textId="38FE2EDF" w:rsidR="00ED6B22" w:rsidRDefault="00ED6B22" w:rsidP="007D19CA">
            <w:pPr>
              <w:ind w:right="-1283"/>
              <w:jc w:val="both"/>
              <w:rPr>
                <w:rFonts w:ascii="Arial" w:hAnsi="Arial" w:cs="Arial"/>
                <w:sz w:val="20"/>
                <w:szCs w:val="20"/>
              </w:rPr>
            </w:pPr>
            <w:r>
              <w:rPr>
                <w:rFonts w:ascii="Arial" w:hAnsi="Arial" w:cs="Arial"/>
                <w:sz w:val="20"/>
                <w:szCs w:val="20"/>
              </w:rPr>
              <w:t>Raw Material</w:t>
            </w:r>
          </w:p>
        </w:tc>
        <w:tc>
          <w:tcPr>
            <w:tcW w:w="5886" w:type="dxa"/>
          </w:tcPr>
          <w:p w14:paraId="3DB89961" w14:textId="214C6102" w:rsidR="00ED6B22" w:rsidRDefault="00ED6B22" w:rsidP="007D19CA">
            <w:pPr>
              <w:ind w:right="-1283"/>
              <w:jc w:val="both"/>
              <w:rPr>
                <w:rFonts w:ascii="Arial" w:hAnsi="Arial" w:cs="Arial"/>
                <w:sz w:val="20"/>
                <w:szCs w:val="20"/>
              </w:rPr>
            </w:pPr>
            <w:r>
              <w:rPr>
                <w:rFonts w:ascii="Arial" w:hAnsi="Arial" w:cs="Arial"/>
                <w:sz w:val="20"/>
                <w:szCs w:val="20"/>
              </w:rPr>
              <w:t>Costs for keys ingredient and components for production</w:t>
            </w:r>
          </w:p>
        </w:tc>
      </w:tr>
      <w:tr w:rsidR="00ED6B22" w14:paraId="6412A899" w14:textId="77777777" w:rsidTr="00ED6B22">
        <w:trPr>
          <w:jc w:val="center"/>
        </w:trPr>
        <w:tc>
          <w:tcPr>
            <w:tcW w:w="4428" w:type="dxa"/>
          </w:tcPr>
          <w:p w14:paraId="6832C49C" w14:textId="7228E179" w:rsidR="00ED6B22" w:rsidRDefault="00ED6B22" w:rsidP="007D19CA">
            <w:pPr>
              <w:ind w:right="-1283"/>
              <w:jc w:val="both"/>
              <w:rPr>
                <w:rFonts w:ascii="Arial" w:hAnsi="Arial" w:cs="Arial"/>
                <w:sz w:val="20"/>
                <w:szCs w:val="20"/>
              </w:rPr>
            </w:pPr>
            <w:r>
              <w:rPr>
                <w:rFonts w:ascii="Arial" w:hAnsi="Arial" w:cs="Arial"/>
                <w:sz w:val="20"/>
                <w:szCs w:val="20"/>
              </w:rPr>
              <w:t xml:space="preserve">Sales and Marketing </w:t>
            </w:r>
          </w:p>
        </w:tc>
        <w:tc>
          <w:tcPr>
            <w:tcW w:w="5886" w:type="dxa"/>
          </w:tcPr>
          <w:p w14:paraId="7EAD93F9" w14:textId="2A4C4CC7" w:rsidR="00ED6B22" w:rsidRDefault="00ED6B22" w:rsidP="007D19CA">
            <w:pPr>
              <w:ind w:right="-1283"/>
              <w:jc w:val="both"/>
              <w:rPr>
                <w:rFonts w:ascii="Arial" w:hAnsi="Arial" w:cs="Arial"/>
                <w:sz w:val="20"/>
                <w:szCs w:val="20"/>
              </w:rPr>
            </w:pPr>
            <w:r>
              <w:rPr>
                <w:rFonts w:ascii="Arial" w:hAnsi="Arial" w:cs="Arial"/>
                <w:sz w:val="20"/>
                <w:szCs w:val="20"/>
              </w:rPr>
              <w:t xml:space="preserve">Promotional activities to drive consumer engagement </w:t>
            </w:r>
          </w:p>
        </w:tc>
      </w:tr>
      <w:tr w:rsidR="00ED6B22" w14:paraId="7BF3B4EC" w14:textId="77777777" w:rsidTr="00ED6B22">
        <w:trPr>
          <w:jc w:val="center"/>
        </w:trPr>
        <w:tc>
          <w:tcPr>
            <w:tcW w:w="4428" w:type="dxa"/>
          </w:tcPr>
          <w:p w14:paraId="3ADADA36" w14:textId="192D70A9" w:rsidR="00ED6B22" w:rsidRDefault="00ED6B22" w:rsidP="007D19CA">
            <w:pPr>
              <w:ind w:right="-1283"/>
              <w:jc w:val="both"/>
              <w:rPr>
                <w:rFonts w:ascii="Arial" w:hAnsi="Arial" w:cs="Arial"/>
                <w:sz w:val="20"/>
                <w:szCs w:val="20"/>
              </w:rPr>
            </w:pPr>
            <w:r>
              <w:rPr>
                <w:rFonts w:ascii="Arial" w:hAnsi="Arial" w:cs="Arial"/>
                <w:sz w:val="20"/>
                <w:szCs w:val="20"/>
              </w:rPr>
              <w:t>Distribution Costs</w:t>
            </w:r>
          </w:p>
        </w:tc>
        <w:tc>
          <w:tcPr>
            <w:tcW w:w="5886" w:type="dxa"/>
          </w:tcPr>
          <w:p w14:paraId="78F22148" w14:textId="461B0BBD" w:rsidR="00ED6B22" w:rsidRDefault="00ED6B22" w:rsidP="007D19CA">
            <w:pPr>
              <w:ind w:right="-1283"/>
              <w:jc w:val="both"/>
              <w:rPr>
                <w:rFonts w:ascii="Arial" w:hAnsi="Arial" w:cs="Arial"/>
                <w:sz w:val="20"/>
                <w:szCs w:val="20"/>
              </w:rPr>
            </w:pPr>
            <w:r>
              <w:rPr>
                <w:rFonts w:ascii="Arial" w:hAnsi="Arial" w:cs="Arial"/>
                <w:sz w:val="20"/>
                <w:szCs w:val="20"/>
              </w:rPr>
              <w:t>Expenses associated with logistics and supply chain operation</w:t>
            </w:r>
          </w:p>
        </w:tc>
      </w:tr>
    </w:tbl>
    <w:p w14:paraId="6A6D7035" w14:textId="77777777" w:rsidR="007D19CA" w:rsidRPr="007D19CA" w:rsidRDefault="007D19CA" w:rsidP="00ED6B22">
      <w:pPr>
        <w:ind w:right="-1283"/>
        <w:jc w:val="both"/>
        <w:rPr>
          <w:rFonts w:ascii="Arial" w:hAnsi="Arial" w:cs="Arial"/>
          <w:sz w:val="20"/>
          <w:szCs w:val="20"/>
        </w:rPr>
      </w:pPr>
    </w:p>
    <w:p w14:paraId="21CF27D8" w14:textId="77777777" w:rsidR="00396A07" w:rsidRDefault="007D19CA" w:rsidP="00396A07">
      <w:pPr>
        <w:ind w:left="-1134" w:right="-1283"/>
        <w:jc w:val="both"/>
        <w:rPr>
          <w:rFonts w:ascii="Arial" w:hAnsi="Arial" w:cs="Arial"/>
          <w:sz w:val="20"/>
          <w:szCs w:val="20"/>
        </w:rPr>
      </w:pPr>
      <w:r w:rsidRPr="007D19CA">
        <w:rPr>
          <w:rFonts w:ascii="Arial" w:hAnsi="Arial" w:cs="Arial"/>
          <w:sz w:val="20"/>
          <w:szCs w:val="20"/>
        </w:rPr>
        <w:lastRenderedPageBreak/>
        <w:t>Johnson &amp; Johnson’s cost structure includes high R&amp;D expenses, reflecting its focus on innovation. In Q1-Q3 2024, R&amp;D spending represented a significant percentage of total revenue, supporting its long-term growth strategy. Other variable costs, like raw materials and distribution, fluctuated with production volumes and sales.</w:t>
      </w:r>
    </w:p>
    <w:p w14:paraId="7784A989" w14:textId="131B8522" w:rsidR="007D19CA" w:rsidRPr="00ED6B22" w:rsidRDefault="007D19CA" w:rsidP="00396A07">
      <w:pPr>
        <w:ind w:left="-1134" w:right="-1283"/>
        <w:jc w:val="both"/>
        <w:rPr>
          <w:rFonts w:ascii="Arial" w:hAnsi="Arial" w:cs="Arial"/>
          <w:b/>
          <w:bCs/>
          <w:sz w:val="20"/>
          <w:szCs w:val="20"/>
        </w:rPr>
      </w:pPr>
      <w:r w:rsidRPr="00ED6B22">
        <w:rPr>
          <w:b/>
          <w:bCs/>
        </w:rPr>
        <w:t>Company Performance Overview:</w:t>
      </w:r>
    </w:p>
    <w:p w14:paraId="3768F644" w14:textId="77777777" w:rsidR="007D19CA" w:rsidRPr="007D19CA" w:rsidRDefault="007D19CA" w:rsidP="007D19CA">
      <w:pPr>
        <w:ind w:left="-1134" w:right="-1283"/>
        <w:jc w:val="both"/>
        <w:rPr>
          <w:rFonts w:ascii="Arial" w:hAnsi="Arial" w:cs="Arial"/>
          <w:sz w:val="20"/>
          <w:szCs w:val="20"/>
        </w:rPr>
      </w:pPr>
      <w:r w:rsidRPr="007D19CA">
        <w:rPr>
          <w:rFonts w:ascii="Arial" w:hAnsi="Arial" w:cs="Arial"/>
          <w:sz w:val="20"/>
          <w:szCs w:val="20"/>
        </w:rPr>
        <w:t>Johnson &amp; Johnson achieved robust revenue growth in 2023, with total revenue reaching approximately $85 billion, representing a 9% increase over the prior year. Adjusted net earnings were reported at $25.4 billion. J&amp;J’s emphasis on high-impact drugs and MedTech solutions, coupled with strategic acquisitions, bolstered its market position. The company’s operational efficiency, driven by effective cost management, enabled sustained profitability despite higher raw material and administrative expenses.</w:t>
      </w:r>
    </w:p>
    <w:p w14:paraId="50BC4E2B" w14:textId="77777777" w:rsidR="007D19CA" w:rsidRPr="00ED6B22" w:rsidRDefault="007D19CA" w:rsidP="007D19CA">
      <w:pPr>
        <w:ind w:left="-1134" w:right="-1283"/>
        <w:jc w:val="both"/>
        <w:rPr>
          <w:rFonts w:ascii="Arial" w:hAnsi="Arial" w:cs="Arial"/>
          <w:b/>
          <w:bCs/>
          <w:sz w:val="20"/>
          <w:szCs w:val="20"/>
        </w:rPr>
      </w:pPr>
      <w:r w:rsidRPr="00ED6B22">
        <w:rPr>
          <w:rFonts w:ascii="Arial" w:hAnsi="Arial" w:cs="Arial"/>
          <w:b/>
          <w:bCs/>
          <w:sz w:val="20"/>
          <w:szCs w:val="20"/>
        </w:rPr>
        <w:t>Peer Comparison:</w:t>
      </w:r>
    </w:p>
    <w:p w14:paraId="12C3C4BB" w14:textId="630F9BB0" w:rsidR="007D19CA" w:rsidRPr="00BC6A1B" w:rsidRDefault="007D19CA" w:rsidP="007D19CA">
      <w:pPr>
        <w:ind w:left="-1134" w:right="-1283"/>
        <w:jc w:val="both"/>
        <w:rPr>
          <w:rFonts w:ascii="Arial" w:hAnsi="Arial" w:cs="Arial"/>
          <w:sz w:val="20"/>
          <w:szCs w:val="20"/>
        </w:rPr>
      </w:pPr>
      <w:r w:rsidRPr="007D19CA">
        <w:rPr>
          <w:rFonts w:ascii="Arial" w:hAnsi="Arial" w:cs="Arial"/>
          <w:sz w:val="20"/>
          <w:szCs w:val="20"/>
        </w:rPr>
        <w:t>Johnson &amp; Johnson's primary competitors include Pfizer Inc. and Merck &amp; Co. In 2023, Pfizer experienced a revenue decline of approximately 10%, while Merck reported 5% growth. J&amp;J's diversified portfolio in pharmaceuticals, medical devices, and consumer health products provides a resilient foundation for growth, allowing it to outperform some peers in market stability and revenue diversification.</w:t>
      </w:r>
    </w:p>
    <w:sectPr w:rsidR="007D19CA" w:rsidRPr="00BC6A1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23081194">
    <w:abstractNumId w:val="8"/>
  </w:num>
  <w:num w:numId="2" w16cid:durableId="1189445320">
    <w:abstractNumId w:val="6"/>
  </w:num>
  <w:num w:numId="3" w16cid:durableId="1185636485">
    <w:abstractNumId w:val="5"/>
  </w:num>
  <w:num w:numId="4" w16cid:durableId="224143530">
    <w:abstractNumId w:val="4"/>
  </w:num>
  <w:num w:numId="5" w16cid:durableId="327752012">
    <w:abstractNumId w:val="7"/>
  </w:num>
  <w:num w:numId="6" w16cid:durableId="1592660881">
    <w:abstractNumId w:val="3"/>
  </w:num>
  <w:num w:numId="7" w16cid:durableId="991517946">
    <w:abstractNumId w:val="2"/>
  </w:num>
  <w:num w:numId="8" w16cid:durableId="303893349">
    <w:abstractNumId w:val="1"/>
  </w:num>
  <w:num w:numId="9" w16cid:durableId="132986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1BAD"/>
    <w:rsid w:val="0006063C"/>
    <w:rsid w:val="0015074B"/>
    <w:rsid w:val="0029639D"/>
    <w:rsid w:val="00326F90"/>
    <w:rsid w:val="00396A07"/>
    <w:rsid w:val="005E0494"/>
    <w:rsid w:val="007D19CA"/>
    <w:rsid w:val="009C1C6A"/>
    <w:rsid w:val="00A51F41"/>
    <w:rsid w:val="00AA1D8D"/>
    <w:rsid w:val="00B47730"/>
    <w:rsid w:val="00B6518D"/>
    <w:rsid w:val="00BC6A1B"/>
    <w:rsid w:val="00CB0664"/>
    <w:rsid w:val="00CB5F75"/>
    <w:rsid w:val="00D75CEC"/>
    <w:rsid w:val="00ED29BD"/>
    <w:rsid w:val="00ED6B2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A6DB82"/>
  <w14:defaultImageDpi w14:val="300"/>
  <w15:docId w15:val="{B51D1A8C-F0BE-4D2D-8355-CEB8E725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75785">
      <w:bodyDiv w:val="1"/>
      <w:marLeft w:val="0"/>
      <w:marRight w:val="0"/>
      <w:marTop w:val="0"/>
      <w:marBottom w:val="0"/>
      <w:divBdr>
        <w:top w:val="none" w:sz="0" w:space="0" w:color="auto"/>
        <w:left w:val="none" w:sz="0" w:space="0" w:color="auto"/>
        <w:bottom w:val="none" w:sz="0" w:space="0" w:color="auto"/>
        <w:right w:val="none" w:sz="0" w:space="0" w:color="auto"/>
      </w:divBdr>
    </w:div>
    <w:div w:id="16187589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arun\AppData\Local\Microsoft\Windows\INetCache\IE\EYMYTRBE\1709895990_Task%204%20Revenue%20&amp;%20Cost%20Drivers%5b1%5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arun\AppData\Local\Microsoft\Windows\INetCache\IE\EYMYTRBE\1709895990_Task%204%20Revenue%20&amp;%20Cost%20Drivers%5b1%5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Sheet1!$C$2</c:f>
              <c:strCache>
                <c:ptCount val="1"/>
                <c:pt idx="0">
                  <c:v>Amount ($ in Millions)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0A5B-469E-9F01-C6C77148434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0A5B-469E-9F01-C6C77148434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5-0A5B-469E-9F01-C6C77148434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7-0A5B-469E-9F01-C6C771484347}"/>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9-0A5B-469E-9F01-C6C7714843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Sheet1!$B$3:$B$7</c:f>
              <c:strCache>
                <c:ptCount val="5"/>
                <c:pt idx="0">
                  <c:v>Base Management Fee</c:v>
                </c:pt>
                <c:pt idx="1">
                  <c:v>Franchise Fee</c:v>
                </c:pt>
                <c:pt idx="2">
                  <c:v>Incentive Management Fee</c:v>
                </c:pt>
                <c:pt idx="3">
                  <c:v>Owned, Lease, and other Revenue </c:v>
                </c:pt>
                <c:pt idx="4">
                  <c:v>Cost Reimbursement Revevenue </c:v>
                </c:pt>
              </c:strCache>
            </c:strRef>
          </c:cat>
          <c:val>
            <c:numRef>
              <c:f>Sheet1!$C$3:$C$7</c:f>
              <c:numCache>
                <c:formatCode>_-[$$-409]* #,##0.00_ ;_-[$$-409]* \-#,##0.00\ ;_-[$$-409]* "-"??_ ;_-@_ </c:formatCode>
                <c:ptCount val="5"/>
                <c:pt idx="0">
                  <c:v>312</c:v>
                </c:pt>
                <c:pt idx="1">
                  <c:v>812</c:v>
                </c:pt>
                <c:pt idx="2">
                  <c:v>159</c:v>
                </c:pt>
                <c:pt idx="3">
                  <c:v>381</c:v>
                </c:pt>
                <c:pt idx="4">
                  <c:v>4617</c:v>
                </c:pt>
              </c:numCache>
            </c:numRef>
          </c:val>
          <c:extLst>
            <c:ext xmlns:c16="http://schemas.microsoft.com/office/drawing/2014/chart" uri="{C3380CC4-5D6E-409C-BE32-E72D297353CC}">
              <c16:uniqueId val="{0000000A-0A5B-469E-9F01-C6C771484347}"/>
            </c:ext>
          </c:extLst>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Revenue</a:t>
            </a:r>
            <a:r>
              <a:rPr lang="en-US" baseline="0"/>
              <a:t> Driver </a:t>
            </a:r>
            <a:r>
              <a:rPr lang="en-US"/>
              <a:t>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Sheet1!$C$12</c:f>
              <c:strCache>
                <c:ptCount val="1"/>
                <c:pt idx="0">
                  <c:v>Amount ($ in Millions)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1-781D-4924-B566-2B5EA466FB1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extLst>
              <c:ext xmlns:c16="http://schemas.microsoft.com/office/drawing/2014/chart" uri="{C3380CC4-5D6E-409C-BE32-E72D297353CC}">
                <c16:uniqueId val="{00000003-781D-4924-B566-2B5EA466FB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Sheet1!$B$13:$B$14</c:f>
              <c:strCache>
                <c:ptCount val="2"/>
                <c:pt idx="0">
                  <c:v>Innovative Medicine </c:v>
                </c:pt>
                <c:pt idx="1">
                  <c:v>Medtech </c:v>
                </c:pt>
              </c:strCache>
            </c:strRef>
          </c:cat>
          <c:val>
            <c:numRef>
              <c:f>Sheet1!$C$13:$C$14</c:f>
              <c:numCache>
                <c:formatCode>_-[$$-409]* #,##0.00_ ;_-[$$-409]* \-#,##0.00\ ;_-[$$-409]* "-"??_ ;_-@_ </c:formatCode>
                <c:ptCount val="2"/>
                <c:pt idx="0">
                  <c:v>29160</c:v>
                </c:pt>
                <c:pt idx="1">
                  <c:v>15780</c:v>
                </c:pt>
              </c:numCache>
            </c:numRef>
          </c:val>
          <c:extLst>
            <c:ext xmlns:c16="http://schemas.microsoft.com/office/drawing/2014/chart" uri="{C3380CC4-5D6E-409C-BE32-E72D297353CC}">
              <c16:uniqueId val="{00000004-781D-4924-B566-2B5EA466FB16}"/>
            </c:ext>
          </c:extLst>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Varun Chandra</cp:lastModifiedBy>
  <cp:revision>2</cp:revision>
  <dcterms:created xsi:type="dcterms:W3CDTF">2024-11-11T20:52:00Z</dcterms:created>
  <dcterms:modified xsi:type="dcterms:W3CDTF">2024-11-11T20:52:00Z</dcterms:modified>
  <cp:category/>
</cp:coreProperties>
</file>