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7708F" w14:textId="1657C5C3" w:rsidR="00D702E8" w:rsidRDefault="00D702E8" w:rsidP="00E86FC4">
      <w:pPr>
        <w:pStyle w:val="Heading1"/>
        <w:ind w:left="-851" w:right="-897"/>
        <w:jc w:val="right"/>
        <w:rPr>
          <w:b/>
          <w:bCs/>
          <w:color w:val="000000" w:themeColor="text1"/>
        </w:rPr>
      </w:pPr>
      <w:r w:rsidRPr="00D702E8">
        <w:rPr>
          <w:b/>
          <w:bCs/>
          <w:noProof/>
          <w:color w:val="000000" w:themeColor="text1"/>
        </w:rPr>
        <w:drawing>
          <wp:inline distT="0" distB="0" distL="0" distR="0" wp14:anchorId="404A809D" wp14:editId="0534D869">
            <wp:extent cx="1242168" cy="541067"/>
            <wp:effectExtent l="0" t="0" r="0" b="0"/>
            <wp:docPr id="1511855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55134" name=""/>
                    <pic:cNvPicPr/>
                  </pic:nvPicPr>
                  <pic:blipFill>
                    <a:blip r:embed="rId5"/>
                    <a:stretch>
                      <a:fillRect/>
                    </a:stretch>
                  </pic:blipFill>
                  <pic:spPr>
                    <a:xfrm>
                      <a:off x="0" y="0"/>
                      <a:ext cx="1242168" cy="541067"/>
                    </a:xfrm>
                    <a:prstGeom prst="rect">
                      <a:avLst/>
                    </a:prstGeom>
                  </pic:spPr>
                </pic:pic>
              </a:graphicData>
            </a:graphic>
          </wp:inline>
        </w:drawing>
      </w:r>
    </w:p>
    <w:p w14:paraId="210D6DB0" w14:textId="62EE2FAA" w:rsidR="00D2480B" w:rsidRPr="00BF30B6" w:rsidRDefault="00D702E8" w:rsidP="00BF30B6">
      <w:pPr>
        <w:pStyle w:val="Heading1"/>
        <w:ind w:left="-851" w:right="-897"/>
        <w:jc w:val="both"/>
        <w:rPr>
          <w:rFonts w:ascii="Arial" w:hAnsi="Arial" w:cs="Arial"/>
          <w:b/>
          <w:bCs/>
          <w:color w:val="000000" w:themeColor="text1"/>
          <w:sz w:val="28"/>
          <w:szCs w:val="28"/>
        </w:rPr>
      </w:pPr>
      <w:r w:rsidRPr="00BF30B6">
        <w:rPr>
          <w:rFonts w:ascii="Arial" w:hAnsi="Arial" w:cs="Arial"/>
          <w:b/>
          <w:bCs/>
          <w:color w:val="000000" w:themeColor="text1"/>
          <w:sz w:val="28"/>
          <w:szCs w:val="28"/>
        </w:rPr>
        <w:t>Visa Inc. Overview</w:t>
      </w:r>
    </w:p>
    <w:p w14:paraId="66E0AF84" w14:textId="6814C55E" w:rsidR="00D702E8" w:rsidRPr="00BF30B6" w:rsidRDefault="00D702E8" w:rsidP="00BF30B6">
      <w:pPr>
        <w:ind w:left="-851" w:right="-897"/>
        <w:jc w:val="both"/>
        <w:rPr>
          <w:rFonts w:ascii="Arial" w:hAnsi="Arial" w:cs="Arial"/>
          <w:sz w:val="20"/>
          <w:szCs w:val="20"/>
        </w:rPr>
      </w:pPr>
      <w:r w:rsidRPr="00BF30B6">
        <w:rPr>
          <w:rFonts w:ascii="Arial" w:hAnsi="Arial" w:cs="Arial"/>
          <w:sz w:val="20"/>
          <w:szCs w:val="20"/>
        </w:rPr>
        <w:t>Visa Inc</w:t>
      </w:r>
      <w:r w:rsidR="00BF30B6">
        <w:rPr>
          <w:rFonts w:ascii="Arial" w:hAnsi="Arial" w:cs="Arial"/>
          <w:sz w:val="20"/>
          <w:szCs w:val="20"/>
        </w:rPr>
        <w:t>.</w:t>
      </w:r>
      <w:r w:rsidRPr="00BF30B6">
        <w:rPr>
          <w:rFonts w:ascii="Arial" w:hAnsi="Arial" w:cs="Arial"/>
          <w:sz w:val="20"/>
          <w:szCs w:val="20"/>
        </w:rPr>
        <w:t xml:space="preserve"> was founded in 1958 and has its headquarters in San Francisco, California. The company provides </w:t>
      </w:r>
      <w:r w:rsidR="003D2D16" w:rsidRPr="00BF30B6">
        <w:rPr>
          <w:rFonts w:ascii="Arial" w:hAnsi="Arial" w:cs="Arial"/>
          <w:sz w:val="20"/>
          <w:szCs w:val="20"/>
        </w:rPr>
        <w:t>its</w:t>
      </w:r>
      <w:r w:rsidRPr="00BF30B6">
        <w:rPr>
          <w:rFonts w:ascii="Arial" w:hAnsi="Arial" w:cs="Arial"/>
          <w:sz w:val="20"/>
          <w:szCs w:val="20"/>
        </w:rPr>
        <w:t xml:space="preserve"> services to merchants, financial </w:t>
      </w:r>
      <w:r w:rsidR="003D2D16" w:rsidRPr="00BF30B6">
        <w:rPr>
          <w:rFonts w:ascii="Arial" w:hAnsi="Arial" w:cs="Arial"/>
          <w:sz w:val="20"/>
          <w:szCs w:val="20"/>
        </w:rPr>
        <w:t>institution</w:t>
      </w:r>
      <w:r w:rsidR="00BF30B6">
        <w:rPr>
          <w:rFonts w:ascii="Arial" w:hAnsi="Arial" w:cs="Arial"/>
          <w:sz w:val="20"/>
          <w:szCs w:val="20"/>
        </w:rPr>
        <w:t>s</w:t>
      </w:r>
      <w:r w:rsidR="003D2D16" w:rsidRPr="00BF30B6">
        <w:rPr>
          <w:rFonts w:ascii="Arial" w:hAnsi="Arial" w:cs="Arial"/>
          <w:sz w:val="20"/>
          <w:szCs w:val="20"/>
        </w:rPr>
        <w:t>,</w:t>
      </w:r>
      <w:r w:rsidRPr="00BF30B6">
        <w:rPr>
          <w:rFonts w:ascii="Arial" w:hAnsi="Arial" w:cs="Arial"/>
          <w:sz w:val="20"/>
          <w:szCs w:val="20"/>
        </w:rPr>
        <w:t xml:space="preserve"> and government entities. Visa Inc. operates as a </w:t>
      </w:r>
      <w:r w:rsidRPr="00BF30B6">
        <w:rPr>
          <w:rFonts w:ascii="Arial" w:hAnsi="Arial" w:cs="Arial"/>
          <w:b/>
          <w:bCs/>
          <w:sz w:val="20"/>
          <w:szCs w:val="20"/>
        </w:rPr>
        <w:t xml:space="preserve">payment technology company </w:t>
      </w:r>
      <w:r w:rsidRPr="00BF30B6">
        <w:rPr>
          <w:rFonts w:ascii="Arial" w:hAnsi="Arial" w:cs="Arial"/>
          <w:sz w:val="20"/>
          <w:szCs w:val="20"/>
        </w:rPr>
        <w:t xml:space="preserve">and </w:t>
      </w:r>
      <w:r w:rsidR="00BF30B6">
        <w:rPr>
          <w:rFonts w:ascii="Arial" w:hAnsi="Arial" w:cs="Arial"/>
          <w:sz w:val="20"/>
          <w:szCs w:val="20"/>
        </w:rPr>
        <w:t>its</w:t>
      </w:r>
      <w:r w:rsidRPr="00BF30B6">
        <w:rPr>
          <w:rFonts w:ascii="Arial" w:hAnsi="Arial" w:cs="Arial"/>
          <w:sz w:val="20"/>
          <w:szCs w:val="20"/>
        </w:rPr>
        <w:t xml:space="preserve"> core business for is listed below: </w:t>
      </w:r>
    </w:p>
    <w:p w14:paraId="2EF9591B" w14:textId="7D359005" w:rsidR="00D702E8" w:rsidRPr="00BF30B6" w:rsidRDefault="00D702E8" w:rsidP="00BF30B6">
      <w:pPr>
        <w:ind w:left="-851" w:right="-897"/>
        <w:jc w:val="center"/>
        <w:rPr>
          <w:rFonts w:ascii="Arial" w:hAnsi="Arial" w:cs="Arial"/>
          <w:sz w:val="20"/>
          <w:szCs w:val="20"/>
        </w:rPr>
      </w:pPr>
      <w:r w:rsidRPr="00BF30B6">
        <w:rPr>
          <w:rFonts w:ascii="Arial" w:hAnsi="Arial" w:cs="Arial"/>
          <w:noProof/>
          <w:sz w:val="20"/>
          <w:szCs w:val="20"/>
        </w:rPr>
        <w:drawing>
          <wp:inline distT="0" distB="0" distL="0" distR="0" wp14:anchorId="0AE30DA0" wp14:editId="5393EFFF">
            <wp:extent cx="5731510" cy="1635760"/>
            <wp:effectExtent l="0" t="0" r="2540" b="2540"/>
            <wp:docPr id="1624452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52181" name=""/>
                    <pic:cNvPicPr/>
                  </pic:nvPicPr>
                  <pic:blipFill>
                    <a:blip r:embed="rId6"/>
                    <a:stretch>
                      <a:fillRect/>
                    </a:stretch>
                  </pic:blipFill>
                  <pic:spPr>
                    <a:xfrm>
                      <a:off x="0" y="0"/>
                      <a:ext cx="5731510" cy="1635760"/>
                    </a:xfrm>
                    <a:prstGeom prst="rect">
                      <a:avLst/>
                    </a:prstGeom>
                  </pic:spPr>
                </pic:pic>
              </a:graphicData>
            </a:graphic>
          </wp:inline>
        </w:drawing>
      </w:r>
    </w:p>
    <w:p w14:paraId="5C558926" w14:textId="7307864F" w:rsidR="00D702E8" w:rsidRPr="00BF30B6" w:rsidRDefault="00D702E8" w:rsidP="00BF30B6">
      <w:pPr>
        <w:pStyle w:val="NoSpacing"/>
        <w:ind w:left="-851"/>
        <w:jc w:val="right"/>
        <w:rPr>
          <w:rFonts w:ascii="Arial" w:hAnsi="Arial" w:cs="Arial"/>
          <w:sz w:val="20"/>
          <w:szCs w:val="20"/>
        </w:rPr>
      </w:pPr>
      <w:hyperlink r:id="rId7" w:history="1">
        <w:r w:rsidRPr="00BF30B6">
          <w:rPr>
            <w:rStyle w:val="Hyperlink"/>
            <w:rFonts w:ascii="Arial" w:hAnsi="Arial" w:cs="Arial"/>
            <w:sz w:val="16"/>
            <w:szCs w:val="16"/>
          </w:rPr>
          <w:t>Source: Visa 2023 Annual Report</w:t>
        </w:r>
      </w:hyperlink>
      <w:r w:rsidRPr="00BF30B6">
        <w:rPr>
          <w:rFonts w:ascii="Arial" w:hAnsi="Arial" w:cs="Arial"/>
          <w:sz w:val="16"/>
          <w:szCs w:val="16"/>
        </w:rPr>
        <w:t xml:space="preserve"> </w:t>
      </w:r>
    </w:p>
    <w:p w14:paraId="20FD7F7D" w14:textId="77777777" w:rsidR="009E45B4" w:rsidRPr="00BF30B6" w:rsidRDefault="009E45B4" w:rsidP="00BF30B6">
      <w:pPr>
        <w:pStyle w:val="NoSpacing"/>
        <w:ind w:left="-851"/>
        <w:jc w:val="both"/>
        <w:rPr>
          <w:rFonts w:ascii="Arial" w:hAnsi="Arial" w:cs="Arial"/>
          <w:sz w:val="20"/>
          <w:szCs w:val="20"/>
        </w:rPr>
      </w:pPr>
    </w:p>
    <w:p w14:paraId="6EA5640A" w14:textId="261DB8C6" w:rsidR="009E45B4" w:rsidRPr="00BF30B6" w:rsidRDefault="009E45B4" w:rsidP="00BF30B6">
      <w:pPr>
        <w:pStyle w:val="NoSpacing"/>
        <w:ind w:left="-851" w:right="-897"/>
        <w:jc w:val="both"/>
        <w:rPr>
          <w:rFonts w:ascii="Arial" w:hAnsi="Arial" w:cs="Arial"/>
          <w:sz w:val="20"/>
          <w:szCs w:val="20"/>
        </w:rPr>
      </w:pPr>
      <w:r w:rsidRPr="00BF30B6">
        <w:rPr>
          <w:rFonts w:ascii="Arial" w:hAnsi="Arial" w:cs="Arial"/>
          <w:sz w:val="20"/>
          <w:szCs w:val="20"/>
        </w:rPr>
        <w:t xml:space="preserve">Visa earns its revenue by facilitating money movement across more than 200 countries and territories among </w:t>
      </w:r>
      <w:r w:rsidR="003D2D16" w:rsidRPr="00BF30B6">
        <w:rPr>
          <w:rFonts w:ascii="Arial" w:hAnsi="Arial" w:cs="Arial"/>
          <w:sz w:val="20"/>
          <w:szCs w:val="20"/>
        </w:rPr>
        <w:t>an</w:t>
      </w:r>
      <w:r w:rsidRPr="00BF30B6">
        <w:rPr>
          <w:rFonts w:ascii="Arial" w:hAnsi="Arial" w:cs="Arial"/>
          <w:sz w:val="20"/>
          <w:szCs w:val="20"/>
        </w:rPr>
        <w:t xml:space="preserve"> international pool of customer which includes merchants, financial </w:t>
      </w:r>
      <w:r w:rsidR="00BF30B6" w:rsidRPr="00BF30B6">
        <w:rPr>
          <w:rFonts w:ascii="Arial" w:hAnsi="Arial" w:cs="Arial"/>
          <w:sz w:val="20"/>
          <w:szCs w:val="20"/>
        </w:rPr>
        <w:t>institution,</w:t>
      </w:r>
      <w:r w:rsidRPr="00BF30B6">
        <w:rPr>
          <w:rFonts w:ascii="Arial" w:hAnsi="Arial" w:cs="Arial"/>
          <w:sz w:val="20"/>
          <w:szCs w:val="20"/>
        </w:rPr>
        <w:t xml:space="preserve"> and government entities </w:t>
      </w:r>
      <w:r w:rsidR="003D2D16" w:rsidRPr="00BF30B6">
        <w:rPr>
          <w:rFonts w:ascii="Arial" w:hAnsi="Arial" w:cs="Arial"/>
          <w:sz w:val="20"/>
          <w:szCs w:val="20"/>
        </w:rPr>
        <w:t>through</w:t>
      </w:r>
      <w:r w:rsidRPr="00BF30B6">
        <w:rPr>
          <w:rFonts w:ascii="Arial" w:hAnsi="Arial" w:cs="Arial"/>
          <w:sz w:val="20"/>
          <w:szCs w:val="20"/>
        </w:rPr>
        <w:t xml:space="preserve"> their progressive technologies. </w:t>
      </w:r>
    </w:p>
    <w:p w14:paraId="778149EE" w14:textId="77777777" w:rsidR="003D2D16" w:rsidRPr="00BF30B6" w:rsidRDefault="003D2D16" w:rsidP="00BF30B6">
      <w:pPr>
        <w:pStyle w:val="NoSpacing"/>
        <w:ind w:right="-897"/>
        <w:jc w:val="both"/>
        <w:rPr>
          <w:rFonts w:ascii="Arial" w:hAnsi="Arial" w:cs="Arial"/>
          <w:sz w:val="20"/>
          <w:szCs w:val="20"/>
        </w:rPr>
      </w:pPr>
    </w:p>
    <w:p w14:paraId="0D5F3108" w14:textId="17E8BF13" w:rsidR="00E86FC4" w:rsidRPr="00BF30B6" w:rsidRDefault="00E86FC4" w:rsidP="00BF30B6">
      <w:pPr>
        <w:pStyle w:val="Heading1"/>
        <w:ind w:left="-851" w:right="-897"/>
        <w:jc w:val="both"/>
        <w:rPr>
          <w:rFonts w:ascii="Arial" w:hAnsi="Arial" w:cs="Arial"/>
          <w:b/>
          <w:bCs/>
          <w:color w:val="000000" w:themeColor="text1"/>
          <w:sz w:val="28"/>
          <w:szCs w:val="28"/>
        </w:rPr>
      </w:pPr>
      <w:r w:rsidRPr="00BF30B6">
        <w:rPr>
          <w:rFonts w:ascii="Arial" w:hAnsi="Arial" w:cs="Arial"/>
          <w:b/>
          <w:bCs/>
          <w:color w:val="000000" w:themeColor="text1"/>
          <w:sz w:val="28"/>
          <w:szCs w:val="28"/>
        </w:rPr>
        <w:t>Visa Inc. Two closest Peer</w:t>
      </w:r>
    </w:p>
    <w:p w14:paraId="4D190548" w14:textId="612AC338" w:rsidR="00EE53A2" w:rsidRPr="00BF30B6" w:rsidRDefault="00E86FC4" w:rsidP="00BF30B6">
      <w:pPr>
        <w:ind w:left="-851"/>
        <w:jc w:val="both"/>
        <w:rPr>
          <w:rFonts w:ascii="Arial" w:hAnsi="Arial" w:cs="Arial"/>
          <w:sz w:val="20"/>
          <w:szCs w:val="20"/>
        </w:rPr>
      </w:pPr>
      <w:r w:rsidRPr="00BF30B6">
        <w:rPr>
          <w:rFonts w:ascii="Arial" w:hAnsi="Arial" w:cs="Arial"/>
          <w:sz w:val="20"/>
          <w:szCs w:val="20"/>
        </w:rPr>
        <w:t>The two closest peers for Visa Inc</w:t>
      </w:r>
      <w:r w:rsidR="00BF30B6">
        <w:rPr>
          <w:rFonts w:ascii="Arial" w:hAnsi="Arial" w:cs="Arial"/>
          <w:sz w:val="20"/>
          <w:szCs w:val="20"/>
        </w:rPr>
        <w:t>.</w:t>
      </w:r>
      <w:r w:rsidRPr="00BF30B6">
        <w:rPr>
          <w:rFonts w:ascii="Arial" w:hAnsi="Arial" w:cs="Arial"/>
          <w:sz w:val="20"/>
          <w:szCs w:val="20"/>
        </w:rPr>
        <w:t xml:space="preserve"> have been considered according to </w:t>
      </w:r>
      <w:r w:rsidR="00BF30B6">
        <w:rPr>
          <w:rFonts w:ascii="Arial" w:hAnsi="Arial" w:cs="Arial"/>
          <w:sz w:val="20"/>
          <w:szCs w:val="20"/>
        </w:rPr>
        <w:t>the </w:t>
      </w:r>
      <w:r w:rsidR="00EE53A2" w:rsidRPr="00BF30B6">
        <w:rPr>
          <w:rFonts w:ascii="Arial" w:hAnsi="Arial" w:cs="Arial"/>
          <w:sz w:val="20"/>
          <w:szCs w:val="20"/>
        </w:rPr>
        <w:t>Market Capitalisation of the companies:</w:t>
      </w:r>
    </w:p>
    <w:tbl>
      <w:tblPr>
        <w:tblStyle w:val="TableGrid"/>
        <w:tblW w:w="0" w:type="auto"/>
        <w:jc w:val="center"/>
        <w:tblLook w:val="04A0" w:firstRow="1" w:lastRow="0" w:firstColumn="1" w:lastColumn="0" w:noHBand="0" w:noVBand="1"/>
      </w:tblPr>
      <w:tblGrid>
        <w:gridCol w:w="2547"/>
        <w:gridCol w:w="1961"/>
        <w:gridCol w:w="2254"/>
        <w:gridCol w:w="2254"/>
      </w:tblGrid>
      <w:tr w:rsidR="00EE53A2" w:rsidRPr="00BF30B6" w14:paraId="2244A8F6" w14:textId="77777777" w:rsidTr="00EE53A2">
        <w:trPr>
          <w:jc w:val="center"/>
        </w:trPr>
        <w:tc>
          <w:tcPr>
            <w:tcW w:w="2547" w:type="dxa"/>
          </w:tcPr>
          <w:p w14:paraId="71C62FE7" w14:textId="124BD9C5" w:rsidR="00EE53A2" w:rsidRPr="00BF30B6" w:rsidRDefault="00EE53A2" w:rsidP="00BF30B6">
            <w:pPr>
              <w:jc w:val="center"/>
              <w:rPr>
                <w:rFonts w:ascii="Arial" w:hAnsi="Arial" w:cs="Arial"/>
                <w:b/>
                <w:bCs/>
                <w:sz w:val="20"/>
                <w:szCs w:val="20"/>
              </w:rPr>
            </w:pPr>
            <w:r w:rsidRPr="00BF30B6">
              <w:rPr>
                <w:rFonts w:ascii="Arial" w:hAnsi="Arial" w:cs="Arial"/>
                <w:b/>
                <w:bCs/>
                <w:sz w:val="20"/>
                <w:szCs w:val="20"/>
              </w:rPr>
              <w:t>Company Name</w:t>
            </w:r>
          </w:p>
        </w:tc>
        <w:tc>
          <w:tcPr>
            <w:tcW w:w="1961" w:type="dxa"/>
          </w:tcPr>
          <w:p w14:paraId="5B28AD5F" w14:textId="424E0527" w:rsidR="00EE53A2" w:rsidRPr="00BF30B6" w:rsidRDefault="00EE53A2" w:rsidP="00BF30B6">
            <w:pPr>
              <w:jc w:val="center"/>
              <w:rPr>
                <w:rFonts w:ascii="Arial" w:hAnsi="Arial" w:cs="Arial"/>
                <w:b/>
                <w:bCs/>
                <w:sz w:val="20"/>
                <w:szCs w:val="20"/>
              </w:rPr>
            </w:pPr>
            <w:r w:rsidRPr="00BF30B6">
              <w:rPr>
                <w:rFonts w:ascii="Arial" w:hAnsi="Arial" w:cs="Arial"/>
                <w:b/>
                <w:bCs/>
                <w:sz w:val="20"/>
                <w:szCs w:val="20"/>
              </w:rPr>
              <w:t>Visa Inc.</w:t>
            </w:r>
          </w:p>
        </w:tc>
        <w:tc>
          <w:tcPr>
            <w:tcW w:w="2254" w:type="dxa"/>
          </w:tcPr>
          <w:p w14:paraId="42900A7A" w14:textId="0FD9772B" w:rsidR="00EE53A2" w:rsidRPr="00BF30B6" w:rsidRDefault="00EE53A2" w:rsidP="00BF30B6">
            <w:pPr>
              <w:jc w:val="center"/>
              <w:rPr>
                <w:rFonts w:ascii="Arial" w:hAnsi="Arial" w:cs="Arial"/>
                <w:b/>
                <w:bCs/>
                <w:sz w:val="20"/>
                <w:szCs w:val="20"/>
              </w:rPr>
            </w:pPr>
            <w:r w:rsidRPr="00BF30B6">
              <w:rPr>
                <w:rFonts w:ascii="Arial" w:hAnsi="Arial" w:cs="Arial"/>
                <w:b/>
                <w:bCs/>
                <w:sz w:val="20"/>
                <w:szCs w:val="20"/>
              </w:rPr>
              <w:t>Mastercard Inc</w:t>
            </w:r>
          </w:p>
        </w:tc>
        <w:tc>
          <w:tcPr>
            <w:tcW w:w="2254" w:type="dxa"/>
          </w:tcPr>
          <w:p w14:paraId="2AEEB28E" w14:textId="0927FEEB" w:rsidR="00EE53A2" w:rsidRPr="00BF30B6" w:rsidRDefault="00EE53A2" w:rsidP="00BF30B6">
            <w:pPr>
              <w:jc w:val="center"/>
              <w:rPr>
                <w:rFonts w:ascii="Arial" w:hAnsi="Arial" w:cs="Arial"/>
                <w:b/>
                <w:bCs/>
                <w:sz w:val="20"/>
                <w:szCs w:val="20"/>
              </w:rPr>
            </w:pPr>
            <w:r w:rsidRPr="00BF30B6">
              <w:rPr>
                <w:rFonts w:ascii="Arial" w:hAnsi="Arial" w:cs="Arial"/>
                <w:b/>
                <w:bCs/>
                <w:sz w:val="20"/>
                <w:szCs w:val="20"/>
              </w:rPr>
              <w:t>Fiserv Inc</w:t>
            </w:r>
          </w:p>
        </w:tc>
      </w:tr>
      <w:tr w:rsidR="00EE53A2" w:rsidRPr="00BF30B6" w14:paraId="75C61BF3" w14:textId="77777777" w:rsidTr="00EE53A2">
        <w:trPr>
          <w:jc w:val="center"/>
        </w:trPr>
        <w:tc>
          <w:tcPr>
            <w:tcW w:w="2547" w:type="dxa"/>
          </w:tcPr>
          <w:p w14:paraId="3F12A1C3" w14:textId="361CCAE3" w:rsidR="00EE53A2" w:rsidRPr="00BF30B6" w:rsidRDefault="00EE53A2" w:rsidP="00BF30B6">
            <w:pPr>
              <w:jc w:val="both"/>
              <w:rPr>
                <w:rFonts w:ascii="Arial" w:hAnsi="Arial" w:cs="Arial"/>
                <w:b/>
                <w:bCs/>
                <w:sz w:val="20"/>
                <w:szCs w:val="20"/>
              </w:rPr>
            </w:pPr>
            <w:r w:rsidRPr="00BF30B6">
              <w:rPr>
                <w:rFonts w:ascii="Arial" w:hAnsi="Arial" w:cs="Arial"/>
                <w:b/>
                <w:bCs/>
                <w:sz w:val="20"/>
                <w:szCs w:val="20"/>
              </w:rPr>
              <w:t>Sector</w:t>
            </w:r>
          </w:p>
        </w:tc>
        <w:tc>
          <w:tcPr>
            <w:tcW w:w="1961" w:type="dxa"/>
          </w:tcPr>
          <w:p w14:paraId="48D478C0" w14:textId="4C24F7A3" w:rsidR="00EE53A2" w:rsidRPr="00BF30B6" w:rsidRDefault="00EE53A2" w:rsidP="00BF30B6">
            <w:pPr>
              <w:jc w:val="both"/>
              <w:rPr>
                <w:rFonts w:ascii="Arial" w:hAnsi="Arial" w:cs="Arial"/>
                <w:sz w:val="20"/>
                <w:szCs w:val="20"/>
              </w:rPr>
            </w:pPr>
            <w:r w:rsidRPr="00BF30B6">
              <w:rPr>
                <w:rFonts w:ascii="Arial" w:hAnsi="Arial" w:cs="Arial"/>
                <w:sz w:val="20"/>
                <w:szCs w:val="20"/>
              </w:rPr>
              <w:t>Financials</w:t>
            </w:r>
          </w:p>
        </w:tc>
        <w:tc>
          <w:tcPr>
            <w:tcW w:w="2254" w:type="dxa"/>
          </w:tcPr>
          <w:p w14:paraId="1A293F76" w14:textId="6F77EC19" w:rsidR="00EE53A2" w:rsidRPr="00BF30B6" w:rsidRDefault="00EE53A2" w:rsidP="00BF30B6">
            <w:pPr>
              <w:jc w:val="both"/>
              <w:rPr>
                <w:rFonts w:ascii="Arial" w:hAnsi="Arial" w:cs="Arial"/>
                <w:b/>
                <w:bCs/>
                <w:sz w:val="20"/>
                <w:szCs w:val="20"/>
              </w:rPr>
            </w:pPr>
            <w:r w:rsidRPr="00BF30B6">
              <w:rPr>
                <w:rFonts w:ascii="Arial" w:hAnsi="Arial" w:cs="Arial"/>
                <w:sz w:val="20"/>
                <w:szCs w:val="20"/>
              </w:rPr>
              <w:t>Financials</w:t>
            </w:r>
          </w:p>
        </w:tc>
        <w:tc>
          <w:tcPr>
            <w:tcW w:w="2254" w:type="dxa"/>
          </w:tcPr>
          <w:p w14:paraId="3B743FF3" w14:textId="2CD7A723" w:rsidR="00EE53A2" w:rsidRPr="00BF30B6" w:rsidRDefault="00EE53A2" w:rsidP="00BF30B6">
            <w:pPr>
              <w:jc w:val="both"/>
              <w:rPr>
                <w:rFonts w:ascii="Arial" w:hAnsi="Arial" w:cs="Arial"/>
                <w:sz w:val="20"/>
                <w:szCs w:val="20"/>
              </w:rPr>
            </w:pPr>
            <w:r w:rsidRPr="00BF30B6">
              <w:rPr>
                <w:rFonts w:ascii="Arial" w:hAnsi="Arial" w:cs="Arial"/>
                <w:sz w:val="20"/>
                <w:szCs w:val="20"/>
              </w:rPr>
              <w:t>Financials</w:t>
            </w:r>
          </w:p>
        </w:tc>
      </w:tr>
      <w:tr w:rsidR="00EE53A2" w:rsidRPr="00BF30B6" w14:paraId="7EB392EB" w14:textId="77777777" w:rsidTr="00EE53A2">
        <w:trPr>
          <w:jc w:val="center"/>
        </w:trPr>
        <w:tc>
          <w:tcPr>
            <w:tcW w:w="2547" w:type="dxa"/>
          </w:tcPr>
          <w:p w14:paraId="4C2B2ED7" w14:textId="10E06A3B" w:rsidR="00EE53A2" w:rsidRPr="00BF30B6" w:rsidRDefault="00EE53A2" w:rsidP="00BF30B6">
            <w:pPr>
              <w:jc w:val="both"/>
              <w:rPr>
                <w:rFonts w:ascii="Arial" w:hAnsi="Arial" w:cs="Arial"/>
                <w:b/>
                <w:bCs/>
                <w:sz w:val="20"/>
                <w:szCs w:val="20"/>
              </w:rPr>
            </w:pPr>
            <w:r w:rsidRPr="00BF30B6">
              <w:rPr>
                <w:rFonts w:ascii="Arial" w:hAnsi="Arial" w:cs="Arial"/>
                <w:b/>
                <w:bCs/>
                <w:sz w:val="20"/>
                <w:szCs w:val="20"/>
              </w:rPr>
              <w:t>Industry</w:t>
            </w:r>
          </w:p>
        </w:tc>
        <w:tc>
          <w:tcPr>
            <w:tcW w:w="1961" w:type="dxa"/>
          </w:tcPr>
          <w:p w14:paraId="2FB0C7CC" w14:textId="60D9D66F" w:rsidR="00EE53A2" w:rsidRPr="00BF30B6" w:rsidRDefault="00EE53A2" w:rsidP="00BF30B6">
            <w:pPr>
              <w:jc w:val="both"/>
              <w:rPr>
                <w:rFonts w:ascii="Arial" w:hAnsi="Arial" w:cs="Arial"/>
                <w:sz w:val="20"/>
                <w:szCs w:val="20"/>
              </w:rPr>
            </w:pPr>
            <w:r w:rsidRPr="00BF30B6">
              <w:rPr>
                <w:rFonts w:ascii="Arial" w:hAnsi="Arial" w:cs="Arial"/>
                <w:sz w:val="20"/>
                <w:szCs w:val="20"/>
              </w:rPr>
              <w:t>Transaction &amp; Payment Processing Services</w:t>
            </w:r>
          </w:p>
        </w:tc>
        <w:tc>
          <w:tcPr>
            <w:tcW w:w="2254" w:type="dxa"/>
          </w:tcPr>
          <w:p w14:paraId="2BEDA0D9" w14:textId="66A97C2E" w:rsidR="00EE53A2" w:rsidRPr="00BF30B6" w:rsidRDefault="00EE53A2" w:rsidP="00BF30B6">
            <w:pPr>
              <w:jc w:val="both"/>
              <w:rPr>
                <w:rFonts w:ascii="Arial" w:hAnsi="Arial" w:cs="Arial"/>
                <w:sz w:val="20"/>
                <w:szCs w:val="20"/>
              </w:rPr>
            </w:pPr>
            <w:r w:rsidRPr="00BF30B6">
              <w:rPr>
                <w:rFonts w:ascii="Arial" w:hAnsi="Arial" w:cs="Arial"/>
                <w:sz w:val="20"/>
                <w:szCs w:val="20"/>
              </w:rPr>
              <w:t>Transaction &amp; Payment Processing Services</w:t>
            </w:r>
          </w:p>
        </w:tc>
        <w:tc>
          <w:tcPr>
            <w:tcW w:w="2254" w:type="dxa"/>
          </w:tcPr>
          <w:p w14:paraId="56406019" w14:textId="6833ACA0" w:rsidR="00EE53A2" w:rsidRPr="00BF30B6" w:rsidRDefault="00EE53A2" w:rsidP="00BF30B6">
            <w:pPr>
              <w:jc w:val="both"/>
              <w:rPr>
                <w:rFonts w:ascii="Arial" w:hAnsi="Arial" w:cs="Arial"/>
                <w:sz w:val="20"/>
                <w:szCs w:val="20"/>
              </w:rPr>
            </w:pPr>
            <w:r w:rsidRPr="00BF30B6">
              <w:rPr>
                <w:rFonts w:ascii="Arial" w:hAnsi="Arial" w:cs="Arial"/>
                <w:sz w:val="20"/>
                <w:szCs w:val="20"/>
              </w:rPr>
              <w:t>Transaction &amp; Payment Processing Services</w:t>
            </w:r>
          </w:p>
        </w:tc>
      </w:tr>
      <w:tr w:rsidR="00EE53A2" w:rsidRPr="00BF30B6" w14:paraId="38A1383A" w14:textId="77777777" w:rsidTr="00EE53A2">
        <w:trPr>
          <w:jc w:val="center"/>
        </w:trPr>
        <w:tc>
          <w:tcPr>
            <w:tcW w:w="2547" w:type="dxa"/>
          </w:tcPr>
          <w:p w14:paraId="4A183A88" w14:textId="708F5985" w:rsidR="00EE53A2" w:rsidRPr="00BF30B6" w:rsidRDefault="00EE53A2" w:rsidP="00BF30B6">
            <w:pPr>
              <w:jc w:val="both"/>
              <w:rPr>
                <w:rFonts w:ascii="Arial" w:hAnsi="Arial" w:cs="Arial"/>
                <w:b/>
                <w:bCs/>
                <w:sz w:val="20"/>
                <w:szCs w:val="20"/>
              </w:rPr>
            </w:pPr>
            <w:r w:rsidRPr="00BF30B6">
              <w:rPr>
                <w:rFonts w:ascii="Arial" w:hAnsi="Arial" w:cs="Arial"/>
                <w:b/>
                <w:bCs/>
                <w:sz w:val="20"/>
                <w:szCs w:val="20"/>
              </w:rPr>
              <w:t>Market Capitalisation</w:t>
            </w:r>
          </w:p>
        </w:tc>
        <w:tc>
          <w:tcPr>
            <w:tcW w:w="1961" w:type="dxa"/>
          </w:tcPr>
          <w:p w14:paraId="1E8A424F" w14:textId="595C1091" w:rsidR="00EE53A2" w:rsidRPr="00BF30B6" w:rsidRDefault="00EE53A2" w:rsidP="00BF30B6">
            <w:pPr>
              <w:jc w:val="both"/>
              <w:rPr>
                <w:rFonts w:ascii="Arial" w:hAnsi="Arial" w:cs="Arial"/>
                <w:sz w:val="20"/>
                <w:szCs w:val="20"/>
              </w:rPr>
            </w:pPr>
            <w:r w:rsidRPr="00BF30B6">
              <w:rPr>
                <w:rFonts w:ascii="Arial" w:hAnsi="Arial" w:cs="Arial"/>
                <w:sz w:val="20"/>
                <w:szCs w:val="20"/>
              </w:rPr>
              <w:t>588.10B</w:t>
            </w:r>
          </w:p>
        </w:tc>
        <w:tc>
          <w:tcPr>
            <w:tcW w:w="2254" w:type="dxa"/>
          </w:tcPr>
          <w:p w14:paraId="391E8E71" w14:textId="6857D9E8" w:rsidR="00EE53A2" w:rsidRPr="00BF30B6" w:rsidRDefault="00EE53A2" w:rsidP="00BF30B6">
            <w:pPr>
              <w:jc w:val="both"/>
              <w:rPr>
                <w:rFonts w:ascii="Arial" w:hAnsi="Arial" w:cs="Arial"/>
                <w:sz w:val="20"/>
                <w:szCs w:val="20"/>
              </w:rPr>
            </w:pPr>
            <w:r w:rsidRPr="00BF30B6">
              <w:rPr>
                <w:rFonts w:ascii="Arial" w:hAnsi="Arial" w:cs="Arial"/>
                <w:sz w:val="20"/>
                <w:szCs w:val="20"/>
              </w:rPr>
              <w:t>485.52B</w:t>
            </w:r>
          </w:p>
        </w:tc>
        <w:tc>
          <w:tcPr>
            <w:tcW w:w="2254" w:type="dxa"/>
          </w:tcPr>
          <w:p w14:paraId="644B524D" w14:textId="3B5F178E" w:rsidR="00EE53A2" w:rsidRPr="00BF30B6" w:rsidRDefault="00EE53A2" w:rsidP="00BF30B6">
            <w:pPr>
              <w:jc w:val="both"/>
              <w:rPr>
                <w:rFonts w:ascii="Arial" w:hAnsi="Arial" w:cs="Arial"/>
                <w:sz w:val="20"/>
                <w:szCs w:val="20"/>
              </w:rPr>
            </w:pPr>
            <w:r w:rsidRPr="00BF30B6">
              <w:rPr>
                <w:rFonts w:ascii="Arial" w:hAnsi="Arial" w:cs="Arial"/>
                <w:sz w:val="20"/>
                <w:szCs w:val="20"/>
              </w:rPr>
              <w:t>121.78B</w:t>
            </w:r>
          </w:p>
        </w:tc>
      </w:tr>
      <w:tr w:rsidR="00EE53A2" w:rsidRPr="00BF30B6" w14:paraId="6B1E728F" w14:textId="77777777" w:rsidTr="00EE53A2">
        <w:trPr>
          <w:jc w:val="center"/>
        </w:trPr>
        <w:tc>
          <w:tcPr>
            <w:tcW w:w="2547" w:type="dxa"/>
          </w:tcPr>
          <w:p w14:paraId="1BF6E443" w14:textId="736ABE98" w:rsidR="00EE53A2" w:rsidRPr="00BF30B6" w:rsidRDefault="00EE53A2" w:rsidP="00BF30B6">
            <w:pPr>
              <w:jc w:val="both"/>
              <w:rPr>
                <w:rFonts w:ascii="Arial" w:hAnsi="Arial" w:cs="Arial"/>
                <w:b/>
                <w:bCs/>
                <w:sz w:val="20"/>
                <w:szCs w:val="20"/>
              </w:rPr>
            </w:pPr>
            <w:r w:rsidRPr="00BF30B6">
              <w:rPr>
                <w:rFonts w:ascii="Arial" w:hAnsi="Arial" w:cs="Arial"/>
                <w:b/>
                <w:bCs/>
                <w:sz w:val="20"/>
                <w:szCs w:val="20"/>
              </w:rPr>
              <w:t>Enterprise Value</w:t>
            </w:r>
          </w:p>
        </w:tc>
        <w:tc>
          <w:tcPr>
            <w:tcW w:w="1961" w:type="dxa"/>
          </w:tcPr>
          <w:p w14:paraId="699F93FC" w14:textId="553C76C3" w:rsidR="00EE53A2" w:rsidRPr="00BF30B6" w:rsidRDefault="00EE53A2" w:rsidP="00BF30B6">
            <w:pPr>
              <w:jc w:val="both"/>
              <w:rPr>
                <w:rFonts w:ascii="Arial" w:hAnsi="Arial" w:cs="Arial"/>
                <w:sz w:val="20"/>
                <w:szCs w:val="20"/>
              </w:rPr>
            </w:pPr>
            <w:r w:rsidRPr="00BF30B6">
              <w:rPr>
                <w:rFonts w:ascii="Arial" w:hAnsi="Arial" w:cs="Arial"/>
                <w:sz w:val="20"/>
                <w:szCs w:val="20"/>
              </w:rPr>
              <w:t>594.79B</w:t>
            </w:r>
          </w:p>
        </w:tc>
        <w:tc>
          <w:tcPr>
            <w:tcW w:w="2254" w:type="dxa"/>
          </w:tcPr>
          <w:p w14:paraId="29FD2CD9" w14:textId="420EAA3E" w:rsidR="00EE53A2" w:rsidRPr="00BF30B6" w:rsidRDefault="00EE53A2" w:rsidP="00BF30B6">
            <w:pPr>
              <w:jc w:val="both"/>
              <w:rPr>
                <w:rFonts w:ascii="Arial" w:hAnsi="Arial" w:cs="Arial"/>
                <w:sz w:val="20"/>
                <w:szCs w:val="20"/>
              </w:rPr>
            </w:pPr>
            <w:r w:rsidRPr="00BF30B6">
              <w:rPr>
                <w:rFonts w:ascii="Arial" w:hAnsi="Arial" w:cs="Arial"/>
                <w:sz w:val="20"/>
                <w:szCs w:val="20"/>
              </w:rPr>
              <w:t>492.52B</w:t>
            </w:r>
          </w:p>
        </w:tc>
        <w:tc>
          <w:tcPr>
            <w:tcW w:w="2254" w:type="dxa"/>
          </w:tcPr>
          <w:p w14:paraId="70AE55CC" w14:textId="6EA03B31" w:rsidR="00EE53A2" w:rsidRPr="00BF30B6" w:rsidRDefault="00EE53A2" w:rsidP="00BF30B6">
            <w:pPr>
              <w:jc w:val="both"/>
              <w:rPr>
                <w:rFonts w:ascii="Arial" w:hAnsi="Arial" w:cs="Arial"/>
                <w:sz w:val="20"/>
                <w:szCs w:val="20"/>
              </w:rPr>
            </w:pPr>
            <w:r w:rsidRPr="00BF30B6">
              <w:rPr>
                <w:rFonts w:ascii="Arial" w:hAnsi="Arial" w:cs="Arial"/>
                <w:sz w:val="20"/>
                <w:szCs w:val="20"/>
              </w:rPr>
              <w:t>146.60B</w:t>
            </w:r>
          </w:p>
        </w:tc>
      </w:tr>
      <w:tr w:rsidR="00EE53A2" w:rsidRPr="00BF30B6" w14:paraId="4B8A0093" w14:textId="77777777" w:rsidTr="00EE53A2">
        <w:trPr>
          <w:trHeight w:val="305"/>
          <w:jc w:val="center"/>
        </w:trPr>
        <w:tc>
          <w:tcPr>
            <w:tcW w:w="2547" w:type="dxa"/>
          </w:tcPr>
          <w:p w14:paraId="0A1DD71B" w14:textId="0D3E889A" w:rsidR="00EE53A2" w:rsidRPr="00BF30B6" w:rsidRDefault="00EE53A2" w:rsidP="00BF30B6">
            <w:pPr>
              <w:jc w:val="both"/>
              <w:rPr>
                <w:rFonts w:ascii="Arial" w:hAnsi="Arial" w:cs="Arial"/>
                <w:sz w:val="20"/>
                <w:szCs w:val="20"/>
              </w:rPr>
            </w:pPr>
          </w:p>
        </w:tc>
        <w:tc>
          <w:tcPr>
            <w:tcW w:w="1961" w:type="dxa"/>
          </w:tcPr>
          <w:p w14:paraId="35D1E3BA" w14:textId="77777777" w:rsidR="00EE53A2" w:rsidRPr="00BF30B6" w:rsidRDefault="00EE53A2" w:rsidP="00BF30B6">
            <w:pPr>
              <w:jc w:val="both"/>
              <w:rPr>
                <w:rFonts w:ascii="Arial" w:hAnsi="Arial" w:cs="Arial"/>
                <w:sz w:val="20"/>
                <w:szCs w:val="20"/>
              </w:rPr>
            </w:pPr>
          </w:p>
        </w:tc>
        <w:tc>
          <w:tcPr>
            <w:tcW w:w="2254" w:type="dxa"/>
          </w:tcPr>
          <w:p w14:paraId="501A23E5" w14:textId="77777777" w:rsidR="00EE53A2" w:rsidRPr="00BF30B6" w:rsidRDefault="00EE53A2" w:rsidP="00BF30B6">
            <w:pPr>
              <w:jc w:val="both"/>
              <w:rPr>
                <w:rFonts w:ascii="Arial" w:hAnsi="Arial" w:cs="Arial"/>
                <w:sz w:val="20"/>
                <w:szCs w:val="20"/>
              </w:rPr>
            </w:pPr>
          </w:p>
        </w:tc>
        <w:tc>
          <w:tcPr>
            <w:tcW w:w="2254" w:type="dxa"/>
          </w:tcPr>
          <w:p w14:paraId="15DFF36B" w14:textId="77777777" w:rsidR="00EE53A2" w:rsidRPr="00BF30B6" w:rsidRDefault="00EE53A2" w:rsidP="00BF30B6">
            <w:pPr>
              <w:jc w:val="both"/>
              <w:rPr>
                <w:rFonts w:ascii="Arial" w:hAnsi="Arial" w:cs="Arial"/>
                <w:sz w:val="20"/>
                <w:szCs w:val="20"/>
              </w:rPr>
            </w:pPr>
          </w:p>
        </w:tc>
      </w:tr>
    </w:tbl>
    <w:p w14:paraId="5AFF45C3" w14:textId="77777777" w:rsidR="00E86FC4" w:rsidRPr="00BF30B6" w:rsidRDefault="00E86FC4" w:rsidP="00BF30B6">
      <w:pPr>
        <w:tabs>
          <w:tab w:val="left" w:pos="0"/>
        </w:tabs>
        <w:jc w:val="both"/>
        <w:rPr>
          <w:rFonts w:ascii="Arial" w:hAnsi="Arial" w:cs="Arial"/>
          <w:sz w:val="20"/>
          <w:szCs w:val="20"/>
        </w:rPr>
      </w:pPr>
    </w:p>
    <w:p w14:paraId="657CF5DB" w14:textId="6E4F534A" w:rsidR="006D0B40" w:rsidRPr="00BF30B6" w:rsidRDefault="006D0B40" w:rsidP="00BF30B6">
      <w:pPr>
        <w:pStyle w:val="Heading1"/>
        <w:ind w:left="-851" w:right="-897"/>
        <w:jc w:val="both"/>
        <w:rPr>
          <w:rFonts w:ascii="Arial" w:hAnsi="Arial" w:cs="Arial"/>
          <w:b/>
          <w:bCs/>
          <w:color w:val="000000" w:themeColor="text1"/>
          <w:sz w:val="28"/>
          <w:szCs w:val="28"/>
        </w:rPr>
      </w:pPr>
      <w:r w:rsidRPr="00BF30B6">
        <w:rPr>
          <w:rFonts w:ascii="Arial" w:hAnsi="Arial" w:cs="Arial"/>
          <w:b/>
          <w:bCs/>
          <w:color w:val="000000" w:themeColor="text1"/>
          <w:sz w:val="28"/>
          <w:szCs w:val="28"/>
        </w:rPr>
        <w:t xml:space="preserve">Visa Inc. Substitutes and New Market </w:t>
      </w:r>
    </w:p>
    <w:p w14:paraId="1444296B" w14:textId="77777777" w:rsidR="006D0B40" w:rsidRPr="00BF30B6" w:rsidRDefault="006D0B40" w:rsidP="00BF30B6">
      <w:pPr>
        <w:pStyle w:val="Heading2"/>
        <w:ind w:left="-851"/>
        <w:jc w:val="both"/>
        <w:rPr>
          <w:rFonts w:ascii="Arial" w:hAnsi="Arial" w:cs="Arial"/>
          <w:b/>
          <w:bCs/>
          <w:color w:val="000000" w:themeColor="text1"/>
          <w:sz w:val="20"/>
          <w:szCs w:val="20"/>
        </w:rPr>
      </w:pPr>
      <w:r w:rsidRPr="00BF30B6">
        <w:rPr>
          <w:rFonts w:ascii="Arial" w:hAnsi="Arial" w:cs="Arial"/>
          <w:b/>
          <w:bCs/>
          <w:color w:val="000000" w:themeColor="text1"/>
          <w:sz w:val="20"/>
          <w:szCs w:val="20"/>
        </w:rPr>
        <w:t>Substitutes</w:t>
      </w:r>
    </w:p>
    <w:p w14:paraId="0B63E332" w14:textId="026AA6F7" w:rsidR="006D0B40" w:rsidRPr="00BF30B6" w:rsidRDefault="006D0B40" w:rsidP="00BF30B6">
      <w:pPr>
        <w:ind w:left="-851"/>
        <w:jc w:val="both"/>
        <w:rPr>
          <w:rFonts w:ascii="Arial" w:hAnsi="Arial" w:cs="Arial"/>
          <w:sz w:val="20"/>
          <w:szCs w:val="20"/>
        </w:rPr>
      </w:pPr>
      <w:r w:rsidRPr="00BF30B6">
        <w:rPr>
          <w:rFonts w:ascii="Arial" w:hAnsi="Arial" w:cs="Arial"/>
          <w:sz w:val="20"/>
          <w:szCs w:val="20"/>
        </w:rPr>
        <w:t>Visa operates in the dynamic payments industry and faces substitutes from emerging technologies and alternative payment solutions. These substitutes include:</w:t>
      </w:r>
    </w:p>
    <w:p w14:paraId="14E9DEB2" w14:textId="55FC821E" w:rsidR="006D0B40" w:rsidRPr="00BF30B6" w:rsidRDefault="006D0B40" w:rsidP="00BF30B6">
      <w:pPr>
        <w:pStyle w:val="ListParagraph"/>
        <w:numPr>
          <w:ilvl w:val="0"/>
          <w:numId w:val="3"/>
        </w:numPr>
        <w:jc w:val="both"/>
        <w:rPr>
          <w:rFonts w:ascii="Arial" w:hAnsi="Arial" w:cs="Arial"/>
          <w:sz w:val="20"/>
          <w:szCs w:val="20"/>
        </w:rPr>
      </w:pPr>
      <w:r w:rsidRPr="00BF30B6">
        <w:rPr>
          <w:rFonts w:ascii="Arial" w:hAnsi="Arial" w:cs="Arial"/>
          <w:b/>
          <w:bCs/>
          <w:sz w:val="20"/>
          <w:szCs w:val="20"/>
        </w:rPr>
        <w:t>Peer-to-Peer (P2P) Payment Systems:</w:t>
      </w:r>
      <w:r w:rsidRPr="00BF30B6">
        <w:rPr>
          <w:rFonts w:ascii="Arial" w:hAnsi="Arial" w:cs="Arial"/>
          <w:sz w:val="20"/>
          <w:szCs w:val="20"/>
        </w:rPr>
        <w:t xml:space="preserve">  Companies like PayPal, Venmo, Zelle, etc. use these systems which enable direct money transfers without intermediaries, often at lower transaction costs.</w:t>
      </w:r>
    </w:p>
    <w:p w14:paraId="3D887708" w14:textId="097BFCEC" w:rsidR="006D0B40" w:rsidRPr="00BF30B6" w:rsidRDefault="006D0B40" w:rsidP="00BF30B6">
      <w:pPr>
        <w:pStyle w:val="ListParagraph"/>
        <w:numPr>
          <w:ilvl w:val="0"/>
          <w:numId w:val="3"/>
        </w:numPr>
        <w:jc w:val="both"/>
        <w:rPr>
          <w:rFonts w:ascii="Arial" w:hAnsi="Arial" w:cs="Arial"/>
          <w:sz w:val="20"/>
          <w:szCs w:val="20"/>
        </w:rPr>
      </w:pPr>
      <w:r w:rsidRPr="00BF30B6">
        <w:rPr>
          <w:rFonts w:ascii="Arial" w:hAnsi="Arial" w:cs="Arial"/>
          <w:b/>
          <w:bCs/>
          <w:sz w:val="20"/>
          <w:szCs w:val="20"/>
        </w:rPr>
        <w:t>Real-Time Payment (RTP) Networks:</w:t>
      </w:r>
      <w:r w:rsidRPr="00BF30B6">
        <w:rPr>
          <w:rFonts w:ascii="Arial" w:hAnsi="Arial" w:cs="Arial"/>
          <w:sz w:val="20"/>
          <w:szCs w:val="20"/>
        </w:rPr>
        <w:t xml:space="preserve"> </w:t>
      </w:r>
      <w:proofErr w:type="spellStart"/>
      <w:r w:rsidRPr="00BF30B6">
        <w:rPr>
          <w:rFonts w:ascii="Arial" w:hAnsi="Arial" w:cs="Arial"/>
          <w:sz w:val="20"/>
          <w:szCs w:val="20"/>
        </w:rPr>
        <w:t>FedNow</w:t>
      </w:r>
      <w:proofErr w:type="spellEnd"/>
      <w:r w:rsidRPr="00BF30B6">
        <w:rPr>
          <w:rFonts w:ascii="Arial" w:hAnsi="Arial" w:cs="Arial"/>
          <w:sz w:val="20"/>
          <w:szCs w:val="20"/>
        </w:rPr>
        <w:t xml:space="preserve"> in the U.S., PIX in Brazil, UPI in India use RTP networks which offer instantaneous domestic payments and are gaining traction globally.</w:t>
      </w:r>
    </w:p>
    <w:p w14:paraId="02FBE24C" w14:textId="77777777" w:rsidR="006D0B40" w:rsidRPr="00BF30B6" w:rsidRDefault="006D0B40" w:rsidP="00BF30B6">
      <w:pPr>
        <w:pStyle w:val="ListParagraph"/>
        <w:numPr>
          <w:ilvl w:val="0"/>
          <w:numId w:val="3"/>
        </w:numPr>
        <w:jc w:val="both"/>
        <w:rPr>
          <w:rFonts w:ascii="Arial" w:hAnsi="Arial" w:cs="Arial"/>
          <w:sz w:val="20"/>
          <w:szCs w:val="20"/>
        </w:rPr>
      </w:pPr>
      <w:r w:rsidRPr="00BF30B6">
        <w:rPr>
          <w:rFonts w:ascii="Arial" w:hAnsi="Arial" w:cs="Arial"/>
          <w:b/>
          <w:bCs/>
          <w:sz w:val="20"/>
          <w:szCs w:val="20"/>
        </w:rPr>
        <w:t>Cryptocurrencies and Blockchain Technology:</w:t>
      </w:r>
      <w:r w:rsidRPr="00BF30B6">
        <w:rPr>
          <w:rFonts w:ascii="Arial" w:hAnsi="Arial" w:cs="Arial"/>
          <w:sz w:val="20"/>
          <w:szCs w:val="20"/>
        </w:rPr>
        <w:t xml:space="preserve"> Digital currencies like Bitcoin, Ethereum, and stablecoins provide decentralized and borderless payment alternatives. Blockchain technology also supports cross-border remittances, challenging Visa’s traditional revenue streams.</w:t>
      </w:r>
    </w:p>
    <w:p w14:paraId="13B4557A" w14:textId="7E4C5456" w:rsidR="006D0B40" w:rsidRPr="00BF30B6" w:rsidRDefault="006D0B40" w:rsidP="00BF30B6">
      <w:pPr>
        <w:pStyle w:val="ListParagraph"/>
        <w:numPr>
          <w:ilvl w:val="0"/>
          <w:numId w:val="3"/>
        </w:numPr>
        <w:jc w:val="both"/>
        <w:rPr>
          <w:rFonts w:ascii="Arial" w:hAnsi="Arial" w:cs="Arial"/>
          <w:sz w:val="20"/>
          <w:szCs w:val="20"/>
        </w:rPr>
      </w:pPr>
      <w:r w:rsidRPr="00BF30B6">
        <w:rPr>
          <w:rFonts w:ascii="Arial" w:hAnsi="Arial" w:cs="Arial"/>
          <w:b/>
          <w:bCs/>
          <w:sz w:val="20"/>
          <w:szCs w:val="20"/>
        </w:rPr>
        <w:lastRenderedPageBreak/>
        <w:t>Buy Now, Pay Later (BNPL):</w:t>
      </w:r>
      <w:r w:rsidRPr="00BF30B6">
        <w:rPr>
          <w:rFonts w:ascii="Arial" w:hAnsi="Arial" w:cs="Arial"/>
          <w:sz w:val="20"/>
          <w:szCs w:val="20"/>
        </w:rPr>
        <w:t xml:space="preserve"> Providers such as Affirm, Klarna, and </w:t>
      </w:r>
      <w:proofErr w:type="spellStart"/>
      <w:r w:rsidRPr="00BF30B6">
        <w:rPr>
          <w:rFonts w:ascii="Arial" w:hAnsi="Arial" w:cs="Arial"/>
          <w:sz w:val="20"/>
          <w:szCs w:val="20"/>
        </w:rPr>
        <w:t>Afterpay</w:t>
      </w:r>
      <w:proofErr w:type="spellEnd"/>
      <w:r w:rsidRPr="00BF30B6">
        <w:rPr>
          <w:rFonts w:ascii="Arial" w:hAnsi="Arial" w:cs="Arial"/>
          <w:sz w:val="20"/>
          <w:szCs w:val="20"/>
        </w:rPr>
        <w:t xml:space="preserve"> are reshaping consumer financing by allowing instalment-based purchases without credit cards.</w:t>
      </w:r>
    </w:p>
    <w:p w14:paraId="00EA7443" w14:textId="2CDFFEED" w:rsidR="006D0B40" w:rsidRPr="00BF30B6" w:rsidRDefault="006D0B40" w:rsidP="00BF30B6">
      <w:pPr>
        <w:pStyle w:val="ListParagraph"/>
        <w:numPr>
          <w:ilvl w:val="0"/>
          <w:numId w:val="3"/>
        </w:numPr>
        <w:jc w:val="both"/>
        <w:rPr>
          <w:rFonts w:ascii="Arial" w:hAnsi="Arial" w:cs="Arial"/>
          <w:sz w:val="20"/>
          <w:szCs w:val="20"/>
        </w:rPr>
      </w:pPr>
      <w:r w:rsidRPr="00BF30B6">
        <w:rPr>
          <w:rFonts w:ascii="Arial" w:hAnsi="Arial" w:cs="Arial"/>
          <w:b/>
          <w:bCs/>
          <w:sz w:val="20"/>
          <w:szCs w:val="20"/>
        </w:rPr>
        <w:t>Digital Wallets:</w:t>
      </w:r>
      <w:r w:rsidRPr="00BF30B6">
        <w:rPr>
          <w:rFonts w:ascii="Arial" w:hAnsi="Arial" w:cs="Arial"/>
          <w:sz w:val="20"/>
          <w:szCs w:val="20"/>
        </w:rPr>
        <w:t xml:space="preserve"> Notable companies include Apple Pay, Google Wallet, </w:t>
      </w:r>
      <w:r w:rsidR="00BF30B6">
        <w:rPr>
          <w:rFonts w:ascii="Arial" w:hAnsi="Arial" w:cs="Arial"/>
          <w:sz w:val="20"/>
          <w:szCs w:val="20"/>
        </w:rPr>
        <w:t>and </w:t>
      </w:r>
      <w:r w:rsidRPr="00BF30B6">
        <w:rPr>
          <w:rFonts w:ascii="Arial" w:hAnsi="Arial" w:cs="Arial"/>
          <w:sz w:val="20"/>
          <w:szCs w:val="20"/>
        </w:rPr>
        <w:t>Samsung Pay. These companies’ wallets integrate non-card payment options and are increasingly popular for both online and in-person transactions.</w:t>
      </w:r>
    </w:p>
    <w:p w14:paraId="3D7AD4DA" w14:textId="77777777" w:rsidR="006D0B40" w:rsidRPr="00BF30B6" w:rsidRDefault="006D0B40" w:rsidP="00BF30B6">
      <w:pPr>
        <w:pStyle w:val="Heading2"/>
        <w:ind w:left="-851"/>
        <w:jc w:val="both"/>
        <w:rPr>
          <w:rFonts w:ascii="Arial" w:hAnsi="Arial" w:cs="Arial"/>
          <w:b/>
          <w:bCs/>
          <w:color w:val="000000" w:themeColor="text1"/>
          <w:sz w:val="20"/>
          <w:szCs w:val="20"/>
        </w:rPr>
      </w:pPr>
      <w:r w:rsidRPr="00BF30B6">
        <w:rPr>
          <w:rFonts w:ascii="Arial" w:hAnsi="Arial" w:cs="Arial"/>
          <w:b/>
          <w:bCs/>
          <w:color w:val="000000" w:themeColor="text1"/>
          <w:sz w:val="20"/>
          <w:szCs w:val="20"/>
        </w:rPr>
        <w:t>New Markets</w:t>
      </w:r>
    </w:p>
    <w:p w14:paraId="5E60A359" w14:textId="62E64AD0" w:rsidR="006D0B40" w:rsidRPr="00BF30B6" w:rsidRDefault="006D0B40" w:rsidP="00BF30B6">
      <w:pPr>
        <w:ind w:left="-851"/>
        <w:jc w:val="both"/>
        <w:rPr>
          <w:rFonts w:ascii="Arial" w:hAnsi="Arial" w:cs="Arial"/>
          <w:sz w:val="20"/>
          <w:szCs w:val="20"/>
        </w:rPr>
      </w:pPr>
      <w:r w:rsidRPr="00BF30B6">
        <w:rPr>
          <w:rFonts w:ascii="Arial" w:hAnsi="Arial" w:cs="Arial"/>
          <w:sz w:val="20"/>
          <w:szCs w:val="20"/>
        </w:rPr>
        <w:t>Visa is actively exploring and penetrating new markets to drive growth and innovation:</w:t>
      </w:r>
    </w:p>
    <w:p w14:paraId="634DECF5" w14:textId="77777777" w:rsidR="006D0B40" w:rsidRPr="00BF30B6" w:rsidRDefault="006D0B40" w:rsidP="00BF30B6">
      <w:pPr>
        <w:pStyle w:val="ListParagraph"/>
        <w:numPr>
          <w:ilvl w:val="0"/>
          <w:numId w:val="4"/>
        </w:numPr>
        <w:jc w:val="both"/>
        <w:rPr>
          <w:rFonts w:ascii="Arial" w:hAnsi="Arial" w:cs="Arial"/>
          <w:sz w:val="20"/>
          <w:szCs w:val="20"/>
        </w:rPr>
      </w:pPr>
      <w:r w:rsidRPr="00BF30B6">
        <w:rPr>
          <w:rFonts w:ascii="Arial" w:hAnsi="Arial" w:cs="Arial"/>
          <w:b/>
          <w:bCs/>
          <w:sz w:val="20"/>
          <w:szCs w:val="20"/>
        </w:rPr>
        <w:t>Underbanked and Emerging Economies:</w:t>
      </w:r>
      <w:r w:rsidRPr="00BF30B6">
        <w:rPr>
          <w:rFonts w:ascii="Arial" w:hAnsi="Arial" w:cs="Arial"/>
          <w:sz w:val="20"/>
          <w:szCs w:val="20"/>
        </w:rPr>
        <w:t xml:space="preserve"> Visa focuses on financial inclusion by introducing prepaid and debit cards in regions with limited banking infrastructure, such as parts of Africa, Latin America, and Southeast Asia.</w:t>
      </w:r>
    </w:p>
    <w:p w14:paraId="5CA52DB7" w14:textId="77777777" w:rsidR="006D0B40" w:rsidRPr="00BF30B6" w:rsidRDefault="006D0B40" w:rsidP="00BF30B6">
      <w:pPr>
        <w:pStyle w:val="ListParagraph"/>
        <w:numPr>
          <w:ilvl w:val="0"/>
          <w:numId w:val="4"/>
        </w:numPr>
        <w:jc w:val="both"/>
        <w:rPr>
          <w:rFonts w:ascii="Arial" w:hAnsi="Arial" w:cs="Arial"/>
          <w:sz w:val="20"/>
          <w:szCs w:val="20"/>
        </w:rPr>
      </w:pPr>
      <w:r w:rsidRPr="00BF30B6">
        <w:rPr>
          <w:rFonts w:ascii="Arial" w:hAnsi="Arial" w:cs="Arial"/>
          <w:b/>
          <w:bCs/>
          <w:sz w:val="20"/>
          <w:szCs w:val="20"/>
        </w:rPr>
        <w:t>Real-Time Payments:</w:t>
      </w:r>
      <w:r w:rsidRPr="00BF30B6">
        <w:rPr>
          <w:rFonts w:ascii="Arial" w:hAnsi="Arial" w:cs="Arial"/>
          <w:sz w:val="20"/>
          <w:szCs w:val="20"/>
        </w:rPr>
        <w:t xml:space="preserve"> Expansion into real-time payment systems through partnerships and the development of Visa Direct, which processed over 7.5 billion transactions in FY2023​.</w:t>
      </w:r>
    </w:p>
    <w:p w14:paraId="28B8C237" w14:textId="459B9F43" w:rsidR="006D0B40" w:rsidRPr="00BF30B6" w:rsidRDefault="006D0B40" w:rsidP="00BF30B6">
      <w:pPr>
        <w:pStyle w:val="ListParagraph"/>
        <w:numPr>
          <w:ilvl w:val="0"/>
          <w:numId w:val="4"/>
        </w:numPr>
        <w:jc w:val="both"/>
        <w:rPr>
          <w:rFonts w:ascii="Arial" w:hAnsi="Arial" w:cs="Arial"/>
          <w:sz w:val="20"/>
          <w:szCs w:val="20"/>
        </w:rPr>
      </w:pPr>
      <w:r w:rsidRPr="00BF30B6">
        <w:rPr>
          <w:rFonts w:ascii="Arial" w:hAnsi="Arial" w:cs="Arial"/>
          <w:sz w:val="20"/>
          <w:szCs w:val="20"/>
        </w:rPr>
        <w:t>Blockchain and Cryptocurrency Integration: Initiatives such as Visa B2B Connect aim to facilitate blockchain-based cross-border transactions while reducing friction and enhancing security.</w:t>
      </w:r>
    </w:p>
    <w:p w14:paraId="7F9E770E" w14:textId="385F244E" w:rsidR="006D0B40" w:rsidRPr="00BF30B6" w:rsidRDefault="006D0B40" w:rsidP="00BF30B6">
      <w:pPr>
        <w:pStyle w:val="ListParagraph"/>
        <w:numPr>
          <w:ilvl w:val="0"/>
          <w:numId w:val="4"/>
        </w:numPr>
        <w:jc w:val="both"/>
        <w:rPr>
          <w:rFonts w:ascii="Arial" w:hAnsi="Arial" w:cs="Arial"/>
          <w:sz w:val="20"/>
          <w:szCs w:val="20"/>
        </w:rPr>
      </w:pPr>
      <w:r w:rsidRPr="00BF30B6">
        <w:rPr>
          <w:rFonts w:ascii="Arial" w:hAnsi="Arial" w:cs="Arial"/>
          <w:b/>
          <w:bCs/>
          <w:sz w:val="20"/>
          <w:szCs w:val="20"/>
        </w:rPr>
        <w:t>Value-Added Services</w:t>
      </w:r>
      <w:r w:rsidRPr="00BF30B6">
        <w:rPr>
          <w:rFonts w:ascii="Arial" w:hAnsi="Arial" w:cs="Arial"/>
          <w:sz w:val="20"/>
          <w:szCs w:val="20"/>
        </w:rPr>
        <w:t>: Visa is developing data-driven services, fraud prevention tools, and consulting services, diversifying its revenue streams, and strengthening its client relationships.</w:t>
      </w:r>
    </w:p>
    <w:p w14:paraId="327B346F" w14:textId="4918FEEB" w:rsidR="006D0B40" w:rsidRPr="00BF30B6" w:rsidRDefault="006D0B40" w:rsidP="00BF30B6">
      <w:pPr>
        <w:pStyle w:val="ListParagraph"/>
        <w:numPr>
          <w:ilvl w:val="0"/>
          <w:numId w:val="4"/>
        </w:numPr>
        <w:jc w:val="both"/>
        <w:rPr>
          <w:rFonts w:ascii="Arial" w:hAnsi="Arial" w:cs="Arial"/>
          <w:sz w:val="20"/>
          <w:szCs w:val="20"/>
        </w:rPr>
      </w:pPr>
      <w:r w:rsidRPr="00BF30B6">
        <w:rPr>
          <w:rFonts w:ascii="Arial" w:hAnsi="Arial" w:cs="Arial"/>
          <w:b/>
          <w:bCs/>
          <w:sz w:val="20"/>
          <w:szCs w:val="20"/>
        </w:rPr>
        <w:t>Business-to-Business (B2B) Payments</w:t>
      </w:r>
      <w:r w:rsidRPr="00BF30B6">
        <w:rPr>
          <w:rFonts w:ascii="Arial" w:hAnsi="Arial" w:cs="Arial"/>
          <w:sz w:val="20"/>
          <w:szCs w:val="20"/>
        </w:rPr>
        <w:t>: Visa's investments in solutions like Visa Commercial Solutions and Visa B2B Connect aim to digitize accounts payable and receivable processes globally.</w:t>
      </w:r>
    </w:p>
    <w:p w14:paraId="40307773" w14:textId="4BD5D5EE" w:rsidR="009E45B4" w:rsidRPr="00BF30B6" w:rsidRDefault="003D2D16" w:rsidP="00BF30B6">
      <w:pPr>
        <w:pStyle w:val="Heading1"/>
        <w:ind w:left="-851" w:right="-897"/>
        <w:jc w:val="both"/>
        <w:rPr>
          <w:rFonts w:ascii="Arial" w:hAnsi="Arial" w:cs="Arial"/>
          <w:b/>
          <w:bCs/>
          <w:color w:val="000000" w:themeColor="text1"/>
          <w:sz w:val="28"/>
          <w:szCs w:val="28"/>
        </w:rPr>
      </w:pPr>
      <w:r w:rsidRPr="00BF30B6">
        <w:rPr>
          <w:rFonts w:ascii="Arial" w:hAnsi="Arial" w:cs="Arial"/>
          <w:b/>
          <w:bCs/>
          <w:color w:val="000000" w:themeColor="text1"/>
          <w:sz w:val="28"/>
          <w:szCs w:val="28"/>
        </w:rPr>
        <w:t>Visa Inc. Revenue and Cost Drivers</w:t>
      </w:r>
    </w:p>
    <w:p w14:paraId="16A80BC0" w14:textId="3D5B6C26" w:rsidR="00D702E8" w:rsidRPr="00BF30B6" w:rsidRDefault="009E45B4" w:rsidP="00BF30B6">
      <w:pPr>
        <w:ind w:left="-851" w:right="-897"/>
        <w:jc w:val="both"/>
        <w:rPr>
          <w:rFonts w:ascii="Arial" w:hAnsi="Arial" w:cs="Arial"/>
          <w:sz w:val="20"/>
          <w:szCs w:val="20"/>
        </w:rPr>
      </w:pPr>
      <w:r w:rsidRPr="00BF30B6">
        <w:rPr>
          <w:rFonts w:ascii="Arial" w:hAnsi="Arial" w:cs="Arial"/>
          <w:sz w:val="20"/>
          <w:szCs w:val="20"/>
        </w:rPr>
        <w:t xml:space="preserve">Below is the revenue structure as of three </w:t>
      </w:r>
      <w:r w:rsidR="003D2D16" w:rsidRPr="00BF30B6">
        <w:rPr>
          <w:rFonts w:ascii="Arial" w:hAnsi="Arial" w:cs="Arial"/>
          <w:sz w:val="20"/>
          <w:szCs w:val="20"/>
        </w:rPr>
        <w:t>months</w:t>
      </w:r>
      <w:r w:rsidRPr="00BF30B6">
        <w:rPr>
          <w:rFonts w:ascii="Arial" w:hAnsi="Arial" w:cs="Arial"/>
          <w:sz w:val="20"/>
          <w:szCs w:val="20"/>
        </w:rPr>
        <w:t xml:space="preserve"> ended and nine month</w:t>
      </w:r>
      <w:r w:rsidR="00BF30B6">
        <w:rPr>
          <w:rFonts w:ascii="Arial" w:hAnsi="Arial" w:cs="Arial"/>
          <w:sz w:val="20"/>
          <w:szCs w:val="20"/>
        </w:rPr>
        <w:t>s</w:t>
      </w:r>
      <w:r w:rsidRPr="00BF30B6">
        <w:rPr>
          <w:rFonts w:ascii="Arial" w:hAnsi="Arial" w:cs="Arial"/>
          <w:sz w:val="20"/>
          <w:szCs w:val="20"/>
        </w:rPr>
        <w:t xml:space="preserve"> ended 30 June (</w:t>
      </w:r>
      <w:proofErr w:type="spellStart"/>
      <w:r w:rsidRPr="00BF30B6">
        <w:rPr>
          <w:rFonts w:ascii="Arial" w:hAnsi="Arial" w:cs="Arial"/>
          <w:sz w:val="20"/>
          <w:szCs w:val="20"/>
        </w:rPr>
        <w:t>i.e</w:t>
      </w:r>
      <w:proofErr w:type="spellEnd"/>
      <w:r w:rsidRPr="00BF30B6">
        <w:rPr>
          <w:rFonts w:ascii="Arial" w:hAnsi="Arial" w:cs="Arial"/>
          <w:sz w:val="20"/>
          <w:szCs w:val="20"/>
        </w:rPr>
        <w:t xml:space="preserve"> Quarter 3 results) for Visa Inc. </w:t>
      </w:r>
      <w:r w:rsidR="003D2D16" w:rsidRPr="00BF30B6">
        <w:rPr>
          <w:rFonts w:ascii="Arial" w:hAnsi="Arial" w:cs="Arial"/>
          <w:sz w:val="20"/>
          <w:szCs w:val="20"/>
        </w:rPr>
        <w:t xml:space="preserve"> This along with </w:t>
      </w:r>
      <w:r w:rsidR="00BF30B6">
        <w:rPr>
          <w:rFonts w:ascii="Arial" w:hAnsi="Arial" w:cs="Arial"/>
          <w:sz w:val="20"/>
          <w:szCs w:val="20"/>
        </w:rPr>
        <w:t>quarters</w:t>
      </w:r>
      <w:r w:rsidR="003D2D16" w:rsidRPr="00BF30B6">
        <w:rPr>
          <w:rFonts w:ascii="Arial" w:hAnsi="Arial" w:cs="Arial"/>
          <w:sz w:val="20"/>
          <w:szCs w:val="20"/>
        </w:rPr>
        <w:t xml:space="preserve"> 1 and 2 and </w:t>
      </w:r>
      <w:r w:rsidR="00BF30B6">
        <w:rPr>
          <w:rFonts w:ascii="Arial" w:hAnsi="Arial" w:cs="Arial"/>
          <w:sz w:val="20"/>
          <w:szCs w:val="20"/>
        </w:rPr>
        <w:t>the </w:t>
      </w:r>
      <w:r w:rsidR="003D2D16" w:rsidRPr="00BF30B6">
        <w:rPr>
          <w:rFonts w:ascii="Arial" w:hAnsi="Arial" w:cs="Arial"/>
          <w:sz w:val="20"/>
          <w:szCs w:val="20"/>
        </w:rPr>
        <w:t>Annual Report for 2023 would act as ou</w:t>
      </w:r>
      <w:r w:rsidR="00BF30B6">
        <w:rPr>
          <w:rFonts w:ascii="Arial" w:hAnsi="Arial" w:cs="Arial"/>
          <w:sz w:val="20"/>
          <w:szCs w:val="20"/>
        </w:rPr>
        <w:t>r</w:t>
      </w:r>
      <w:r w:rsidR="003D2D16" w:rsidRPr="00BF30B6">
        <w:rPr>
          <w:rFonts w:ascii="Arial" w:hAnsi="Arial" w:cs="Arial"/>
          <w:sz w:val="20"/>
          <w:szCs w:val="20"/>
        </w:rPr>
        <w:t xml:space="preserve"> basis for revenue driver. </w:t>
      </w:r>
    </w:p>
    <w:p w14:paraId="7FE40E8E" w14:textId="53AE1934" w:rsidR="009E45B4" w:rsidRPr="00BF30B6" w:rsidRDefault="003712DD" w:rsidP="00BF30B6">
      <w:pPr>
        <w:ind w:left="-851" w:right="-897"/>
        <w:jc w:val="center"/>
        <w:rPr>
          <w:rFonts w:ascii="Arial" w:hAnsi="Arial" w:cs="Arial"/>
          <w:sz w:val="20"/>
          <w:szCs w:val="20"/>
        </w:rPr>
      </w:pPr>
      <w:r w:rsidRPr="00BF30B6">
        <w:rPr>
          <w:rFonts w:ascii="Arial" w:hAnsi="Arial" w:cs="Arial"/>
          <w:noProof/>
          <w:sz w:val="20"/>
          <w:szCs w:val="20"/>
        </w:rPr>
        <w:drawing>
          <wp:inline distT="0" distB="0" distL="0" distR="0" wp14:anchorId="5909C1E5" wp14:editId="58AC2DDA">
            <wp:extent cx="5238750" cy="2162175"/>
            <wp:effectExtent l="0" t="0" r="0" b="0"/>
            <wp:docPr id="331652287" name="Chart 1">
              <a:extLst xmlns:a="http://schemas.openxmlformats.org/drawingml/2006/main">
                <a:ext uri="{FF2B5EF4-FFF2-40B4-BE49-F238E27FC236}">
                  <a16:creationId xmlns:a16="http://schemas.microsoft.com/office/drawing/2014/main" id="{B46543CB-BDEE-864F-3E99-CC5F591BB1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TableGrid"/>
        <w:tblW w:w="10490" w:type="dxa"/>
        <w:tblInd w:w="-572" w:type="dxa"/>
        <w:tblLook w:val="04A0" w:firstRow="1" w:lastRow="0" w:firstColumn="1" w:lastColumn="0" w:noHBand="0" w:noVBand="1"/>
      </w:tblPr>
      <w:tblGrid>
        <w:gridCol w:w="3969"/>
        <w:gridCol w:w="6521"/>
      </w:tblGrid>
      <w:tr w:rsidR="00796F21" w:rsidRPr="00BF30B6" w14:paraId="6356D2E3" w14:textId="77777777" w:rsidTr="0074195B">
        <w:tc>
          <w:tcPr>
            <w:tcW w:w="3969" w:type="dxa"/>
          </w:tcPr>
          <w:p w14:paraId="2CCE2068" w14:textId="77777777" w:rsidR="00796F21" w:rsidRPr="00BF30B6" w:rsidRDefault="00796F21" w:rsidP="00BF30B6">
            <w:pPr>
              <w:jc w:val="center"/>
              <w:rPr>
                <w:rFonts w:ascii="Arial" w:hAnsi="Arial" w:cs="Arial"/>
                <w:b/>
                <w:bCs/>
                <w:sz w:val="20"/>
                <w:szCs w:val="20"/>
              </w:rPr>
            </w:pPr>
            <w:r w:rsidRPr="00BF30B6">
              <w:rPr>
                <w:rFonts w:ascii="Arial" w:hAnsi="Arial" w:cs="Arial"/>
                <w:b/>
                <w:bCs/>
                <w:sz w:val="20"/>
                <w:szCs w:val="20"/>
              </w:rPr>
              <w:t>Revenue Drivers</w:t>
            </w:r>
          </w:p>
        </w:tc>
        <w:tc>
          <w:tcPr>
            <w:tcW w:w="6521" w:type="dxa"/>
          </w:tcPr>
          <w:p w14:paraId="7ABDEDC0" w14:textId="77777777" w:rsidR="00796F21" w:rsidRPr="00BF30B6" w:rsidRDefault="00796F21" w:rsidP="00BF30B6">
            <w:pPr>
              <w:jc w:val="center"/>
              <w:rPr>
                <w:rFonts w:ascii="Arial" w:hAnsi="Arial" w:cs="Arial"/>
                <w:b/>
                <w:bCs/>
                <w:sz w:val="20"/>
                <w:szCs w:val="20"/>
              </w:rPr>
            </w:pPr>
            <w:r w:rsidRPr="00BF30B6">
              <w:rPr>
                <w:rFonts w:ascii="Arial" w:hAnsi="Arial" w:cs="Arial"/>
                <w:b/>
                <w:bCs/>
                <w:sz w:val="20"/>
                <w:szCs w:val="20"/>
              </w:rPr>
              <w:t>Description</w:t>
            </w:r>
          </w:p>
        </w:tc>
      </w:tr>
      <w:tr w:rsidR="00796F21" w:rsidRPr="00BF30B6" w14:paraId="21B89981" w14:textId="77777777" w:rsidTr="0074195B">
        <w:tc>
          <w:tcPr>
            <w:tcW w:w="3969" w:type="dxa"/>
          </w:tcPr>
          <w:p w14:paraId="14E53D49" w14:textId="77777777" w:rsidR="00796F21" w:rsidRPr="00BF30B6" w:rsidRDefault="00796F21" w:rsidP="00BF30B6">
            <w:pPr>
              <w:jc w:val="both"/>
              <w:rPr>
                <w:rFonts w:ascii="Arial" w:hAnsi="Arial" w:cs="Arial"/>
                <w:sz w:val="20"/>
                <w:szCs w:val="20"/>
              </w:rPr>
            </w:pPr>
            <w:r w:rsidRPr="00BF30B6">
              <w:rPr>
                <w:rFonts w:ascii="Arial" w:hAnsi="Arial" w:cs="Arial"/>
                <w:sz w:val="20"/>
                <w:szCs w:val="20"/>
              </w:rPr>
              <w:t>Transaction Fees (Volume)</w:t>
            </w:r>
          </w:p>
        </w:tc>
        <w:tc>
          <w:tcPr>
            <w:tcW w:w="6521" w:type="dxa"/>
          </w:tcPr>
          <w:p w14:paraId="396CE5CC" w14:textId="77777777" w:rsidR="00796F21" w:rsidRPr="00BF30B6" w:rsidRDefault="00796F21" w:rsidP="00BF30B6">
            <w:pPr>
              <w:jc w:val="both"/>
              <w:rPr>
                <w:rFonts w:ascii="Arial" w:hAnsi="Arial" w:cs="Arial"/>
                <w:sz w:val="20"/>
                <w:szCs w:val="20"/>
              </w:rPr>
            </w:pPr>
            <w:r w:rsidRPr="00BF30B6">
              <w:rPr>
                <w:rFonts w:ascii="Arial" w:hAnsi="Arial" w:cs="Arial"/>
                <w:sz w:val="20"/>
                <w:szCs w:val="20"/>
              </w:rPr>
              <w:t>Revenue generated from the total number of transactions processed across Visa's payment network.</w:t>
            </w:r>
          </w:p>
        </w:tc>
      </w:tr>
      <w:tr w:rsidR="00796F21" w:rsidRPr="00BF30B6" w14:paraId="61F8BB04" w14:textId="77777777" w:rsidTr="0074195B">
        <w:tc>
          <w:tcPr>
            <w:tcW w:w="3969" w:type="dxa"/>
          </w:tcPr>
          <w:p w14:paraId="41E5ADE6" w14:textId="77777777" w:rsidR="00796F21" w:rsidRPr="00BF30B6" w:rsidRDefault="00796F21" w:rsidP="00BF30B6">
            <w:pPr>
              <w:jc w:val="both"/>
              <w:rPr>
                <w:rFonts w:ascii="Arial" w:hAnsi="Arial" w:cs="Arial"/>
                <w:sz w:val="20"/>
                <w:szCs w:val="20"/>
              </w:rPr>
            </w:pPr>
            <w:r w:rsidRPr="00BF30B6">
              <w:rPr>
                <w:rFonts w:ascii="Arial" w:hAnsi="Arial" w:cs="Arial"/>
                <w:sz w:val="20"/>
                <w:szCs w:val="20"/>
              </w:rPr>
              <w:t>Cross-Border Fees</w:t>
            </w:r>
          </w:p>
        </w:tc>
        <w:tc>
          <w:tcPr>
            <w:tcW w:w="6521" w:type="dxa"/>
          </w:tcPr>
          <w:p w14:paraId="234D27B3" w14:textId="77777777" w:rsidR="00796F21" w:rsidRPr="00BF30B6" w:rsidRDefault="00796F21" w:rsidP="00BF30B6">
            <w:pPr>
              <w:jc w:val="both"/>
              <w:rPr>
                <w:rFonts w:ascii="Arial" w:hAnsi="Arial" w:cs="Arial"/>
                <w:sz w:val="20"/>
                <w:szCs w:val="20"/>
              </w:rPr>
            </w:pPr>
            <w:r w:rsidRPr="00BF30B6">
              <w:rPr>
                <w:rFonts w:ascii="Arial" w:hAnsi="Arial" w:cs="Arial"/>
                <w:sz w:val="20"/>
                <w:szCs w:val="20"/>
              </w:rPr>
              <w:t>Higher fees associated with international transactions due to additional complexity and risk.</w:t>
            </w:r>
          </w:p>
        </w:tc>
      </w:tr>
      <w:tr w:rsidR="00796F21" w:rsidRPr="00BF30B6" w14:paraId="06E444E0" w14:textId="77777777" w:rsidTr="0074195B">
        <w:tc>
          <w:tcPr>
            <w:tcW w:w="3969" w:type="dxa"/>
          </w:tcPr>
          <w:p w14:paraId="1E2B831D" w14:textId="77777777" w:rsidR="00796F21" w:rsidRPr="00BF30B6" w:rsidRDefault="00796F21" w:rsidP="00BF30B6">
            <w:pPr>
              <w:jc w:val="both"/>
              <w:rPr>
                <w:rFonts w:ascii="Arial" w:hAnsi="Arial" w:cs="Arial"/>
                <w:sz w:val="20"/>
                <w:szCs w:val="20"/>
              </w:rPr>
            </w:pPr>
            <w:r w:rsidRPr="00BF30B6">
              <w:rPr>
                <w:rFonts w:ascii="Arial" w:hAnsi="Arial" w:cs="Arial"/>
                <w:sz w:val="20"/>
                <w:szCs w:val="20"/>
              </w:rPr>
              <w:t>Value-Added Services</w:t>
            </w:r>
          </w:p>
        </w:tc>
        <w:tc>
          <w:tcPr>
            <w:tcW w:w="6521" w:type="dxa"/>
          </w:tcPr>
          <w:p w14:paraId="0651B047" w14:textId="77777777" w:rsidR="00796F21" w:rsidRPr="00BF30B6" w:rsidRDefault="00796F21" w:rsidP="00BF30B6">
            <w:pPr>
              <w:jc w:val="both"/>
              <w:rPr>
                <w:rFonts w:ascii="Arial" w:hAnsi="Arial" w:cs="Arial"/>
                <w:sz w:val="20"/>
                <w:szCs w:val="20"/>
              </w:rPr>
            </w:pPr>
            <w:r w:rsidRPr="00BF30B6">
              <w:rPr>
                <w:rFonts w:ascii="Arial" w:hAnsi="Arial" w:cs="Arial"/>
                <w:sz w:val="20"/>
                <w:szCs w:val="20"/>
              </w:rPr>
              <w:t>Income from fraud prevention, data analytics, consulting, and advisory services.</w:t>
            </w:r>
          </w:p>
        </w:tc>
      </w:tr>
      <w:tr w:rsidR="00796F21" w:rsidRPr="00BF30B6" w14:paraId="60A58188" w14:textId="77777777" w:rsidTr="0074195B">
        <w:tc>
          <w:tcPr>
            <w:tcW w:w="3969" w:type="dxa"/>
          </w:tcPr>
          <w:p w14:paraId="7E32F7E0" w14:textId="77777777" w:rsidR="00796F21" w:rsidRPr="00BF30B6" w:rsidRDefault="00796F21" w:rsidP="00BF30B6">
            <w:pPr>
              <w:jc w:val="both"/>
              <w:rPr>
                <w:rFonts w:ascii="Arial" w:hAnsi="Arial" w:cs="Arial"/>
                <w:sz w:val="20"/>
                <w:szCs w:val="20"/>
              </w:rPr>
            </w:pPr>
            <w:r w:rsidRPr="00BF30B6">
              <w:rPr>
                <w:rFonts w:ascii="Arial" w:hAnsi="Arial" w:cs="Arial"/>
                <w:sz w:val="20"/>
                <w:szCs w:val="20"/>
              </w:rPr>
              <w:t>Licensing Fees</w:t>
            </w:r>
          </w:p>
        </w:tc>
        <w:tc>
          <w:tcPr>
            <w:tcW w:w="6521" w:type="dxa"/>
          </w:tcPr>
          <w:p w14:paraId="045C368D" w14:textId="77777777" w:rsidR="00796F21" w:rsidRPr="00BF30B6" w:rsidRDefault="00796F21" w:rsidP="00BF30B6">
            <w:pPr>
              <w:jc w:val="both"/>
              <w:rPr>
                <w:rFonts w:ascii="Arial" w:hAnsi="Arial" w:cs="Arial"/>
                <w:sz w:val="20"/>
                <w:szCs w:val="20"/>
              </w:rPr>
            </w:pPr>
            <w:r w:rsidRPr="00BF30B6">
              <w:rPr>
                <w:rFonts w:ascii="Arial" w:hAnsi="Arial" w:cs="Arial"/>
                <w:sz w:val="20"/>
                <w:szCs w:val="20"/>
              </w:rPr>
              <w:t>Revenue from financial institutions for using Visa's brand and technology.</w:t>
            </w:r>
          </w:p>
        </w:tc>
      </w:tr>
      <w:tr w:rsidR="00796F21" w:rsidRPr="00BF30B6" w14:paraId="7593593E" w14:textId="77777777" w:rsidTr="0074195B">
        <w:tc>
          <w:tcPr>
            <w:tcW w:w="3969" w:type="dxa"/>
          </w:tcPr>
          <w:p w14:paraId="48673518" w14:textId="77777777" w:rsidR="00796F21" w:rsidRPr="00BF30B6" w:rsidRDefault="00796F21" w:rsidP="00BF30B6">
            <w:pPr>
              <w:jc w:val="both"/>
              <w:rPr>
                <w:rFonts w:ascii="Arial" w:hAnsi="Arial" w:cs="Arial"/>
                <w:sz w:val="20"/>
                <w:szCs w:val="20"/>
              </w:rPr>
            </w:pPr>
            <w:r w:rsidRPr="00BF30B6">
              <w:rPr>
                <w:rFonts w:ascii="Arial" w:hAnsi="Arial" w:cs="Arial"/>
                <w:sz w:val="20"/>
                <w:szCs w:val="20"/>
              </w:rPr>
              <w:t>Partnership Revenues</w:t>
            </w:r>
          </w:p>
        </w:tc>
        <w:tc>
          <w:tcPr>
            <w:tcW w:w="6521" w:type="dxa"/>
          </w:tcPr>
          <w:p w14:paraId="3A6CA8C5" w14:textId="77777777" w:rsidR="00796F21" w:rsidRPr="00BF30B6" w:rsidRDefault="00796F21" w:rsidP="00BF30B6">
            <w:pPr>
              <w:jc w:val="both"/>
              <w:rPr>
                <w:rFonts w:ascii="Arial" w:hAnsi="Arial" w:cs="Arial"/>
                <w:sz w:val="20"/>
                <w:szCs w:val="20"/>
              </w:rPr>
            </w:pPr>
            <w:r w:rsidRPr="00BF30B6">
              <w:rPr>
                <w:rFonts w:ascii="Arial" w:hAnsi="Arial" w:cs="Arial"/>
                <w:sz w:val="20"/>
                <w:szCs w:val="20"/>
              </w:rPr>
              <w:t>Generated through strategic partnerships with fintech and digital wallet providers.</w:t>
            </w:r>
          </w:p>
        </w:tc>
      </w:tr>
      <w:tr w:rsidR="00796F21" w:rsidRPr="00BF30B6" w14:paraId="763B2A2D" w14:textId="77777777" w:rsidTr="0074195B">
        <w:tc>
          <w:tcPr>
            <w:tcW w:w="3969" w:type="dxa"/>
          </w:tcPr>
          <w:p w14:paraId="30D38AE6" w14:textId="77777777" w:rsidR="00796F21" w:rsidRPr="00BF30B6" w:rsidRDefault="00796F21" w:rsidP="00BF30B6">
            <w:pPr>
              <w:jc w:val="both"/>
              <w:rPr>
                <w:rFonts w:ascii="Arial" w:hAnsi="Arial" w:cs="Arial"/>
                <w:sz w:val="20"/>
                <w:szCs w:val="20"/>
              </w:rPr>
            </w:pPr>
            <w:r w:rsidRPr="00BF30B6">
              <w:rPr>
                <w:rFonts w:ascii="Arial" w:hAnsi="Arial" w:cs="Arial"/>
                <w:sz w:val="20"/>
                <w:szCs w:val="20"/>
              </w:rPr>
              <w:t>Card Issuance Growth</w:t>
            </w:r>
          </w:p>
        </w:tc>
        <w:tc>
          <w:tcPr>
            <w:tcW w:w="6521" w:type="dxa"/>
          </w:tcPr>
          <w:p w14:paraId="3E845845" w14:textId="77777777" w:rsidR="00796F21" w:rsidRPr="00BF30B6" w:rsidRDefault="00796F21" w:rsidP="00BF30B6">
            <w:pPr>
              <w:jc w:val="both"/>
              <w:rPr>
                <w:rFonts w:ascii="Arial" w:hAnsi="Arial" w:cs="Arial"/>
                <w:sz w:val="20"/>
                <w:szCs w:val="20"/>
              </w:rPr>
            </w:pPr>
            <w:r w:rsidRPr="00BF30B6">
              <w:rPr>
                <w:rFonts w:ascii="Arial" w:hAnsi="Arial" w:cs="Arial"/>
                <w:sz w:val="20"/>
                <w:szCs w:val="20"/>
              </w:rPr>
              <w:t>Increased issuance of debit, credit, and prepaid cards driving consumer and commercial usage.</w:t>
            </w:r>
          </w:p>
        </w:tc>
      </w:tr>
    </w:tbl>
    <w:p w14:paraId="232F27CA" w14:textId="77777777" w:rsidR="00796F21" w:rsidRPr="00BF30B6" w:rsidRDefault="00796F21" w:rsidP="00BF30B6">
      <w:pPr>
        <w:ind w:left="-851" w:right="-897"/>
        <w:jc w:val="both"/>
        <w:rPr>
          <w:rFonts w:ascii="Arial" w:hAnsi="Arial" w:cs="Arial"/>
          <w:sz w:val="20"/>
          <w:szCs w:val="20"/>
        </w:rPr>
      </w:pPr>
    </w:p>
    <w:p w14:paraId="3B8B3327" w14:textId="77777777" w:rsidR="0074195B" w:rsidRPr="00BF30B6" w:rsidRDefault="00796F21" w:rsidP="00BF30B6">
      <w:pPr>
        <w:ind w:left="-851" w:right="-897"/>
        <w:jc w:val="both"/>
        <w:rPr>
          <w:rFonts w:ascii="Arial" w:hAnsi="Arial" w:cs="Arial"/>
          <w:b/>
          <w:bCs/>
          <w:sz w:val="20"/>
          <w:szCs w:val="20"/>
        </w:rPr>
      </w:pPr>
      <w:r w:rsidRPr="00BF30B6">
        <w:rPr>
          <w:rFonts w:ascii="Arial" w:hAnsi="Arial" w:cs="Arial"/>
          <w:b/>
          <w:bCs/>
          <w:sz w:val="20"/>
          <w:szCs w:val="20"/>
        </w:rPr>
        <w:t>Performance Analysis of Revenue Drivers</w:t>
      </w:r>
    </w:p>
    <w:p w14:paraId="178A3C37" w14:textId="77777777" w:rsidR="0074195B" w:rsidRPr="00BF30B6" w:rsidRDefault="00796F21" w:rsidP="00BF30B6">
      <w:pPr>
        <w:pStyle w:val="ListParagraph"/>
        <w:numPr>
          <w:ilvl w:val="0"/>
          <w:numId w:val="5"/>
        </w:numPr>
        <w:ind w:right="-897"/>
        <w:jc w:val="both"/>
        <w:rPr>
          <w:rFonts w:ascii="Arial" w:hAnsi="Arial" w:cs="Arial"/>
          <w:sz w:val="20"/>
          <w:szCs w:val="20"/>
        </w:rPr>
      </w:pPr>
      <w:r w:rsidRPr="00BF30B6">
        <w:rPr>
          <w:rFonts w:ascii="Arial" w:hAnsi="Arial" w:cs="Arial"/>
          <w:sz w:val="20"/>
          <w:szCs w:val="20"/>
        </w:rPr>
        <w:lastRenderedPageBreak/>
        <w:t>Transaction Fees: Transaction volumes reached 276 billion in FY2023, driving a significant portion of Visa's $32.65 billion revenue.</w:t>
      </w:r>
    </w:p>
    <w:p w14:paraId="37C7E689" w14:textId="77777777" w:rsidR="0074195B" w:rsidRPr="00BF30B6" w:rsidRDefault="00796F21" w:rsidP="00BF30B6">
      <w:pPr>
        <w:pStyle w:val="ListParagraph"/>
        <w:numPr>
          <w:ilvl w:val="0"/>
          <w:numId w:val="5"/>
        </w:numPr>
        <w:ind w:right="-897"/>
        <w:jc w:val="both"/>
        <w:rPr>
          <w:rFonts w:ascii="Arial" w:hAnsi="Arial" w:cs="Arial"/>
          <w:sz w:val="20"/>
          <w:szCs w:val="20"/>
        </w:rPr>
      </w:pPr>
      <w:r w:rsidRPr="00BF30B6">
        <w:rPr>
          <w:rFonts w:ascii="Arial" w:hAnsi="Arial" w:cs="Arial"/>
          <w:sz w:val="20"/>
          <w:szCs w:val="20"/>
        </w:rPr>
        <w:t>Cross-Border Transactions: This segment grew by over 15% in FY2023 due to recovering international travel post-pandemic.</w:t>
      </w:r>
    </w:p>
    <w:p w14:paraId="2A985951" w14:textId="6EFCD176" w:rsidR="00796F21" w:rsidRPr="00BF30B6" w:rsidRDefault="00796F21" w:rsidP="00BF30B6">
      <w:pPr>
        <w:pStyle w:val="ListParagraph"/>
        <w:numPr>
          <w:ilvl w:val="0"/>
          <w:numId w:val="5"/>
        </w:numPr>
        <w:ind w:right="-897"/>
        <w:jc w:val="both"/>
        <w:rPr>
          <w:rFonts w:ascii="Arial" w:hAnsi="Arial" w:cs="Arial"/>
          <w:sz w:val="20"/>
          <w:szCs w:val="20"/>
        </w:rPr>
      </w:pPr>
      <w:r w:rsidRPr="00BF30B6">
        <w:rPr>
          <w:rFonts w:ascii="Arial" w:hAnsi="Arial" w:cs="Arial"/>
          <w:sz w:val="20"/>
          <w:szCs w:val="20"/>
        </w:rPr>
        <w:t>Value-Added Services</w:t>
      </w:r>
      <w:r w:rsidR="0074195B" w:rsidRPr="00BF30B6">
        <w:rPr>
          <w:rFonts w:ascii="Arial" w:hAnsi="Arial" w:cs="Arial"/>
          <w:sz w:val="20"/>
          <w:szCs w:val="20"/>
        </w:rPr>
        <w:t xml:space="preserve">: </w:t>
      </w:r>
      <w:r w:rsidRPr="00BF30B6">
        <w:rPr>
          <w:rFonts w:ascii="Arial" w:hAnsi="Arial" w:cs="Arial"/>
          <w:sz w:val="20"/>
          <w:szCs w:val="20"/>
        </w:rPr>
        <w:t xml:space="preserve"> Represent a smaller but fast-growing segment, bolstered by consulting engagements that generated over $3 billion for clients in FY2023.</w:t>
      </w:r>
    </w:p>
    <w:p w14:paraId="31A7315F" w14:textId="77777777" w:rsidR="00796F21" w:rsidRPr="00BF30B6" w:rsidRDefault="00796F21" w:rsidP="00BF30B6">
      <w:pPr>
        <w:ind w:left="-851" w:right="-897"/>
        <w:jc w:val="both"/>
        <w:rPr>
          <w:rFonts w:ascii="Arial" w:hAnsi="Arial" w:cs="Arial"/>
          <w:b/>
          <w:bCs/>
          <w:sz w:val="20"/>
          <w:szCs w:val="20"/>
        </w:rPr>
      </w:pPr>
      <w:r w:rsidRPr="00BF30B6">
        <w:rPr>
          <w:rFonts w:ascii="Arial" w:hAnsi="Arial" w:cs="Arial"/>
          <w:b/>
          <w:bCs/>
          <w:sz w:val="20"/>
          <w:szCs w:val="20"/>
        </w:rPr>
        <w:t>Cost Drivers</w:t>
      </w:r>
    </w:p>
    <w:p w14:paraId="761DE525" w14:textId="77777777" w:rsidR="00796F21" w:rsidRPr="00BF30B6" w:rsidRDefault="00796F21" w:rsidP="00BF30B6">
      <w:pPr>
        <w:ind w:left="-851" w:right="-897"/>
        <w:jc w:val="both"/>
        <w:rPr>
          <w:rFonts w:ascii="Arial" w:hAnsi="Arial" w:cs="Arial"/>
          <w:sz w:val="20"/>
          <w:szCs w:val="20"/>
        </w:rPr>
      </w:pPr>
      <w:r w:rsidRPr="00BF30B6">
        <w:rPr>
          <w:rFonts w:ascii="Arial" w:hAnsi="Arial" w:cs="Arial"/>
          <w:sz w:val="20"/>
          <w:szCs w:val="20"/>
        </w:rPr>
        <w:t>The table below details Visa Inc.'s primary cost components and their variability:</w:t>
      </w:r>
    </w:p>
    <w:tbl>
      <w:tblPr>
        <w:tblStyle w:val="TableGrid"/>
        <w:tblW w:w="10490" w:type="dxa"/>
        <w:tblInd w:w="-714" w:type="dxa"/>
        <w:tblLook w:val="04A0" w:firstRow="1" w:lastRow="0" w:firstColumn="1" w:lastColumn="0" w:noHBand="0" w:noVBand="1"/>
      </w:tblPr>
      <w:tblGrid>
        <w:gridCol w:w="3544"/>
        <w:gridCol w:w="6946"/>
      </w:tblGrid>
      <w:tr w:rsidR="0074195B" w:rsidRPr="00BF30B6" w14:paraId="567FC7DA" w14:textId="77777777" w:rsidTr="0074195B">
        <w:tc>
          <w:tcPr>
            <w:tcW w:w="3544" w:type="dxa"/>
          </w:tcPr>
          <w:p w14:paraId="00DB3341" w14:textId="77777777" w:rsidR="0074195B" w:rsidRPr="00BF30B6" w:rsidRDefault="0074195B" w:rsidP="00BF30B6">
            <w:pPr>
              <w:jc w:val="both"/>
              <w:rPr>
                <w:rFonts w:ascii="Arial" w:hAnsi="Arial" w:cs="Arial"/>
                <w:b/>
                <w:bCs/>
                <w:sz w:val="20"/>
                <w:szCs w:val="20"/>
              </w:rPr>
            </w:pPr>
            <w:r w:rsidRPr="00BF30B6">
              <w:rPr>
                <w:rFonts w:ascii="Arial" w:hAnsi="Arial" w:cs="Arial"/>
                <w:b/>
                <w:bCs/>
                <w:sz w:val="20"/>
                <w:szCs w:val="20"/>
              </w:rPr>
              <w:t>Cost Drivers</w:t>
            </w:r>
          </w:p>
        </w:tc>
        <w:tc>
          <w:tcPr>
            <w:tcW w:w="6946" w:type="dxa"/>
          </w:tcPr>
          <w:p w14:paraId="744A03C6" w14:textId="77777777" w:rsidR="0074195B" w:rsidRPr="00BF30B6" w:rsidRDefault="0074195B" w:rsidP="00BF30B6">
            <w:pPr>
              <w:jc w:val="both"/>
              <w:rPr>
                <w:rFonts w:ascii="Arial" w:hAnsi="Arial" w:cs="Arial"/>
                <w:b/>
                <w:bCs/>
                <w:sz w:val="20"/>
                <w:szCs w:val="20"/>
              </w:rPr>
            </w:pPr>
            <w:r w:rsidRPr="00BF30B6">
              <w:rPr>
                <w:rFonts w:ascii="Arial" w:hAnsi="Arial" w:cs="Arial"/>
                <w:b/>
                <w:bCs/>
                <w:sz w:val="20"/>
                <w:szCs w:val="20"/>
              </w:rPr>
              <w:t>Description</w:t>
            </w:r>
          </w:p>
        </w:tc>
      </w:tr>
      <w:tr w:rsidR="0074195B" w:rsidRPr="00BF30B6" w14:paraId="6A480B59" w14:textId="77777777" w:rsidTr="0074195B">
        <w:tc>
          <w:tcPr>
            <w:tcW w:w="3544" w:type="dxa"/>
          </w:tcPr>
          <w:p w14:paraId="7F22E469" w14:textId="77777777" w:rsidR="0074195B" w:rsidRPr="00BF30B6" w:rsidRDefault="0074195B" w:rsidP="00BF30B6">
            <w:pPr>
              <w:jc w:val="both"/>
              <w:rPr>
                <w:rFonts w:ascii="Arial" w:hAnsi="Arial" w:cs="Arial"/>
                <w:sz w:val="20"/>
                <w:szCs w:val="20"/>
              </w:rPr>
            </w:pPr>
            <w:r w:rsidRPr="00BF30B6">
              <w:rPr>
                <w:rFonts w:ascii="Arial" w:hAnsi="Arial" w:cs="Arial"/>
                <w:sz w:val="20"/>
                <w:szCs w:val="20"/>
              </w:rPr>
              <w:t>Network Maintenance (Fixed)</w:t>
            </w:r>
          </w:p>
        </w:tc>
        <w:tc>
          <w:tcPr>
            <w:tcW w:w="6946" w:type="dxa"/>
          </w:tcPr>
          <w:p w14:paraId="78A197C3" w14:textId="77777777" w:rsidR="0074195B" w:rsidRPr="00BF30B6" w:rsidRDefault="0074195B" w:rsidP="00BF30B6">
            <w:pPr>
              <w:jc w:val="both"/>
              <w:rPr>
                <w:rFonts w:ascii="Arial" w:hAnsi="Arial" w:cs="Arial"/>
                <w:sz w:val="20"/>
                <w:szCs w:val="20"/>
              </w:rPr>
            </w:pPr>
            <w:r w:rsidRPr="00BF30B6">
              <w:rPr>
                <w:rFonts w:ascii="Arial" w:hAnsi="Arial" w:cs="Arial"/>
                <w:sz w:val="20"/>
                <w:szCs w:val="20"/>
              </w:rPr>
              <w:t>Regular costs to operate and secure Visa's global payment infrastructure.</w:t>
            </w:r>
          </w:p>
        </w:tc>
      </w:tr>
      <w:tr w:rsidR="0074195B" w:rsidRPr="00BF30B6" w14:paraId="32014A30" w14:textId="77777777" w:rsidTr="0074195B">
        <w:tc>
          <w:tcPr>
            <w:tcW w:w="3544" w:type="dxa"/>
          </w:tcPr>
          <w:p w14:paraId="68E84ABE" w14:textId="77777777" w:rsidR="0074195B" w:rsidRPr="00BF30B6" w:rsidRDefault="0074195B" w:rsidP="00BF30B6">
            <w:pPr>
              <w:jc w:val="both"/>
              <w:rPr>
                <w:rFonts w:ascii="Arial" w:hAnsi="Arial" w:cs="Arial"/>
                <w:sz w:val="20"/>
                <w:szCs w:val="20"/>
              </w:rPr>
            </w:pPr>
            <w:r w:rsidRPr="00BF30B6">
              <w:rPr>
                <w:rFonts w:ascii="Arial" w:hAnsi="Arial" w:cs="Arial"/>
                <w:sz w:val="20"/>
                <w:szCs w:val="20"/>
              </w:rPr>
              <w:t>Client Incentives (Variable)</w:t>
            </w:r>
          </w:p>
        </w:tc>
        <w:tc>
          <w:tcPr>
            <w:tcW w:w="6946" w:type="dxa"/>
          </w:tcPr>
          <w:p w14:paraId="32884D11" w14:textId="4F614808" w:rsidR="0074195B" w:rsidRPr="00BF30B6" w:rsidRDefault="0074195B" w:rsidP="00BF30B6">
            <w:pPr>
              <w:jc w:val="both"/>
              <w:rPr>
                <w:rFonts w:ascii="Arial" w:hAnsi="Arial" w:cs="Arial"/>
                <w:sz w:val="20"/>
                <w:szCs w:val="20"/>
              </w:rPr>
            </w:pPr>
            <w:r w:rsidRPr="00BF30B6">
              <w:rPr>
                <w:rFonts w:ascii="Arial" w:hAnsi="Arial" w:cs="Arial"/>
                <w:sz w:val="20"/>
                <w:szCs w:val="20"/>
              </w:rPr>
              <w:t>Payments to financial institutions, vary by transaction volume and strategic agreements.</w:t>
            </w:r>
          </w:p>
        </w:tc>
      </w:tr>
      <w:tr w:rsidR="0074195B" w:rsidRPr="00BF30B6" w14:paraId="4DDC1E62" w14:textId="77777777" w:rsidTr="0074195B">
        <w:tc>
          <w:tcPr>
            <w:tcW w:w="3544" w:type="dxa"/>
          </w:tcPr>
          <w:p w14:paraId="7687D213" w14:textId="77777777" w:rsidR="0074195B" w:rsidRPr="00BF30B6" w:rsidRDefault="0074195B" w:rsidP="00BF30B6">
            <w:pPr>
              <w:jc w:val="both"/>
              <w:rPr>
                <w:rFonts w:ascii="Arial" w:hAnsi="Arial" w:cs="Arial"/>
                <w:sz w:val="20"/>
                <w:szCs w:val="20"/>
              </w:rPr>
            </w:pPr>
            <w:r w:rsidRPr="00BF30B6">
              <w:rPr>
                <w:rFonts w:ascii="Arial" w:hAnsi="Arial" w:cs="Arial"/>
                <w:sz w:val="20"/>
                <w:szCs w:val="20"/>
              </w:rPr>
              <w:t>Marketing and Branding</w:t>
            </w:r>
          </w:p>
        </w:tc>
        <w:tc>
          <w:tcPr>
            <w:tcW w:w="6946" w:type="dxa"/>
          </w:tcPr>
          <w:p w14:paraId="53931D69" w14:textId="77777777" w:rsidR="0074195B" w:rsidRPr="00BF30B6" w:rsidRDefault="0074195B" w:rsidP="00BF30B6">
            <w:pPr>
              <w:jc w:val="both"/>
              <w:rPr>
                <w:rFonts w:ascii="Arial" w:hAnsi="Arial" w:cs="Arial"/>
                <w:sz w:val="20"/>
                <w:szCs w:val="20"/>
              </w:rPr>
            </w:pPr>
            <w:r w:rsidRPr="00BF30B6">
              <w:rPr>
                <w:rFonts w:ascii="Arial" w:hAnsi="Arial" w:cs="Arial"/>
                <w:sz w:val="20"/>
                <w:szCs w:val="20"/>
              </w:rPr>
              <w:t>High fixed and variable costs for global campaigns to maintain Visa’s brand visibility.</w:t>
            </w:r>
          </w:p>
        </w:tc>
      </w:tr>
      <w:tr w:rsidR="0074195B" w:rsidRPr="00BF30B6" w14:paraId="130034E7" w14:textId="77777777" w:rsidTr="0074195B">
        <w:tc>
          <w:tcPr>
            <w:tcW w:w="3544" w:type="dxa"/>
          </w:tcPr>
          <w:p w14:paraId="10867C42" w14:textId="77777777" w:rsidR="0074195B" w:rsidRPr="00BF30B6" w:rsidRDefault="0074195B" w:rsidP="00BF30B6">
            <w:pPr>
              <w:jc w:val="both"/>
              <w:rPr>
                <w:rFonts w:ascii="Arial" w:hAnsi="Arial" w:cs="Arial"/>
                <w:sz w:val="20"/>
                <w:szCs w:val="20"/>
              </w:rPr>
            </w:pPr>
            <w:r w:rsidRPr="00BF30B6">
              <w:rPr>
                <w:rFonts w:ascii="Arial" w:hAnsi="Arial" w:cs="Arial"/>
                <w:sz w:val="20"/>
                <w:szCs w:val="20"/>
              </w:rPr>
              <w:t>Regulatory Compliance</w:t>
            </w:r>
          </w:p>
        </w:tc>
        <w:tc>
          <w:tcPr>
            <w:tcW w:w="6946" w:type="dxa"/>
          </w:tcPr>
          <w:p w14:paraId="12599D9C" w14:textId="77777777" w:rsidR="0074195B" w:rsidRPr="00BF30B6" w:rsidRDefault="0074195B" w:rsidP="00BF30B6">
            <w:pPr>
              <w:jc w:val="both"/>
              <w:rPr>
                <w:rFonts w:ascii="Arial" w:hAnsi="Arial" w:cs="Arial"/>
                <w:sz w:val="20"/>
                <w:szCs w:val="20"/>
              </w:rPr>
            </w:pPr>
            <w:r w:rsidRPr="00BF30B6">
              <w:rPr>
                <w:rFonts w:ascii="Arial" w:hAnsi="Arial" w:cs="Arial"/>
                <w:sz w:val="20"/>
                <w:szCs w:val="20"/>
              </w:rPr>
              <w:t>Costs associated with data privacy, fraud prevention, and adherence to global regulations.</w:t>
            </w:r>
          </w:p>
        </w:tc>
      </w:tr>
      <w:tr w:rsidR="0074195B" w:rsidRPr="00BF30B6" w14:paraId="2FC4CD9F" w14:textId="77777777" w:rsidTr="0074195B">
        <w:tc>
          <w:tcPr>
            <w:tcW w:w="3544" w:type="dxa"/>
          </w:tcPr>
          <w:p w14:paraId="09FA437C" w14:textId="77777777" w:rsidR="0074195B" w:rsidRPr="00BF30B6" w:rsidRDefault="0074195B" w:rsidP="00BF30B6">
            <w:pPr>
              <w:jc w:val="both"/>
              <w:rPr>
                <w:rFonts w:ascii="Arial" w:hAnsi="Arial" w:cs="Arial"/>
                <w:sz w:val="20"/>
                <w:szCs w:val="20"/>
              </w:rPr>
            </w:pPr>
            <w:r w:rsidRPr="00BF30B6">
              <w:rPr>
                <w:rFonts w:ascii="Arial" w:hAnsi="Arial" w:cs="Arial"/>
                <w:sz w:val="20"/>
                <w:szCs w:val="20"/>
              </w:rPr>
              <w:t>Technology Investments</w:t>
            </w:r>
          </w:p>
        </w:tc>
        <w:tc>
          <w:tcPr>
            <w:tcW w:w="6946" w:type="dxa"/>
          </w:tcPr>
          <w:p w14:paraId="60FB9D0C" w14:textId="77777777" w:rsidR="0074195B" w:rsidRPr="00BF30B6" w:rsidRDefault="0074195B" w:rsidP="00BF30B6">
            <w:pPr>
              <w:jc w:val="both"/>
              <w:rPr>
                <w:rFonts w:ascii="Arial" w:hAnsi="Arial" w:cs="Arial"/>
                <w:sz w:val="20"/>
                <w:szCs w:val="20"/>
              </w:rPr>
            </w:pPr>
            <w:r w:rsidRPr="00BF30B6">
              <w:rPr>
                <w:rFonts w:ascii="Arial" w:hAnsi="Arial" w:cs="Arial"/>
                <w:sz w:val="20"/>
                <w:szCs w:val="20"/>
              </w:rPr>
              <w:t>Expenses for upgrading platforms, including investments in blockchain and real-time payments.</w:t>
            </w:r>
          </w:p>
        </w:tc>
      </w:tr>
      <w:tr w:rsidR="0074195B" w:rsidRPr="00BF30B6" w14:paraId="73F4B1EB" w14:textId="77777777" w:rsidTr="0074195B">
        <w:tc>
          <w:tcPr>
            <w:tcW w:w="3544" w:type="dxa"/>
          </w:tcPr>
          <w:p w14:paraId="2C1114B2" w14:textId="77777777" w:rsidR="0074195B" w:rsidRPr="00BF30B6" w:rsidRDefault="0074195B" w:rsidP="00BF30B6">
            <w:pPr>
              <w:jc w:val="both"/>
              <w:rPr>
                <w:rFonts w:ascii="Arial" w:hAnsi="Arial" w:cs="Arial"/>
                <w:sz w:val="20"/>
                <w:szCs w:val="20"/>
              </w:rPr>
            </w:pPr>
            <w:r w:rsidRPr="00BF30B6">
              <w:rPr>
                <w:rFonts w:ascii="Arial" w:hAnsi="Arial" w:cs="Arial"/>
                <w:sz w:val="20"/>
                <w:szCs w:val="20"/>
              </w:rPr>
              <w:t>Personnel Costs</w:t>
            </w:r>
          </w:p>
        </w:tc>
        <w:tc>
          <w:tcPr>
            <w:tcW w:w="6946" w:type="dxa"/>
          </w:tcPr>
          <w:p w14:paraId="2653B287" w14:textId="77777777" w:rsidR="0074195B" w:rsidRPr="00BF30B6" w:rsidRDefault="0074195B" w:rsidP="00BF30B6">
            <w:pPr>
              <w:jc w:val="both"/>
              <w:rPr>
                <w:rFonts w:ascii="Arial" w:hAnsi="Arial" w:cs="Arial"/>
                <w:sz w:val="20"/>
                <w:szCs w:val="20"/>
              </w:rPr>
            </w:pPr>
            <w:r w:rsidRPr="00BF30B6">
              <w:rPr>
                <w:rFonts w:ascii="Arial" w:hAnsi="Arial" w:cs="Arial"/>
                <w:sz w:val="20"/>
                <w:szCs w:val="20"/>
              </w:rPr>
              <w:t>Salaries and benefits for employees, with fixed costs for corporate staff and variable incentives.</w:t>
            </w:r>
          </w:p>
        </w:tc>
      </w:tr>
    </w:tbl>
    <w:p w14:paraId="3AB4AA77" w14:textId="77777777" w:rsidR="0074195B" w:rsidRPr="00BF30B6" w:rsidRDefault="0074195B" w:rsidP="00BF30B6">
      <w:pPr>
        <w:ind w:left="-851" w:right="-897"/>
        <w:jc w:val="both"/>
        <w:rPr>
          <w:rFonts w:ascii="Arial" w:hAnsi="Arial" w:cs="Arial"/>
          <w:sz w:val="20"/>
          <w:szCs w:val="20"/>
        </w:rPr>
      </w:pPr>
    </w:p>
    <w:p w14:paraId="2B17176E" w14:textId="77777777" w:rsidR="0074195B" w:rsidRPr="00BF30B6" w:rsidRDefault="00796F21" w:rsidP="00BF30B6">
      <w:pPr>
        <w:ind w:left="-851" w:right="-897"/>
        <w:jc w:val="both"/>
        <w:rPr>
          <w:rFonts w:ascii="Arial" w:hAnsi="Arial" w:cs="Arial"/>
          <w:b/>
          <w:bCs/>
          <w:sz w:val="20"/>
          <w:szCs w:val="20"/>
        </w:rPr>
      </w:pPr>
      <w:r w:rsidRPr="00BF30B6">
        <w:rPr>
          <w:rFonts w:ascii="Arial" w:hAnsi="Arial" w:cs="Arial"/>
          <w:b/>
          <w:bCs/>
          <w:sz w:val="20"/>
          <w:szCs w:val="20"/>
        </w:rPr>
        <w:t>Performance Analysis of Cost Drivers</w:t>
      </w:r>
    </w:p>
    <w:p w14:paraId="0445B1C4" w14:textId="162A0041" w:rsidR="0074195B" w:rsidRPr="00BF30B6" w:rsidRDefault="00796F21" w:rsidP="00BF30B6">
      <w:pPr>
        <w:pStyle w:val="ListParagraph"/>
        <w:numPr>
          <w:ilvl w:val="0"/>
          <w:numId w:val="6"/>
        </w:numPr>
        <w:ind w:right="-897"/>
        <w:jc w:val="both"/>
        <w:rPr>
          <w:rFonts w:ascii="Arial" w:hAnsi="Arial" w:cs="Arial"/>
          <w:sz w:val="20"/>
          <w:szCs w:val="20"/>
        </w:rPr>
      </w:pPr>
      <w:r w:rsidRPr="00BF30B6">
        <w:rPr>
          <w:rFonts w:ascii="Arial" w:hAnsi="Arial" w:cs="Arial"/>
          <w:sz w:val="20"/>
          <w:szCs w:val="20"/>
        </w:rPr>
        <w:t>Client Incentives: Increased to align with higher transaction volumes and competitive pressures, representing a significant variable cost.</w:t>
      </w:r>
    </w:p>
    <w:p w14:paraId="11D2B2A5" w14:textId="33B49177" w:rsidR="00FA4B85" w:rsidRPr="00BF30B6" w:rsidRDefault="00796F21" w:rsidP="00BF30B6">
      <w:pPr>
        <w:pStyle w:val="ListParagraph"/>
        <w:numPr>
          <w:ilvl w:val="0"/>
          <w:numId w:val="6"/>
        </w:numPr>
        <w:ind w:right="-897"/>
        <w:jc w:val="both"/>
        <w:rPr>
          <w:rFonts w:ascii="Arial" w:hAnsi="Arial" w:cs="Arial"/>
          <w:sz w:val="20"/>
          <w:szCs w:val="20"/>
        </w:rPr>
      </w:pPr>
      <w:r w:rsidRPr="00BF30B6">
        <w:rPr>
          <w:rFonts w:ascii="Arial" w:hAnsi="Arial" w:cs="Arial"/>
          <w:sz w:val="20"/>
          <w:szCs w:val="20"/>
        </w:rPr>
        <w:t>Regulatory Compliance: Visa maintained high investment in cybersecurity and fraud prevention, ensuring operational integrity.</w:t>
      </w:r>
      <w:r w:rsidR="007D74CF" w:rsidRPr="00BF30B6">
        <w:rPr>
          <w:rFonts w:ascii="Arial" w:hAnsi="Arial" w:cs="Arial"/>
          <w:sz w:val="20"/>
          <w:szCs w:val="20"/>
        </w:rPr>
        <w:t xml:space="preserve">  </w:t>
      </w:r>
    </w:p>
    <w:p w14:paraId="6BE3AE6B" w14:textId="77777777" w:rsidR="00DF144D" w:rsidRPr="00BF30B6" w:rsidRDefault="00DF144D" w:rsidP="00BF30B6">
      <w:pPr>
        <w:ind w:right="-897"/>
        <w:jc w:val="both"/>
        <w:rPr>
          <w:rFonts w:ascii="Arial" w:hAnsi="Arial" w:cs="Arial"/>
          <w:sz w:val="20"/>
          <w:szCs w:val="20"/>
        </w:rPr>
      </w:pPr>
    </w:p>
    <w:p w14:paraId="7C08D101" w14:textId="033B137B" w:rsidR="00DF144D" w:rsidRPr="00BF30B6" w:rsidRDefault="00DF144D" w:rsidP="00BF30B6">
      <w:pPr>
        <w:pStyle w:val="Heading1"/>
        <w:ind w:left="-851" w:right="-897"/>
        <w:jc w:val="both"/>
        <w:rPr>
          <w:rFonts w:ascii="Arial" w:hAnsi="Arial" w:cs="Arial"/>
          <w:b/>
          <w:bCs/>
          <w:color w:val="000000" w:themeColor="text1"/>
          <w:sz w:val="20"/>
          <w:szCs w:val="20"/>
        </w:rPr>
      </w:pPr>
      <w:r w:rsidRPr="00BF30B6">
        <w:rPr>
          <w:rFonts w:ascii="Arial" w:hAnsi="Arial" w:cs="Arial"/>
          <w:b/>
          <w:bCs/>
          <w:color w:val="000000" w:themeColor="text1"/>
          <w:sz w:val="20"/>
          <w:szCs w:val="20"/>
        </w:rPr>
        <w:t>Visa Inc. current industry and market trends in relation Revenue and Cost Drivers</w:t>
      </w:r>
    </w:p>
    <w:p w14:paraId="075B7A97" w14:textId="5B7AB0E5" w:rsidR="00DF144D" w:rsidRPr="00BF30B6" w:rsidRDefault="00DF144D" w:rsidP="00BF30B6">
      <w:pPr>
        <w:pStyle w:val="Heading2"/>
        <w:ind w:left="-851"/>
        <w:jc w:val="both"/>
        <w:rPr>
          <w:rFonts w:ascii="Arial" w:hAnsi="Arial" w:cs="Arial"/>
          <w:b/>
          <w:bCs/>
          <w:color w:val="000000" w:themeColor="text1"/>
          <w:sz w:val="20"/>
          <w:szCs w:val="20"/>
        </w:rPr>
      </w:pPr>
      <w:r w:rsidRPr="00BF30B6">
        <w:rPr>
          <w:rFonts w:ascii="Arial" w:hAnsi="Arial" w:cs="Arial"/>
          <w:b/>
          <w:bCs/>
          <w:color w:val="000000" w:themeColor="text1"/>
          <w:sz w:val="20"/>
          <w:szCs w:val="20"/>
        </w:rPr>
        <w:t>For Revenue:</w:t>
      </w:r>
    </w:p>
    <w:tbl>
      <w:tblPr>
        <w:tblStyle w:val="TableGrid"/>
        <w:tblW w:w="10769" w:type="dxa"/>
        <w:tblInd w:w="-851" w:type="dxa"/>
        <w:tblLook w:val="04A0" w:firstRow="1" w:lastRow="0" w:firstColumn="1" w:lastColumn="0" w:noHBand="0" w:noVBand="1"/>
      </w:tblPr>
      <w:tblGrid>
        <w:gridCol w:w="3005"/>
        <w:gridCol w:w="3653"/>
        <w:gridCol w:w="4111"/>
      </w:tblGrid>
      <w:tr w:rsidR="00DF144D" w:rsidRPr="00BF30B6" w14:paraId="226802B3" w14:textId="77777777" w:rsidTr="00952B53">
        <w:tc>
          <w:tcPr>
            <w:tcW w:w="3005" w:type="dxa"/>
          </w:tcPr>
          <w:p w14:paraId="73788EB7" w14:textId="16A4C442" w:rsidR="00DF144D" w:rsidRPr="00BF30B6" w:rsidRDefault="00DF144D" w:rsidP="00BF30B6">
            <w:pPr>
              <w:jc w:val="center"/>
              <w:rPr>
                <w:rFonts w:ascii="Arial" w:hAnsi="Arial" w:cs="Arial"/>
                <w:b/>
                <w:bCs/>
                <w:sz w:val="20"/>
                <w:szCs w:val="20"/>
              </w:rPr>
            </w:pPr>
            <w:r w:rsidRPr="00BF30B6">
              <w:rPr>
                <w:rFonts w:ascii="Arial" w:hAnsi="Arial" w:cs="Arial"/>
                <w:b/>
                <w:bCs/>
                <w:sz w:val="20"/>
                <w:szCs w:val="20"/>
              </w:rPr>
              <w:t>Revenue Drivers</w:t>
            </w:r>
          </w:p>
        </w:tc>
        <w:tc>
          <w:tcPr>
            <w:tcW w:w="3653" w:type="dxa"/>
          </w:tcPr>
          <w:p w14:paraId="7307F69E" w14:textId="7C843690" w:rsidR="00DF144D" w:rsidRPr="00BF30B6" w:rsidRDefault="00DF144D" w:rsidP="00BF30B6">
            <w:pPr>
              <w:jc w:val="center"/>
              <w:rPr>
                <w:rFonts w:ascii="Arial" w:hAnsi="Arial" w:cs="Arial"/>
                <w:b/>
                <w:bCs/>
                <w:sz w:val="20"/>
                <w:szCs w:val="20"/>
              </w:rPr>
            </w:pPr>
            <w:r w:rsidRPr="00BF30B6">
              <w:rPr>
                <w:rFonts w:ascii="Arial" w:hAnsi="Arial" w:cs="Arial"/>
                <w:b/>
                <w:bCs/>
                <w:sz w:val="20"/>
                <w:szCs w:val="20"/>
              </w:rPr>
              <w:t>Trend</w:t>
            </w:r>
          </w:p>
        </w:tc>
        <w:tc>
          <w:tcPr>
            <w:tcW w:w="4111" w:type="dxa"/>
          </w:tcPr>
          <w:p w14:paraId="138CFA38" w14:textId="0D2BEB1A" w:rsidR="00DF144D" w:rsidRPr="00BF30B6" w:rsidRDefault="00DF144D" w:rsidP="00BF30B6">
            <w:pPr>
              <w:jc w:val="center"/>
              <w:rPr>
                <w:rFonts w:ascii="Arial" w:hAnsi="Arial" w:cs="Arial"/>
                <w:b/>
                <w:bCs/>
                <w:sz w:val="20"/>
                <w:szCs w:val="20"/>
              </w:rPr>
            </w:pPr>
            <w:r w:rsidRPr="00BF30B6">
              <w:rPr>
                <w:rFonts w:ascii="Arial" w:hAnsi="Arial" w:cs="Arial"/>
                <w:b/>
                <w:bCs/>
                <w:sz w:val="20"/>
                <w:szCs w:val="20"/>
              </w:rPr>
              <w:t>Impact</w:t>
            </w:r>
          </w:p>
        </w:tc>
      </w:tr>
      <w:tr w:rsidR="00DF144D" w:rsidRPr="00BF30B6" w14:paraId="7214FFA6" w14:textId="77777777" w:rsidTr="00952B53">
        <w:tc>
          <w:tcPr>
            <w:tcW w:w="3005" w:type="dxa"/>
          </w:tcPr>
          <w:p w14:paraId="0B3C4407" w14:textId="7F6582D2" w:rsidR="00DF144D" w:rsidRPr="00BF30B6" w:rsidRDefault="00DF144D" w:rsidP="00BF30B6">
            <w:pPr>
              <w:jc w:val="both"/>
              <w:rPr>
                <w:rFonts w:ascii="Arial" w:hAnsi="Arial" w:cs="Arial"/>
                <w:b/>
                <w:bCs/>
                <w:sz w:val="20"/>
                <w:szCs w:val="20"/>
              </w:rPr>
            </w:pPr>
            <w:r w:rsidRPr="00BF30B6">
              <w:rPr>
                <w:rFonts w:ascii="Arial" w:hAnsi="Arial" w:cs="Arial"/>
                <w:b/>
                <w:bCs/>
                <w:sz w:val="20"/>
                <w:szCs w:val="20"/>
              </w:rPr>
              <w:t>Growth in Digital Payment</w:t>
            </w:r>
          </w:p>
        </w:tc>
        <w:tc>
          <w:tcPr>
            <w:tcW w:w="3653" w:type="dxa"/>
          </w:tcPr>
          <w:p w14:paraId="220A8075" w14:textId="1B3EF6DE" w:rsidR="00DF144D" w:rsidRPr="00BF30B6" w:rsidRDefault="00DF144D" w:rsidP="00BF30B6">
            <w:pPr>
              <w:jc w:val="both"/>
              <w:rPr>
                <w:rFonts w:ascii="Arial" w:hAnsi="Arial" w:cs="Arial"/>
                <w:sz w:val="20"/>
                <w:szCs w:val="20"/>
              </w:rPr>
            </w:pPr>
            <w:r w:rsidRPr="00BF30B6">
              <w:rPr>
                <w:rFonts w:ascii="Arial" w:hAnsi="Arial" w:cs="Arial"/>
                <w:sz w:val="20"/>
                <w:szCs w:val="20"/>
              </w:rPr>
              <w:t>Increasing adoption of cashless transactions, fuelled by e-commerce, contactless payments, and mobile wallets.</w:t>
            </w:r>
          </w:p>
        </w:tc>
        <w:tc>
          <w:tcPr>
            <w:tcW w:w="4111" w:type="dxa"/>
          </w:tcPr>
          <w:p w14:paraId="07EEE006" w14:textId="548859F3" w:rsidR="00DF144D" w:rsidRPr="00BF30B6" w:rsidRDefault="00DF144D" w:rsidP="00BF30B6">
            <w:pPr>
              <w:jc w:val="both"/>
              <w:rPr>
                <w:rFonts w:ascii="Arial" w:hAnsi="Arial" w:cs="Arial"/>
                <w:sz w:val="20"/>
                <w:szCs w:val="20"/>
              </w:rPr>
            </w:pPr>
            <w:r w:rsidRPr="00BF30B6">
              <w:rPr>
                <w:rFonts w:ascii="Arial" w:hAnsi="Arial" w:cs="Arial"/>
                <w:sz w:val="20"/>
                <w:szCs w:val="20"/>
              </w:rPr>
              <w:t>Higher transaction volumes, especially in emerging markets, are driving revenue from transaction and cross-border fees.</w:t>
            </w:r>
          </w:p>
        </w:tc>
      </w:tr>
      <w:tr w:rsidR="00DF144D" w:rsidRPr="00BF30B6" w14:paraId="6BB6DA27" w14:textId="77777777" w:rsidTr="00952B53">
        <w:tc>
          <w:tcPr>
            <w:tcW w:w="3005" w:type="dxa"/>
          </w:tcPr>
          <w:p w14:paraId="2AA0695C" w14:textId="78749273" w:rsidR="00DF144D" w:rsidRPr="00BF30B6" w:rsidRDefault="00DF144D" w:rsidP="00BF30B6">
            <w:pPr>
              <w:jc w:val="both"/>
              <w:rPr>
                <w:rFonts w:ascii="Arial" w:hAnsi="Arial" w:cs="Arial"/>
                <w:b/>
                <w:bCs/>
                <w:sz w:val="20"/>
                <w:szCs w:val="20"/>
              </w:rPr>
            </w:pPr>
            <w:r w:rsidRPr="00BF30B6">
              <w:rPr>
                <w:rFonts w:ascii="Arial" w:hAnsi="Arial" w:cs="Arial"/>
                <w:b/>
                <w:bCs/>
                <w:sz w:val="20"/>
                <w:szCs w:val="20"/>
              </w:rPr>
              <w:t>Expansion of Cross -Border Payments</w:t>
            </w:r>
          </w:p>
        </w:tc>
        <w:tc>
          <w:tcPr>
            <w:tcW w:w="3653" w:type="dxa"/>
          </w:tcPr>
          <w:p w14:paraId="66F6B12E" w14:textId="07934C81" w:rsidR="00DF144D" w:rsidRPr="00BF30B6" w:rsidRDefault="00DF144D" w:rsidP="00BF30B6">
            <w:pPr>
              <w:jc w:val="both"/>
              <w:rPr>
                <w:rFonts w:ascii="Arial" w:hAnsi="Arial" w:cs="Arial"/>
                <w:sz w:val="20"/>
                <w:szCs w:val="20"/>
              </w:rPr>
            </w:pPr>
            <w:r w:rsidRPr="00BF30B6">
              <w:rPr>
                <w:rFonts w:ascii="Arial" w:hAnsi="Arial" w:cs="Arial"/>
                <w:sz w:val="20"/>
                <w:szCs w:val="20"/>
              </w:rPr>
              <w:t>Recovery in international travel post-pandemic has significantly increased cross-border payment volumes.</w:t>
            </w:r>
          </w:p>
        </w:tc>
        <w:tc>
          <w:tcPr>
            <w:tcW w:w="4111" w:type="dxa"/>
          </w:tcPr>
          <w:p w14:paraId="20F82BD9" w14:textId="2C0B1361" w:rsidR="00DF144D" w:rsidRPr="00BF30B6" w:rsidRDefault="00DF144D" w:rsidP="00BF30B6">
            <w:pPr>
              <w:jc w:val="both"/>
              <w:rPr>
                <w:rFonts w:ascii="Arial" w:hAnsi="Arial" w:cs="Arial"/>
                <w:sz w:val="20"/>
                <w:szCs w:val="20"/>
              </w:rPr>
            </w:pPr>
            <w:r w:rsidRPr="00BF30B6">
              <w:rPr>
                <w:rFonts w:ascii="Arial" w:hAnsi="Arial" w:cs="Arial"/>
                <w:sz w:val="20"/>
                <w:szCs w:val="20"/>
              </w:rPr>
              <w:t>Cross-border fees, which carry higher margins, are a growing revenue source for Visa.</w:t>
            </w:r>
          </w:p>
        </w:tc>
      </w:tr>
      <w:tr w:rsidR="00DF144D" w:rsidRPr="00BF30B6" w14:paraId="167AD75E" w14:textId="77777777" w:rsidTr="00952B53">
        <w:tc>
          <w:tcPr>
            <w:tcW w:w="3005" w:type="dxa"/>
          </w:tcPr>
          <w:p w14:paraId="60DBFE74" w14:textId="7E5AAD09" w:rsidR="00DF144D" w:rsidRPr="00BF30B6" w:rsidRDefault="00DF144D" w:rsidP="00BF30B6">
            <w:pPr>
              <w:jc w:val="both"/>
              <w:rPr>
                <w:rFonts w:ascii="Arial" w:hAnsi="Arial" w:cs="Arial"/>
                <w:b/>
                <w:bCs/>
                <w:sz w:val="20"/>
                <w:szCs w:val="20"/>
              </w:rPr>
            </w:pPr>
            <w:r w:rsidRPr="00BF30B6">
              <w:rPr>
                <w:rFonts w:ascii="Arial" w:hAnsi="Arial" w:cs="Arial"/>
                <w:b/>
                <w:bCs/>
                <w:sz w:val="20"/>
                <w:szCs w:val="20"/>
              </w:rPr>
              <w:t>Growth in Real-Time Payments (RTP)</w:t>
            </w:r>
          </w:p>
        </w:tc>
        <w:tc>
          <w:tcPr>
            <w:tcW w:w="3653" w:type="dxa"/>
          </w:tcPr>
          <w:p w14:paraId="72BDA4BE" w14:textId="4FFCF1CA" w:rsidR="00DF144D" w:rsidRPr="00BF30B6" w:rsidRDefault="00DF144D" w:rsidP="00BF30B6">
            <w:pPr>
              <w:jc w:val="both"/>
              <w:rPr>
                <w:rFonts w:ascii="Arial" w:hAnsi="Arial" w:cs="Arial"/>
                <w:sz w:val="20"/>
                <w:szCs w:val="20"/>
              </w:rPr>
            </w:pPr>
            <w:r w:rsidRPr="00BF30B6">
              <w:rPr>
                <w:rFonts w:ascii="Arial" w:hAnsi="Arial" w:cs="Arial"/>
                <w:sz w:val="20"/>
                <w:szCs w:val="20"/>
              </w:rPr>
              <w:t>Rising demand for instant payment solutions, such as Visa Direct.</w:t>
            </w:r>
          </w:p>
        </w:tc>
        <w:tc>
          <w:tcPr>
            <w:tcW w:w="4111" w:type="dxa"/>
          </w:tcPr>
          <w:p w14:paraId="70660FD8" w14:textId="0F10A1A0" w:rsidR="00DF144D" w:rsidRPr="00BF30B6" w:rsidRDefault="00DF144D" w:rsidP="00BF30B6">
            <w:pPr>
              <w:jc w:val="both"/>
              <w:rPr>
                <w:rFonts w:ascii="Arial" w:hAnsi="Arial" w:cs="Arial"/>
                <w:sz w:val="20"/>
                <w:szCs w:val="20"/>
              </w:rPr>
            </w:pPr>
            <w:r w:rsidRPr="00BF30B6">
              <w:rPr>
                <w:rFonts w:ascii="Arial" w:hAnsi="Arial" w:cs="Arial"/>
                <w:sz w:val="20"/>
                <w:szCs w:val="20"/>
              </w:rPr>
              <w:t>Visa processed over 7.5 billion RTP transactions in FY2023, representing an expanding revenue segment</w:t>
            </w:r>
          </w:p>
        </w:tc>
      </w:tr>
      <w:tr w:rsidR="00DF144D" w:rsidRPr="00BF30B6" w14:paraId="0B81FBDF" w14:textId="77777777" w:rsidTr="00952B53">
        <w:tc>
          <w:tcPr>
            <w:tcW w:w="3005" w:type="dxa"/>
          </w:tcPr>
          <w:p w14:paraId="01A4FB68" w14:textId="0DE15C2E" w:rsidR="00DF144D" w:rsidRPr="00BF30B6" w:rsidRDefault="00952B53" w:rsidP="00BF30B6">
            <w:pPr>
              <w:jc w:val="both"/>
              <w:rPr>
                <w:rFonts w:ascii="Arial" w:hAnsi="Arial" w:cs="Arial"/>
                <w:b/>
                <w:bCs/>
                <w:sz w:val="20"/>
                <w:szCs w:val="20"/>
              </w:rPr>
            </w:pPr>
            <w:r w:rsidRPr="00BF30B6">
              <w:rPr>
                <w:rFonts w:ascii="Arial" w:hAnsi="Arial" w:cs="Arial"/>
                <w:b/>
                <w:bCs/>
                <w:sz w:val="20"/>
                <w:szCs w:val="20"/>
              </w:rPr>
              <w:t xml:space="preserve">Partnership with </w:t>
            </w:r>
            <w:proofErr w:type="spellStart"/>
            <w:r w:rsidRPr="00BF30B6">
              <w:rPr>
                <w:rFonts w:ascii="Arial" w:hAnsi="Arial" w:cs="Arial"/>
                <w:b/>
                <w:bCs/>
                <w:sz w:val="20"/>
                <w:szCs w:val="20"/>
              </w:rPr>
              <w:t>Fintechs</w:t>
            </w:r>
            <w:proofErr w:type="spellEnd"/>
          </w:p>
        </w:tc>
        <w:tc>
          <w:tcPr>
            <w:tcW w:w="3653" w:type="dxa"/>
          </w:tcPr>
          <w:p w14:paraId="314D787C" w14:textId="0C6A6A51" w:rsidR="00DF144D" w:rsidRPr="00BF30B6" w:rsidRDefault="00952B53" w:rsidP="00BF30B6">
            <w:pPr>
              <w:jc w:val="both"/>
              <w:rPr>
                <w:rFonts w:ascii="Arial" w:hAnsi="Arial" w:cs="Arial"/>
                <w:sz w:val="20"/>
                <w:szCs w:val="20"/>
              </w:rPr>
            </w:pPr>
            <w:r w:rsidRPr="00BF30B6">
              <w:rPr>
                <w:rFonts w:ascii="Arial" w:hAnsi="Arial" w:cs="Arial"/>
                <w:sz w:val="20"/>
                <w:szCs w:val="20"/>
              </w:rPr>
              <w:t>Collaboration with digital wallets, neobanks, and startups to expand the payment ecosystem.</w:t>
            </w:r>
          </w:p>
        </w:tc>
        <w:tc>
          <w:tcPr>
            <w:tcW w:w="4111" w:type="dxa"/>
          </w:tcPr>
          <w:p w14:paraId="0413ED44" w14:textId="00ED71E5" w:rsidR="00DF144D" w:rsidRPr="00BF30B6" w:rsidRDefault="00952B53" w:rsidP="00BF30B6">
            <w:pPr>
              <w:jc w:val="both"/>
              <w:rPr>
                <w:rFonts w:ascii="Arial" w:hAnsi="Arial" w:cs="Arial"/>
                <w:sz w:val="20"/>
                <w:szCs w:val="20"/>
              </w:rPr>
            </w:pPr>
            <w:r w:rsidRPr="00BF30B6">
              <w:rPr>
                <w:rFonts w:ascii="Arial" w:hAnsi="Arial" w:cs="Arial"/>
                <w:sz w:val="20"/>
                <w:szCs w:val="20"/>
              </w:rPr>
              <w:t>Generates licensing and partnership revenues while enhancing network volumes.</w:t>
            </w:r>
          </w:p>
        </w:tc>
      </w:tr>
      <w:tr w:rsidR="00DF144D" w:rsidRPr="00BF30B6" w14:paraId="6B12CA4B" w14:textId="77777777" w:rsidTr="00952B53">
        <w:tc>
          <w:tcPr>
            <w:tcW w:w="3005" w:type="dxa"/>
          </w:tcPr>
          <w:p w14:paraId="14A851A6" w14:textId="09DEF8FD" w:rsidR="00DF144D" w:rsidRPr="00BF30B6" w:rsidRDefault="00952B53" w:rsidP="00BF30B6">
            <w:pPr>
              <w:jc w:val="both"/>
              <w:rPr>
                <w:rFonts w:ascii="Arial" w:hAnsi="Arial" w:cs="Arial"/>
                <w:b/>
                <w:bCs/>
                <w:sz w:val="20"/>
                <w:szCs w:val="20"/>
              </w:rPr>
            </w:pPr>
            <w:r w:rsidRPr="00BF30B6">
              <w:rPr>
                <w:rFonts w:ascii="Arial" w:hAnsi="Arial" w:cs="Arial"/>
                <w:b/>
                <w:bCs/>
                <w:sz w:val="20"/>
                <w:szCs w:val="20"/>
              </w:rPr>
              <w:t xml:space="preserve">Increasing Tokenisation </w:t>
            </w:r>
          </w:p>
        </w:tc>
        <w:tc>
          <w:tcPr>
            <w:tcW w:w="3653" w:type="dxa"/>
          </w:tcPr>
          <w:p w14:paraId="18510EE8" w14:textId="5F868632" w:rsidR="00DF144D" w:rsidRPr="00BF30B6" w:rsidRDefault="00952B53" w:rsidP="00BF30B6">
            <w:pPr>
              <w:jc w:val="both"/>
              <w:rPr>
                <w:rFonts w:ascii="Arial" w:hAnsi="Arial" w:cs="Arial"/>
                <w:sz w:val="20"/>
                <w:szCs w:val="20"/>
              </w:rPr>
            </w:pPr>
            <w:r w:rsidRPr="00BF30B6">
              <w:rPr>
                <w:rFonts w:ascii="Arial" w:hAnsi="Arial" w:cs="Arial"/>
                <w:sz w:val="20"/>
                <w:szCs w:val="20"/>
              </w:rPr>
              <w:t>Enhanced security measures like network tokenization, reducing fraud and ensuring customer trust.</w:t>
            </w:r>
          </w:p>
        </w:tc>
        <w:tc>
          <w:tcPr>
            <w:tcW w:w="4111" w:type="dxa"/>
          </w:tcPr>
          <w:p w14:paraId="5E974BA8" w14:textId="77777777" w:rsidR="00952B53" w:rsidRPr="00BF30B6" w:rsidRDefault="00952B53" w:rsidP="00BF30B6">
            <w:pPr>
              <w:jc w:val="both"/>
              <w:rPr>
                <w:rFonts w:ascii="Arial" w:hAnsi="Arial" w:cs="Arial"/>
                <w:sz w:val="20"/>
                <w:szCs w:val="20"/>
              </w:rPr>
            </w:pPr>
            <w:r w:rsidRPr="00BF30B6">
              <w:rPr>
                <w:rFonts w:ascii="Arial" w:hAnsi="Arial" w:cs="Arial"/>
                <w:sz w:val="20"/>
                <w:szCs w:val="20"/>
              </w:rPr>
              <w:t>Drives growth in digital commerce by providing secure transaction environments.</w:t>
            </w:r>
          </w:p>
          <w:p w14:paraId="78B5A1F2" w14:textId="77777777" w:rsidR="00DF144D" w:rsidRPr="00BF30B6" w:rsidRDefault="00DF144D" w:rsidP="00BF30B6">
            <w:pPr>
              <w:jc w:val="both"/>
              <w:rPr>
                <w:rFonts w:ascii="Arial" w:hAnsi="Arial" w:cs="Arial"/>
                <w:sz w:val="20"/>
                <w:szCs w:val="20"/>
              </w:rPr>
            </w:pPr>
          </w:p>
        </w:tc>
      </w:tr>
      <w:tr w:rsidR="00952B53" w:rsidRPr="00BF30B6" w14:paraId="70B2C732" w14:textId="77777777" w:rsidTr="00952B53">
        <w:tc>
          <w:tcPr>
            <w:tcW w:w="3005" w:type="dxa"/>
          </w:tcPr>
          <w:p w14:paraId="2E366DDA" w14:textId="77777777" w:rsidR="00952B53" w:rsidRPr="00BF30B6" w:rsidRDefault="00952B53" w:rsidP="00BF30B6">
            <w:pPr>
              <w:jc w:val="both"/>
              <w:rPr>
                <w:rFonts w:ascii="Arial" w:hAnsi="Arial" w:cs="Arial"/>
                <w:b/>
                <w:bCs/>
                <w:sz w:val="20"/>
                <w:szCs w:val="20"/>
              </w:rPr>
            </w:pPr>
          </w:p>
        </w:tc>
        <w:tc>
          <w:tcPr>
            <w:tcW w:w="3653" w:type="dxa"/>
          </w:tcPr>
          <w:p w14:paraId="7920FD10" w14:textId="77777777" w:rsidR="00952B53" w:rsidRPr="00BF30B6" w:rsidRDefault="00952B53" w:rsidP="00BF30B6">
            <w:pPr>
              <w:jc w:val="both"/>
              <w:rPr>
                <w:rFonts w:ascii="Arial" w:hAnsi="Arial" w:cs="Arial"/>
                <w:sz w:val="20"/>
                <w:szCs w:val="20"/>
              </w:rPr>
            </w:pPr>
          </w:p>
        </w:tc>
        <w:tc>
          <w:tcPr>
            <w:tcW w:w="4111" w:type="dxa"/>
          </w:tcPr>
          <w:p w14:paraId="019949D9" w14:textId="77777777" w:rsidR="00952B53" w:rsidRPr="00BF30B6" w:rsidRDefault="00952B53" w:rsidP="00BF30B6">
            <w:pPr>
              <w:jc w:val="both"/>
              <w:rPr>
                <w:rFonts w:ascii="Arial" w:hAnsi="Arial" w:cs="Arial"/>
                <w:sz w:val="20"/>
                <w:szCs w:val="20"/>
              </w:rPr>
            </w:pPr>
          </w:p>
        </w:tc>
      </w:tr>
    </w:tbl>
    <w:p w14:paraId="35213932" w14:textId="77777777" w:rsidR="00DF144D" w:rsidRPr="00BF30B6" w:rsidRDefault="00DF144D" w:rsidP="00BF30B6">
      <w:pPr>
        <w:ind w:left="-851"/>
        <w:jc w:val="both"/>
        <w:rPr>
          <w:rFonts w:ascii="Arial" w:hAnsi="Arial" w:cs="Arial"/>
          <w:sz w:val="20"/>
          <w:szCs w:val="20"/>
        </w:rPr>
      </w:pPr>
    </w:p>
    <w:p w14:paraId="0135B9C3" w14:textId="1CDDD2AC" w:rsidR="00952B53" w:rsidRPr="00BF30B6" w:rsidRDefault="00952B53" w:rsidP="00BF30B6">
      <w:pPr>
        <w:pStyle w:val="Heading2"/>
        <w:ind w:left="-851"/>
        <w:jc w:val="both"/>
        <w:rPr>
          <w:rFonts w:ascii="Arial" w:hAnsi="Arial" w:cs="Arial"/>
          <w:b/>
          <w:bCs/>
          <w:color w:val="000000" w:themeColor="text1"/>
          <w:sz w:val="20"/>
          <w:szCs w:val="20"/>
        </w:rPr>
      </w:pPr>
      <w:r w:rsidRPr="00BF30B6">
        <w:rPr>
          <w:rFonts w:ascii="Arial" w:hAnsi="Arial" w:cs="Arial"/>
          <w:b/>
          <w:bCs/>
          <w:color w:val="000000" w:themeColor="text1"/>
          <w:sz w:val="20"/>
          <w:szCs w:val="20"/>
        </w:rPr>
        <w:t>For Cost:</w:t>
      </w:r>
    </w:p>
    <w:tbl>
      <w:tblPr>
        <w:tblStyle w:val="TableGrid"/>
        <w:tblW w:w="10769" w:type="dxa"/>
        <w:tblInd w:w="-851" w:type="dxa"/>
        <w:tblLook w:val="04A0" w:firstRow="1" w:lastRow="0" w:firstColumn="1" w:lastColumn="0" w:noHBand="0" w:noVBand="1"/>
      </w:tblPr>
      <w:tblGrid>
        <w:gridCol w:w="3005"/>
        <w:gridCol w:w="3653"/>
        <w:gridCol w:w="4111"/>
      </w:tblGrid>
      <w:tr w:rsidR="00952B53" w:rsidRPr="00BF30B6" w14:paraId="7769F48D" w14:textId="77777777" w:rsidTr="00135B43">
        <w:tc>
          <w:tcPr>
            <w:tcW w:w="3005" w:type="dxa"/>
          </w:tcPr>
          <w:p w14:paraId="042C8989" w14:textId="2AFBC283" w:rsidR="00952B53" w:rsidRPr="00BF30B6" w:rsidRDefault="00952B53" w:rsidP="00BF30B6">
            <w:pPr>
              <w:jc w:val="both"/>
              <w:rPr>
                <w:rFonts w:ascii="Arial" w:hAnsi="Arial" w:cs="Arial"/>
                <w:b/>
                <w:bCs/>
                <w:sz w:val="20"/>
                <w:szCs w:val="20"/>
              </w:rPr>
            </w:pPr>
            <w:r w:rsidRPr="00BF30B6">
              <w:rPr>
                <w:rFonts w:ascii="Arial" w:hAnsi="Arial" w:cs="Arial"/>
                <w:b/>
                <w:bCs/>
                <w:sz w:val="20"/>
                <w:szCs w:val="20"/>
              </w:rPr>
              <w:t>Cost Drivers</w:t>
            </w:r>
          </w:p>
        </w:tc>
        <w:tc>
          <w:tcPr>
            <w:tcW w:w="3653" w:type="dxa"/>
          </w:tcPr>
          <w:p w14:paraId="3BA4FB4D" w14:textId="2D4CE873" w:rsidR="00952B53" w:rsidRPr="00BF30B6" w:rsidRDefault="00952B53" w:rsidP="00BF30B6">
            <w:pPr>
              <w:jc w:val="both"/>
              <w:rPr>
                <w:rFonts w:ascii="Arial" w:hAnsi="Arial" w:cs="Arial"/>
                <w:b/>
                <w:bCs/>
                <w:sz w:val="20"/>
                <w:szCs w:val="20"/>
              </w:rPr>
            </w:pPr>
            <w:r w:rsidRPr="00BF30B6">
              <w:rPr>
                <w:rFonts w:ascii="Arial" w:hAnsi="Arial" w:cs="Arial"/>
                <w:b/>
                <w:bCs/>
                <w:sz w:val="20"/>
                <w:szCs w:val="20"/>
              </w:rPr>
              <w:t>Trends</w:t>
            </w:r>
          </w:p>
        </w:tc>
        <w:tc>
          <w:tcPr>
            <w:tcW w:w="4111" w:type="dxa"/>
          </w:tcPr>
          <w:p w14:paraId="43498B18" w14:textId="38C48348" w:rsidR="00952B53" w:rsidRPr="00BF30B6" w:rsidRDefault="00952B53" w:rsidP="00BF30B6">
            <w:pPr>
              <w:jc w:val="both"/>
              <w:rPr>
                <w:rFonts w:ascii="Arial" w:hAnsi="Arial" w:cs="Arial"/>
                <w:b/>
                <w:bCs/>
                <w:sz w:val="20"/>
                <w:szCs w:val="20"/>
              </w:rPr>
            </w:pPr>
            <w:r w:rsidRPr="00BF30B6">
              <w:rPr>
                <w:rFonts w:ascii="Arial" w:hAnsi="Arial" w:cs="Arial"/>
                <w:b/>
                <w:bCs/>
                <w:sz w:val="20"/>
                <w:szCs w:val="20"/>
              </w:rPr>
              <w:t>Impact</w:t>
            </w:r>
          </w:p>
        </w:tc>
      </w:tr>
      <w:tr w:rsidR="00952B53" w:rsidRPr="00BF30B6" w14:paraId="051187FD" w14:textId="77777777" w:rsidTr="00135B43">
        <w:tc>
          <w:tcPr>
            <w:tcW w:w="3005" w:type="dxa"/>
          </w:tcPr>
          <w:p w14:paraId="36D7C773" w14:textId="28CDB209" w:rsidR="00952B53" w:rsidRPr="00BF30B6" w:rsidRDefault="00952B53" w:rsidP="00BF30B6">
            <w:pPr>
              <w:jc w:val="both"/>
              <w:rPr>
                <w:rFonts w:ascii="Arial" w:hAnsi="Arial" w:cs="Arial"/>
                <w:b/>
                <w:bCs/>
                <w:sz w:val="20"/>
                <w:szCs w:val="20"/>
              </w:rPr>
            </w:pPr>
            <w:r w:rsidRPr="00BF30B6">
              <w:rPr>
                <w:rFonts w:ascii="Arial" w:hAnsi="Arial" w:cs="Arial"/>
                <w:b/>
                <w:bCs/>
                <w:sz w:val="20"/>
                <w:szCs w:val="20"/>
              </w:rPr>
              <w:lastRenderedPageBreak/>
              <w:t>Rising Compliance and Regulatory Costs</w:t>
            </w:r>
          </w:p>
        </w:tc>
        <w:tc>
          <w:tcPr>
            <w:tcW w:w="3653" w:type="dxa"/>
          </w:tcPr>
          <w:p w14:paraId="0F0B54EE" w14:textId="192C4922" w:rsidR="00952B53" w:rsidRPr="00BF30B6" w:rsidRDefault="00135B43" w:rsidP="00BF30B6">
            <w:pPr>
              <w:jc w:val="both"/>
              <w:rPr>
                <w:rFonts w:ascii="Arial" w:hAnsi="Arial" w:cs="Arial"/>
                <w:sz w:val="20"/>
                <w:szCs w:val="20"/>
              </w:rPr>
            </w:pPr>
            <w:r w:rsidRPr="00BF30B6">
              <w:rPr>
                <w:rFonts w:ascii="Arial" w:hAnsi="Arial" w:cs="Arial"/>
                <w:sz w:val="20"/>
                <w:szCs w:val="20"/>
              </w:rPr>
              <w:t>Stricter global regulations on data privacy (e.g., GDPR) and cross-border transactions.</w:t>
            </w:r>
          </w:p>
        </w:tc>
        <w:tc>
          <w:tcPr>
            <w:tcW w:w="4111" w:type="dxa"/>
          </w:tcPr>
          <w:p w14:paraId="40C5F33F" w14:textId="5665A4EB" w:rsidR="00952B53" w:rsidRPr="00BF30B6" w:rsidRDefault="00135B43" w:rsidP="00BF30B6">
            <w:pPr>
              <w:jc w:val="both"/>
              <w:rPr>
                <w:rFonts w:ascii="Arial" w:hAnsi="Arial" w:cs="Arial"/>
                <w:sz w:val="20"/>
                <w:szCs w:val="20"/>
              </w:rPr>
            </w:pPr>
            <w:r w:rsidRPr="00BF30B6">
              <w:rPr>
                <w:rFonts w:ascii="Arial" w:hAnsi="Arial" w:cs="Arial"/>
                <w:sz w:val="20"/>
                <w:szCs w:val="20"/>
              </w:rPr>
              <w:t>Increased investments in compliance systems and legal costs, impacting operational expenses.</w:t>
            </w:r>
          </w:p>
        </w:tc>
      </w:tr>
      <w:tr w:rsidR="00952B53" w:rsidRPr="00BF30B6" w14:paraId="7BE0BF94" w14:textId="77777777" w:rsidTr="00135B43">
        <w:tc>
          <w:tcPr>
            <w:tcW w:w="3005" w:type="dxa"/>
          </w:tcPr>
          <w:p w14:paraId="0C9AAF0F" w14:textId="51B63058" w:rsidR="00952B53" w:rsidRPr="00BF30B6" w:rsidRDefault="00952B53" w:rsidP="00BF30B6">
            <w:pPr>
              <w:jc w:val="both"/>
              <w:rPr>
                <w:rFonts w:ascii="Arial" w:hAnsi="Arial" w:cs="Arial"/>
                <w:b/>
                <w:bCs/>
                <w:sz w:val="20"/>
                <w:szCs w:val="20"/>
              </w:rPr>
            </w:pPr>
            <w:r w:rsidRPr="00BF30B6">
              <w:rPr>
                <w:rFonts w:ascii="Arial" w:hAnsi="Arial" w:cs="Arial"/>
                <w:b/>
                <w:bCs/>
                <w:sz w:val="20"/>
                <w:szCs w:val="20"/>
              </w:rPr>
              <w:t>Higher Technology Investments</w:t>
            </w:r>
          </w:p>
        </w:tc>
        <w:tc>
          <w:tcPr>
            <w:tcW w:w="3653" w:type="dxa"/>
          </w:tcPr>
          <w:p w14:paraId="253A8421" w14:textId="49FEE734" w:rsidR="00952B53" w:rsidRPr="00BF30B6" w:rsidRDefault="00135B43" w:rsidP="00BF30B6">
            <w:pPr>
              <w:jc w:val="both"/>
              <w:rPr>
                <w:rFonts w:ascii="Arial" w:hAnsi="Arial" w:cs="Arial"/>
                <w:sz w:val="20"/>
                <w:szCs w:val="20"/>
              </w:rPr>
            </w:pPr>
            <w:r w:rsidRPr="00BF30B6">
              <w:rPr>
                <w:rFonts w:ascii="Arial" w:hAnsi="Arial" w:cs="Arial"/>
                <w:sz w:val="20"/>
                <w:szCs w:val="20"/>
              </w:rPr>
              <w:t>Growing demand for blockchain, AI, and cybersecurity to maintain network security and scalability.</w:t>
            </w:r>
          </w:p>
        </w:tc>
        <w:tc>
          <w:tcPr>
            <w:tcW w:w="4111" w:type="dxa"/>
          </w:tcPr>
          <w:p w14:paraId="50EBA9DF" w14:textId="0458420E" w:rsidR="00952B53" w:rsidRPr="00BF30B6" w:rsidRDefault="00135B43" w:rsidP="00BF30B6">
            <w:pPr>
              <w:jc w:val="both"/>
              <w:rPr>
                <w:rFonts w:ascii="Arial" w:hAnsi="Arial" w:cs="Arial"/>
                <w:sz w:val="20"/>
                <w:szCs w:val="20"/>
              </w:rPr>
            </w:pPr>
            <w:r w:rsidRPr="00BF30B6">
              <w:rPr>
                <w:rFonts w:ascii="Arial" w:hAnsi="Arial" w:cs="Arial"/>
                <w:sz w:val="20"/>
                <w:szCs w:val="20"/>
              </w:rPr>
              <w:t>Significant capital expenditures for platform upgrades and fraud prevention systems.</w:t>
            </w:r>
          </w:p>
        </w:tc>
      </w:tr>
      <w:tr w:rsidR="00952B53" w:rsidRPr="00BF30B6" w14:paraId="418C888E" w14:textId="77777777" w:rsidTr="00135B43">
        <w:tc>
          <w:tcPr>
            <w:tcW w:w="3005" w:type="dxa"/>
          </w:tcPr>
          <w:p w14:paraId="78227C5C" w14:textId="0AB38259" w:rsidR="00952B53" w:rsidRPr="00BF30B6" w:rsidRDefault="00952B53" w:rsidP="00BF30B6">
            <w:pPr>
              <w:jc w:val="both"/>
              <w:rPr>
                <w:rFonts w:ascii="Arial" w:hAnsi="Arial" w:cs="Arial"/>
                <w:b/>
                <w:bCs/>
                <w:sz w:val="20"/>
                <w:szCs w:val="20"/>
              </w:rPr>
            </w:pPr>
            <w:r w:rsidRPr="00BF30B6">
              <w:rPr>
                <w:rFonts w:ascii="Arial" w:hAnsi="Arial" w:cs="Arial"/>
                <w:b/>
                <w:bCs/>
                <w:sz w:val="20"/>
                <w:szCs w:val="20"/>
              </w:rPr>
              <w:t xml:space="preserve">Marketing and Branding </w:t>
            </w:r>
          </w:p>
        </w:tc>
        <w:tc>
          <w:tcPr>
            <w:tcW w:w="3653" w:type="dxa"/>
          </w:tcPr>
          <w:p w14:paraId="5E09CF54" w14:textId="2425ECEB" w:rsidR="00952B53" w:rsidRPr="00BF30B6" w:rsidRDefault="00135B43" w:rsidP="00BF30B6">
            <w:pPr>
              <w:jc w:val="both"/>
              <w:rPr>
                <w:rFonts w:ascii="Arial" w:hAnsi="Arial" w:cs="Arial"/>
                <w:sz w:val="20"/>
                <w:szCs w:val="20"/>
              </w:rPr>
            </w:pPr>
            <w:r w:rsidRPr="00BF30B6">
              <w:rPr>
                <w:rFonts w:ascii="Arial" w:hAnsi="Arial" w:cs="Arial"/>
                <w:sz w:val="20"/>
                <w:szCs w:val="20"/>
              </w:rPr>
              <w:t>Sustained investment in global marketing campaigns to maintain brand leadership.</w:t>
            </w:r>
          </w:p>
        </w:tc>
        <w:tc>
          <w:tcPr>
            <w:tcW w:w="4111" w:type="dxa"/>
          </w:tcPr>
          <w:p w14:paraId="3963B7BC" w14:textId="0FF4AEFC" w:rsidR="00952B53" w:rsidRPr="00BF30B6" w:rsidRDefault="00952B53" w:rsidP="00BF30B6">
            <w:pPr>
              <w:jc w:val="both"/>
              <w:rPr>
                <w:rFonts w:ascii="Arial" w:hAnsi="Arial" w:cs="Arial"/>
                <w:sz w:val="20"/>
                <w:szCs w:val="20"/>
              </w:rPr>
            </w:pPr>
            <w:r w:rsidRPr="00BF30B6">
              <w:rPr>
                <w:rFonts w:ascii="Arial" w:hAnsi="Arial" w:cs="Arial"/>
                <w:sz w:val="20"/>
                <w:szCs w:val="20"/>
              </w:rPr>
              <w:t>Fixed marketing costs are rising due to competitive pressures and the need for consistent consumer engagement.</w:t>
            </w:r>
          </w:p>
        </w:tc>
      </w:tr>
      <w:tr w:rsidR="00952B53" w:rsidRPr="00BF30B6" w14:paraId="3A121ACE" w14:textId="77777777" w:rsidTr="00135B43">
        <w:tc>
          <w:tcPr>
            <w:tcW w:w="3005" w:type="dxa"/>
          </w:tcPr>
          <w:p w14:paraId="475F8095" w14:textId="2C3188BD" w:rsidR="00952B53" w:rsidRPr="00BF30B6" w:rsidRDefault="00952B53" w:rsidP="00BF30B6">
            <w:pPr>
              <w:jc w:val="both"/>
              <w:rPr>
                <w:rFonts w:ascii="Arial" w:hAnsi="Arial" w:cs="Arial"/>
                <w:b/>
                <w:bCs/>
                <w:sz w:val="20"/>
                <w:szCs w:val="20"/>
              </w:rPr>
            </w:pPr>
            <w:r w:rsidRPr="00BF30B6">
              <w:rPr>
                <w:rFonts w:ascii="Arial" w:hAnsi="Arial" w:cs="Arial"/>
                <w:b/>
                <w:bCs/>
                <w:sz w:val="20"/>
                <w:szCs w:val="20"/>
              </w:rPr>
              <w:t>Client Incentives as a Variable Cost</w:t>
            </w:r>
          </w:p>
        </w:tc>
        <w:tc>
          <w:tcPr>
            <w:tcW w:w="3653" w:type="dxa"/>
          </w:tcPr>
          <w:p w14:paraId="35D4BB88" w14:textId="7047FFE1" w:rsidR="00952B53" w:rsidRPr="00BF30B6" w:rsidRDefault="00952B53" w:rsidP="00BF30B6">
            <w:pPr>
              <w:jc w:val="both"/>
              <w:rPr>
                <w:rFonts w:ascii="Arial" w:hAnsi="Arial" w:cs="Arial"/>
                <w:sz w:val="20"/>
                <w:szCs w:val="20"/>
              </w:rPr>
            </w:pPr>
            <w:r w:rsidRPr="00BF30B6">
              <w:rPr>
                <w:rFonts w:ascii="Arial" w:hAnsi="Arial" w:cs="Arial"/>
                <w:sz w:val="20"/>
                <w:szCs w:val="20"/>
              </w:rPr>
              <w:t xml:space="preserve">Increasing competition in the </w:t>
            </w:r>
            <w:proofErr w:type="gramStart"/>
            <w:r w:rsidRPr="00BF30B6">
              <w:rPr>
                <w:rFonts w:ascii="Arial" w:hAnsi="Arial" w:cs="Arial"/>
                <w:sz w:val="20"/>
                <w:szCs w:val="20"/>
              </w:rPr>
              <w:t>payments</w:t>
            </w:r>
            <w:proofErr w:type="gramEnd"/>
            <w:r w:rsidRPr="00BF30B6">
              <w:rPr>
                <w:rFonts w:ascii="Arial" w:hAnsi="Arial" w:cs="Arial"/>
                <w:sz w:val="20"/>
                <w:szCs w:val="20"/>
              </w:rPr>
              <w:t xml:space="preserve"> ecosystem leading to higher client incentives.</w:t>
            </w:r>
          </w:p>
        </w:tc>
        <w:tc>
          <w:tcPr>
            <w:tcW w:w="4111" w:type="dxa"/>
          </w:tcPr>
          <w:p w14:paraId="3D2B1D5C" w14:textId="04BB2AAF" w:rsidR="00952B53" w:rsidRPr="00BF30B6" w:rsidRDefault="00952B53" w:rsidP="00BF30B6">
            <w:pPr>
              <w:jc w:val="both"/>
              <w:rPr>
                <w:rFonts w:ascii="Arial" w:hAnsi="Arial" w:cs="Arial"/>
                <w:sz w:val="20"/>
                <w:szCs w:val="20"/>
              </w:rPr>
            </w:pPr>
            <w:r w:rsidRPr="00BF30B6">
              <w:rPr>
                <w:rFonts w:ascii="Arial" w:hAnsi="Arial" w:cs="Arial"/>
                <w:sz w:val="20"/>
                <w:szCs w:val="20"/>
              </w:rPr>
              <w:t>Incentives vary with transaction volumes and strategic partnerships, directly affecting profit margins.</w:t>
            </w:r>
          </w:p>
        </w:tc>
      </w:tr>
      <w:tr w:rsidR="00952B53" w:rsidRPr="00BF30B6" w14:paraId="4275616C" w14:textId="77777777" w:rsidTr="00135B43">
        <w:tc>
          <w:tcPr>
            <w:tcW w:w="3005" w:type="dxa"/>
          </w:tcPr>
          <w:p w14:paraId="639B1625" w14:textId="1F7D1A5E" w:rsidR="00952B53" w:rsidRPr="00BF30B6" w:rsidRDefault="00952B53" w:rsidP="00BF30B6">
            <w:pPr>
              <w:jc w:val="both"/>
              <w:rPr>
                <w:rFonts w:ascii="Arial" w:hAnsi="Arial" w:cs="Arial"/>
                <w:b/>
                <w:bCs/>
                <w:sz w:val="20"/>
                <w:szCs w:val="20"/>
              </w:rPr>
            </w:pPr>
            <w:r w:rsidRPr="00BF30B6">
              <w:rPr>
                <w:rFonts w:ascii="Arial" w:hAnsi="Arial" w:cs="Arial"/>
                <w:b/>
                <w:bCs/>
                <w:sz w:val="20"/>
                <w:szCs w:val="20"/>
              </w:rPr>
              <w:t>Cost Efficiency through Automation</w:t>
            </w:r>
          </w:p>
        </w:tc>
        <w:tc>
          <w:tcPr>
            <w:tcW w:w="3653" w:type="dxa"/>
          </w:tcPr>
          <w:p w14:paraId="4FAD63F4" w14:textId="3D76F264" w:rsidR="00952B53" w:rsidRPr="00BF30B6" w:rsidRDefault="00952B53" w:rsidP="00BF30B6">
            <w:pPr>
              <w:jc w:val="both"/>
              <w:rPr>
                <w:rFonts w:ascii="Arial" w:hAnsi="Arial" w:cs="Arial"/>
                <w:sz w:val="20"/>
                <w:szCs w:val="20"/>
              </w:rPr>
            </w:pPr>
            <w:r w:rsidRPr="00BF30B6">
              <w:rPr>
                <w:rFonts w:ascii="Arial" w:hAnsi="Arial" w:cs="Arial"/>
                <w:sz w:val="20"/>
                <w:szCs w:val="20"/>
              </w:rPr>
              <w:t>Adoption of AI and machine learning for fraud detection and operational optimization.</w:t>
            </w:r>
          </w:p>
        </w:tc>
        <w:tc>
          <w:tcPr>
            <w:tcW w:w="4111" w:type="dxa"/>
          </w:tcPr>
          <w:p w14:paraId="49E071AA" w14:textId="5C938D91" w:rsidR="00952B53" w:rsidRPr="00BF30B6" w:rsidRDefault="00952B53" w:rsidP="00BF30B6">
            <w:pPr>
              <w:jc w:val="both"/>
              <w:rPr>
                <w:rFonts w:ascii="Arial" w:hAnsi="Arial" w:cs="Arial"/>
                <w:sz w:val="20"/>
                <w:szCs w:val="20"/>
              </w:rPr>
            </w:pPr>
            <w:r w:rsidRPr="00BF30B6">
              <w:rPr>
                <w:rFonts w:ascii="Arial" w:hAnsi="Arial" w:cs="Arial"/>
                <w:sz w:val="20"/>
                <w:szCs w:val="20"/>
              </w:rPr>
              <w:t>Mitigates rising costs in other areas by improving efficiency and reducing fraud-related losses.</w:t>
            </w:r>
          </w:p>
        </w:tc>
      </w:tr>
      <w:tr w:rsidR="00952B53" w14:paraId="1C8EFBBF" w14:textId="77777777" w:rsidTr="00135B43">
        <w:tc>
          <w:tcPr>
            <w:tcW w:w="3005" w:type="dxa"/>
          </w:tcPr>
          <w:p w14:paraId="2C273DD5" w14:textId="77777777" w:rsidR="00952B53" w:rsidRDefault="00952B53" w:rsidP="00DF144D"/>
        </w:tc>
        <w:tc>
          <w:tcPr>
            <w:tcW w:w="3653" w:type="dxa"/>
          </w:tcPr>
          <w:p w14:paraId="787BE6CC" w14:textId="77777777" w:rsidR="00952B53" w:rsidRDefault="00952B53" w:rsidP="00DF144D"/>
        </w:tc>
        <w:tc>
          <w:tcPr>
            <w:tcW w:w="4111" w:type="dxa"/>
          </w:tcPr>
          <w:p w14:paraId="445218D2" w14:textId="77777777" w:rsidR="00952B53" w:rsidRDefault="00952B53" w:rsidP="00DF144D"/>
        </w:tc>
      </w:tr>
    </w:tbl>
    <w:p w14:paraId="6D2E2801" w14:textId="77777777" w:rsidR="00952B53" w:rsidRDefault="00952B53" w:rsidP="00DF144D">
      <w:pPr>
        <w:ind w:left="-851"/>
      </w:pPr>
    </w:p>
    <w:p w14:paraId="298FC31C" w14:textId="06462B8E" w:rsidR="005E3960" w:rsidRPr="00BF30B6" w:rsidRDefault="005E3960" w:rsidP="005E3960">
      <w:pPr>
        <w:pStyle w:val="Heading1"/>
        <w:ind w:left="-851" w:right="-897"/>
        <w:rPr>
          <w:rFonts w:ascii="Arial" w:hAnsi="Arial" w:cs="Arial"/>
          <w:b/>
          <w:bCs/>
          <w:color w:val="000000" w:themeColor="text1"/>
          <w:sz w:val="28"/>
          <w:szCs w:val="28"/>
        </w:rPr>
      </w:pPr>
      <w:r w:rsidRPr="00BF30B6">
        <w:rPr>
          <w:rFonts w:ascii="Arial" w:hAnsi="Arial" w:cs="Arial"/>
          <w:b/>
          <w:bCs/>
          <w:color w:val="000000" w:themeColor="text1"/>
          <w:sz w:val="28"/>
          <w:szCs w:val="28"/>
        </w:rPr>
        <w:t xml:space="preserve">Visa Inc. </w:t>
      </w:r>
      <w:r w:rsidRPr="00BF30B6">
        <w:rPr>
          <w:rFonts w:ascii="Arial" w:hAnsi="Arial" w:cs="Arial"/>
          <w:b/>
          <w:bCs/>
          <w:color w:val="000000" w:themeColor="text1"/>
          <w:sz w:val="28"/>
          <w:szCs w:val="28"/>
        </w:rPr>
        <w:t xml:space="preserve"> S.W.O.T Analysis</w:t>
      </w:r>
    </w:p>
    <w:p w14:paraId="6B888B8C" w14:textId="77777777" w:rsidR="005E3960" w:rsidRDefault="005E3960" w:rsidP="00DF144D">
      <w:pPr>
        <w:ind w:left="-851"/>
      </w:pPr>
    </w:p>
    <w:p w14:paraId="1BB8CE59" w14:textId="061960A4" w:rsidR="005E3960" w:rsidRDefault="005E3960" w:rsidP="005E3960">
      <w:pPr>
        <w:ind w:left="-851" w:right="-897"/>
      </w:pPr>
      <w:r w:rsidRPr="005E3960">
        <w:drawing>
          <wp:inline distT="0" distB="0" distL="0" distR="0" wp14:anchorId="169D1A65" wp14:editId="1ACCF2BE">
            <wp:extent cx="6753225" cy="3810000"/>
            <wp:effectExtent l="0" t="0" r="9525" b="0"/>
            <wp:docPr id="154217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7069" name=""/>
                    <pic:cNvPicPr/>
                  </pic:nvPicPr>
                  <pic:blipFill>
                    <a:blip r:embed="rId9"/>
                    <a:stretch>
                      <a:fillRect/>
                    </a:stretch>
                  </pic:blipFill>
                  <pic:spPr>
                    <a:xfrm>
                      <a:off x="0" y="0"/>
                      <a:ext cx="6753225" cy="3810000"/>
                    </a:xfrm>
                    <a:prstGeom prst="rect">
                      <a:avLst/>
                    </a:prstGeom>
                  </pic:spPr>
                </pic:pic>
              </a:graphicData>
            </a:graphic>
          </wp:inline>
        </w:drawing>
      </w:r>
    </w:p>
    <w:p w14:paraId="5A6A21C7" w14:textId="77777777" w:rsidR="005E3960" w:rsidRDefault="005E3960" w:rsidP="005E3960">
      <w:pPr>
        <w:ind w:left="-851" w:right="-897"/>
      </w:pPr>
    </w:p>
    <w:p w14:paraId="22E8C3EE" w14:textId="6FCC4AC4" w:rsidR="005E3960" w:rsidRPr="00BF30B6" w:rsidRDefault="005E3960" w:rsidP="005E3960">
      <w:pPr>
        <w:pStyle w:val="Heading1"/>
        <w:ind w:left="-851" w:right="-897"/>
        <w:rPr>
          <w:rFonts w:ascii="Arial" w:hAnsi="Arial" w:cs="Arial"/>
          <w:b/>
          <w:bCs/>
          <w:color w:val="000000" w:themeColor="text1"/>
          <w:sz w:val="28"/>
          <w:szCs w:val="28"/>
        </w:rPr>
      </w:pPr>
      <w:r w:rsidRPr="00BF30B6">
        <w:rPr>
          <w:rFonts w:ascii="Arial" w:hAnsi="Arial" w:cs="Arial"/>
          <w:b/>
          <w:bCs/>
          <w:color w:val="000000" w:themeColor="text1"/>
          <w:sz w:val="28"/>
          <w:szCs w:val="28"/>
        </w:rPr>
        <w:lastRenderedPageBreak/>
        <w:t xml:space="preserve">Visa Inc. </w:t>
      </w:r>
      <w:r w:rsidR="000E4B68" w:rsidRPr="00BF30B6">
        <w:rPr>
          <w:rFonts w:ascii="Arial" w:hAnsi="Arial" w:cs="Arial"/>
          <w:b/>
          <w:bCs/>
          <w:color w:val="000000" w:themeColor="text1"/>
          <w:sz w:val="28"/>
          <w:szCs w:val="28"/>
        </w:rPr>
        <w:t>PESTEL Analysis</w:t>
      </w:r>
    </w:p>
    <w:p w14:paraId="4A2C5C96" w14:textId="725FB8D7" w:rsidR="005E3960" w:rsidRDefault="000E4B68" w:rsidP="005E3960">
      <w:pPr>
        <w:ind w:left="-851" w:right="-897"/>
      </w:pPr>
      <w:r w:rsidRPr="000E4B68">
        <w:drawing>
          <wp:inline distT="0" distB="0" distL="0" distR="0" wp14:anchorId="5D430F55" wp14:editId="723E976B">
            <wp:extent cx="6684010" cy="3486150"/>
            <wp:effectExtent l="0" t="0" r="2540" b="0"/>
            <wp:docPr id="614235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5582" name=""/>
                    <pic:cNvPicPr/>
                  </pic:nvPicPr>
                  <pic:blipFill>
                    <a:blip r:embed="rId10"/>
                    <a:stretch>
                      <a:fillRect/>
                    </a:stretch>
                  </pic:blipFill>
                  <pic:spPr>
                    <a:xfrm>
                      <a:off x="0" y="0"/>
                      <a:ext cx="6689683" cy="3489109"/>
                    </a:xfrm>
                    <a:prstGeom prst="rect">
                      <a:avLst/>
                    </a:prstGeom>
                  </pic:spPr>
                </pic:pic>
              </a:graphicData>
            </a:graphic>
          </wp:inline>
        </w:drawing>
      </w:r>
    </w:p>
    <w:p w14:paraId="70CD645C" w14:textId="77777777" w:rsidR="0090057D" w:rsidRDefault="0090057D" w:rsidP="005E3960">
      <w:pPr>
        <w:ind w:left="-851" w:right="-897"/>
      </w:pPr>
    </w:p>
    <w:p w14:paraId="32506776" w14:textId="7AFC899B" w:rsidR="0090057D" w:rsidRPr="00BF30B6" w:rsidRDefault="0090057D" w:rsidP="0090057D">
      <w:pPr>
        <w:pStyle w:val="Heading1"/>
        <w:ind w:left="-851" w:right="-897"/>
        <w:rPr>
          <w:rFonts w:ascii="Arial" w:hAnsi="Arial" w:cs="Arial"/>
          <w:b/>
          <w:bCs/>
          <w:color w:val="000000" w:themeColor="text1"/>
          <w:sz w:val="28"/>
          <w:szCs w:val="28"/>
        </w:rPr>
      </w:pPr>
      <w:r w:rsidRPr="00BF30B6">
        <w:rPr>
          <w:rFonts w:ascii="Arial" w:hAnsi="Arial" w:cs="Arial"/>
          <w:b/>
          <w:bCs/>
          <w:color w:val="000000" w:themeColor="text1"/>
          <w:sz w:val="28"/>
          <w:szCs w:val="28"/>
        </w:rPr>
        <w:t>Visa Inc</w:t>
      </w:r>
      <w:r w:rsidRPr="00BF30B6">
        <w:rPr>
          <w:rFonts w:ascii="Arial" w:hAnsi="Arial" w:cs="Arial"/>
          <w:b/>
          <w:bCs/>
          <w:color w:val="000000" w:themeColor="text1"/>
          <w:sz w:val="28"/>
          <w:szCs w:val="28"/>
        </w:rPr>
        <w:t xml:space="preserve">. analysis of the competitive environment </w:t>
      </w:r>
    </w:p>
    <w:p w14:paraId="09371D3C" w14:textId="77777777" w:rsidR="00BF30B6" w:rsidRDefault="00BF30B6" w:rsidP="00924459">
      <w:pPr>
        <w:ind w:left="-851" w:right="-755"/>
        <w:rPr>
          <w:rFonts w:ascii="Arial" w:hAnsi="Arial" w:cs="Arial"/>
          <w:b/>
          <w:bCs/>
          <w:sz w:val="20"/>
          <w:szCs w:val="20"/>
        </w:rPr>
      </w:pPr>
    </w:p>
    <w:p w14:paraId="717B0ADF" w14:textId="1B46E11F" w:rsidR="00924459" w:rsidRPr="00924459" w:rsidRDefault="00924459" w:rsidP="00924459">
      <w:pPr>
        <w:ind w:left="-851" w:right="-755"/>
        <w:rPr>
          <w:rFonts w:ascii="Arial" w:hAnsi="Arial" w:cs="Arial"/>
          <w:b/>
          <w:bCs/>
          <w:sz w:val="20"/>
          <w:szCs w:val="20"/>
        </w:rPr>
      </w:pPr>
      <w:r w:rsidRPr="00924459">
        <w:rPr>
          <w:rFonts w:ascii="Arial" w:hAnsi="Arial" w:cs="Arial"/>
          <w:b/>
          <w:bCs/>
          <w:sz w:val="20"/>
          <w:szCs w:val="20"/>
        </w:rPr>
        <w:t>Competitive Landscape</w:t>
      </w:r>
    </w:p>
    <w:p w14:paraId="185CFEC1" w14:textId="77777777" w:rsidR="00924459" w:rsidRPr="00924459" w:rsidRDefault="00924459" w:rsidP="00924459">
      <w:pPr>
        <w:ind w:left="-851" w:right="-755"/>
        <w:rPr>
          <w:rFonts w:ascii="Arial" w:hAnsi="Arial" w:cs="Arial"/>
          <w:sz w:val="20"/>
          <w:szCs w:val="20"/>
        </w:rPr>
      </w:pPr>
      <w:r w:rsidRPr="00924459">
        <w:rPr>
          <w:rFonts w:ascii="Arial" w:hAnsi="Arial" w:cs="Arial"/>
          <w:sz w:val="20"/>
          <w:szCs w:val="20"/>
        </w:rPr>
        <w:t>Visa Inc. operates in the highly competitive payments and fintech industry. Its major competitors include:</w:t>
      </w:r>
    </w:p>
    <w:p w14:paraId="42A601C3" w14:textId="77777777" w:rsidR="00924459" w:rsidRPr="00924459" w:rsidRDefault="00924459" w:rsidP="00924459">
      <w:pPr>
        <w:numPr>
          <w:ilvl w:val="0"/>
          <w:numId w:val="8"/>
        </w:numPr>
        <w:ind w:right="-755"/>
        <w:rPr>
          <w:rFonts w:ascii="Arial" w:hAnsi="Arial" w:cs="Arial"/>
          <w:sz w:val="20"/>
          <w:szCs w:val="20"/>
        </w:rPr>
      </w:pPr>
      <w:r w:rsidRPr="00924459">
        <w:rPr>
          <w:rFonts w:ascii="Arial" w:hAnsi="Arial" w:cs="Arial"/>
          <w:b/>
          <w:bCs/>
          <w:sz w:val="20"/>
          <w:szCs w:val="20"/>
        </w:rPr>
        <w:t>Mastercard Inc.</w:t>
      </w:r>
      <w:r w:rsidRPr="00924459">
        <w:rPr>
          <w:rFonts w:ascii="Arial" w:hAnsi="Arial" w:cs="Arial"/>
          <w:sz w:val="20"/>
          <w:szCs w:val="20"/>
        </w:rPr>
        <w:t>: A global payment network and Visa's closest competitor.</w:t>
      </w:r>
    </w:p>
    <w:p w14:paraId="759E72E6" w14:textId="77777777" w:rsidR="00924459" w:rsidRPr="00924459" w:rsidRDefault="00924459" w:rsidP="00924459">
      <w:pPr>
        <w:numPr>
          <w:ilvl w:val="0"/>
          <w:numId w:val="8"/>
        </w:numPr>
        <w:ind w:right="-755"/>
        <w:rPr>
          <w:rFonts w:ascii="Arial" w:hAnsi="Arial" w:cs="Arial"/>
          <w:sz w:val="20"/>
          <w:szCs w:val="20"/>
        </w:rPr>
      </w:pPr>
      <w:r w:rsidRPr="00924459">
        <w:rPr>
          <w:rFonts w:ascii="Arial" w:hAnsi="Arial" w:cs="Arial"/>
          <w:b/>
          <w:bCs/>
          <w:sz w:val="20"/>
          <w:szCs w:val="20"/>
        </w:rPr>
        <w:t>Fiserv Inc.</w:t>
      </w:r>
      <w:r w:rsidRPr="00924459">
        <w:rPr>
          <w:rFonts w:ascii="Arial" w:hAnsi="Arial" w:cs="Arial"/>
          <w:sz w:val="20"/>
          <w:szCs w:val="20"/>
        </w:rPr>
        <w:t>: A leading provider of financial technology and payment solutions.</w:t>
      </w:r>
    </w:p>
    <w:p w14:paraId="5AAAD252" w14:textId="77777777" w:rsidR="00924459" w:rsidRPr="00924459" w:rsidRDefault="00924459" w:rsidP="00924459">
      <w:pPr>
        <w:numPr>
          <w:ilvl w:val="0"/>
          <w:numId w:val="8"/>
        </w:numPr>
        <w:ind w:right="-755"/>
        <w:rPr>
          <w:rFonts w:ascii="Arial" w:hAnsi="Arial" w:cs="Arial"/>
          <w:sz w:val="20"/>
          <w:szCs w:val="20"/>
        </w:rPr>
      </w:pPr>
      <w:r w:rsidRPr="00924459">
        <w:rPr>
          <w:rFonts w:ascii="Arial" w:hAnsi="Arial" w:cs="Arial"/>
          <w:b/>
          <w:bCs/>
          <w:sz w:val="20"/>
          <w:szCs w:val="20"/>
        </w:rPr>
        <w:t>American Express Co.</w:t>
      </w:r>
      <w:r w:rsidRPr="00924459">
        <w:rPr>
          <w:rFonts w:ascii="Arial" w:hAnsi="Arial" w:cs="Arial"/>
          <w:sz w:val="20"/>
          <w:szCs w:val="20"/>
        </w:rPr>
        <w:t>: Focused on premium customer segments.</w:t>
      </w:r>
    </w:p>
    <w:p w14:paraId="66537BDD" w14:textId="77777777" w:rsidR="00924459" w:rsidRPr="00924459" w:rsidRDefault="00924459" w:rsidP="00924459">
      <w:pPr>
        <w:numPr>
          <w:ilvl w:val="0"/>
          <w:numId w:val="8"/>
        </w:numPr>
        <w:ind w:right="-755"/>
        <w:rPr>
          <w:rFonts w:ascii="Arial" w:hAnsi="Arial" w:cs="Arial"/>
          <w:sz w:val="20"/>
          <w:szCs w:val="20"/>
        </w:rPr>
      </w:pPr>
      <w:r w:rsidRPr="00924459">
        <w:rPr>
          <w:rFonts w:ascii="Arial" w:hAnsi="Arial" w:cs="Arial"/>
          <w:b/>
          <w:bCs/>
          <w:sz w:val="20"/>
          <w:szCs w:val="20"/>
        </w:rPr>
        <w:t>PayPal Holdings, Inc.</w:t>
      </w:r>
      <w:r w:rsidRPr="00924459">
        <w:rPr>
          <w:rFonts w:ascii="Arial" w:hAnsi="Arial" w:cs="Arial"/>
          <w:sz w:val="20"/>
          <w:szCs w:val="20"/>
        </w:rPr>
        <w:t>: A leader in digital wallet and online payments.</w:t>
      </w:r>
    </w:p>
    <w:p w14:paraId="2BC3B297" w14:textId="77777777" w:rsidR="00924459" w:rsidRPr="00924459" w:rsidRDefault="00924459" w:rsidP="00924459">
      <w:pPr>
        <w:numPr>
          <w:ilvl w:val="0"/>
          <w:numId w:val="8"/>
        </w:numPr>
        <w:ind w:right="-755"/>
        <w:rPr>
          <w:rFonts w:ascii="Arial" w:hAnsi="Arial" w:cs="Arial"/>
          <w:sz w:val="20"/>
          <w:szCs w:val="20"/>
        </w:rPr>
      </w:pPr>
      <w:r w:rsidRPr="00924459">
        <w:rPr>
          <w:rFonts w:ascii="Arial" w:hAnsi="Arial" w:cs="Arial"/>
          <w:b/>
          <w:bCs/>
          <w:sz w:val="20"/>
          <w:szCs w:val="20"/>
        </w:rPr>
        <w:t xml:space="preserve">Emerging </w:t>
      </w:r>
      <w:proofErr w:type="spellStart"/>
      <w:r w:rsidRPr="00924459">
        <w:rPr>
          <w:rFonts w:ascii="Arial" w:hAnsi="Arial" w:cs="Arial"/>
          <w:b/>
          <w:bCs/>
          <w:sz w:val="20"/>
          <w:szCs w:val="20"/>
        </w:rPr>
        <w:t>Fintechs</w:t>
      </w:r>
      <w:proofErr w:type="spellEnd"/>
      <w:r w:rsidRPr="00924459">
        <w:rPr>
          <w:rFonts w:ascii="Arial" w:hAnsi="Arial" w:cs="Arial"/>
          <w:sz w:val="20"/>
          <w:szCs w:val="20"/>
        </w:rPr>
        <w:t>: Disruptors like Stripe and Square offering innovative payment solutions.</w:t>
      </w:r>
    </w:p>
    <w:p w14:paraId="3555443C" w14:textId="3EF7255F" w:rsidR="00924459" w:rsidRPr="00924459" w:rsidRDefault="00924459" w:rsidP="00924459">
      <w:pPr>
        <w:ind w:left="-851" w:right="-897"/>
        <w:rPr>
          <w:rFonts w:ascii="Arial" w:hAnsi="Arial" w:cs="Arial"/>
          <w:b/>
          <w:bCs/>
          <w:sz w:val="20"/>
          <w:szCs w:val="20"/>
        </w:rPr>
      </w:pPr>
      <w:r w:rsidRPr="00924459">
        <w:rPr>
          <w:rFonts w:ascii="Arial" w:hAnsi="Arial" w:cs="Arial"/>
          <w:b/>
          <w:bCs/>
          <w:sz w:val="20"/>
          <w:szCs w:val="20"/>
        </w:rPr>
        <w:t xml:space="preserve">Key Competitors and their strategies </w:t>
      </w:r>
    </w:p>
    <w:tbl>
      <w:tblPr>
        <w:tblW w:w="10348" w:type="dxa"/>
        <w:tblInd w:w="-572" w:type="dxa"/>
        <w:tblLook w:val="04A0" w:firstRow="1" w:lastRow="0" w:firstColumn="1" w:lastColumn="0" w:noHBand="0" w:noVBand="1"/>
      </w:tblPr>
      <w:tblGrid>
        <w:gridCol w:w="2352"/>
        <w:gridCol w:w="3340"/>
        <w:gridCol w:w="4656"/>
      </w:tblGrid>
      <w:tr w:rsidR="00924459" w:rsidRPr="00924459" w14:paraId="330BC27A" w14:textId="77777777" w:rsidTr="00924459">
        <w:trPr>
          <w:trHeight w:val="864"/>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88379" w14:textId="77777777" w:rsidR="00924459" w:rsidRPr="00924459" w:rsidRDefault="00924459" w:rsidP="00924459">
            <w:pPr>
              <w:spacing w:after="0" w:line="240" w:lineRule="auto"/>
              <w:jc w:val="center"/>
              <w:rPr>
                <w:rFonts w:ascii="Arial" w:eastAsia="Times New Roman" w:hAnsi="Arial" w:cs="Arial"/>
                <w:b/>
                <w:bCs/>
                <w:color w:val="000000"/>
                <w:kern w:val="0"/>
                <w:sz w:val="20"/>
                <w:szCs w:val="20"/>
                <w:lang w:eastAsia="en-IN"/>
                <w14:ligatures w14:val="none"/>
              </w:rPr>
            </w:pPr>
            <w:r w:rsidRPr="00924459">
              <w:rPr>
                <w:rFonts w:ascii="Arial" w:eastAsia="Times New Roman" w:hAnsi="Arial" w:cs="Arial"/>
                <w:b/>
                <w:bCs/>
                <w:color w:val="000000"/>
                <w:kern w:val="0"/>
                <w:sz w:val="20"/>
                <w:szCs w:val="20"/>
                <w:lang w:eastAsia="en-IN"/>
                <w14:ligatures w14:val="none"/>
              </w:rPr>
              <w:t>Company</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4C186337" w14:textId="77777777" w:rsidR="00924459" w:rsidRPr="00924459" w:rsidRDefault="00924459" w:rsidP="00924459">
            <w:pPr>
              <w:spacing w:after="0" w:line="240" w:lineRule="auto"/>
              <w:jc w:val="center"/>
              <w:rPr>
                <w:rFonts w:ascii="Arial" w:eastAsia="Times New Roman" w:hAnsi="Arial" w:cs="Arial"/>
                <w:b/>
                <w:bCs/>
                <w:color w:val="000000"/>
                <w:kern w:val="0"/>
                <w:sz w:val="20"/>
                <w:szCs w:val="20"/>
                <w:lang w:eastAsia="en-IN"/>
                <w14:ligatures w14:val="none"/>
              </w:rPr>
            </w:pPr>
            <w:r w:rsidRPr="00924459">
              <w:rPr>
                <w:rFonts w:ascii="Arial" w:eastAsia="Times New Roman" w:hAnsi="Arial" w:cs="Arial"/>
                <w:b/>
                <w:bCs/>
                <w:color w:val="000000"/>
                <w:kern w:val="0"/>
                <w:sz w:val="20"/>
                <w:szCs w:val="20"/>
                <w:lang w:eastAsia="en-IN"/>
                <w14:ligatures w14:val="none"/>
              </w:rPr>
              <w:t>Performance Metrics</w:t>
            </w:r>
          </w:p>
        </w:tc>
        <w:tc>
          <w:tcPr>
            <w:tcW w:w="4656" w:type="dxa"/>
            <w:tcBorders>
              <w:top w:val="single" w:sz="4" w:space="0" w:color="auto"/>
              <w:left w:val="nil"/>
              <w:bottom w:val="single" w:sz="4" w:space="0" w:color="auto"/>
              <w:right w:val="single" w:sz="4" w:space="0" w:color="auto"/>
            </w:tcBorders>
            <w:shd w:val="clear" w:color="auto" w:fill="auto"/>
            <w:vAlign w:val="center"/>
            <w:hideMark/>
          </w:tcPr>
          <w:p w14:paraId="5EA31FE7" w14:textId="77777777" w:rsidR="00924459" w:rsidRPr="00924459" w:rsidRDefault="00924459" w:rsidP="00924459">
            <w:pPr>
              <w:spacing w:after="0" w:line="240" w:lineRule="auto"/>
              <w:jc w:val="center"/>
              <w:rPr>
                <w:rFonts w:ascii="Arial" w:eastAsia="Times New Roman" w:hAnsi="Arial" w:cs="Arial"/>
                <w:b/>
                <w:bCs/>
                <w:color w:val="000000"/>
                <w:kern w:val="0"/>
                <w:sz w:val="20"/>
                <w:szCs w:val="20"/>
                <w:lang w:eastAsia="en-IN"/>
                <w14:ligatures w14:val="none"/>
              </w:rPr>
            </w:pPr>
            <w:r w:rsidRPr="00924459">
              <w:rPr>
                <w:rFonts w:ascii="Arial" w:eastAsia="Times New Roman" w:hAnsi="Arial" w:cs="Arial"/>
                <w:b/>
                <w:bCs/>
                <w:color w:val="000000"/>
                <w:kern w:val="0"/>
                <w:sz w:val="20"/>
                <w:szCs w:val="20"/>
                <w:lang w:eastAsia="en-IN"/>
                <w14:ligatures w14:val="none"/>
              </w:rPr>
              <w:t>Key Strategies</w:t>
            </w:r>
          </w:p>
        </w:tc>
      </w:tr>
      <w:tr w:rsidR="00924459" w:rsidRPr="00924459" w14:paraId="19027C17" w14:textId="77777777" w:rsidTr="00924459">
        <w:trPr>
          <w:trHeight w:val="672"/>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653088D3" w14:textId="77777777" w:rsidR="00924459" w:rsidRPr="00924459" w:rsidRDefault="00924459" w:rsidP="00924459">
            <w:pPr>
              <w:spacing w:after="0" w:line="240" w:lineRule="auto"/>
              <w:rPr>
                <w:rFonts w:ascii="Arial" w:eastAsia="Times New Roman" w:hAnsi="Arial" w:cs="Arial"/>
                <w:b/>
                <w:bCs/>
                <w:color w:val="000000"/>
                <w:kern w:val="0"/>
                <w:sz w:val="20"/>
                <w:szCs w:val="20"/>
                <w:lang w:eastAsia="en-IN"/>
                <w14:ligatures w14:val="none"/>
              </w:rPr>
            </w:pPr>
            <w:r w:rsidRPr="00924459">
              <w:rPr>
                <w:rFonts w:ascii="Arial" w:eastAsia="Times New Roman" w:hAnsi="Arial" w:cs="Arial"/>
                <w:b/>
                <w:bCs/>
                <w:color w:val="000000"/>
                <w:kern w:val="0"/>
                <w:sz w:val="20"/>
                <w:szCs w:val="20"/>
                <w:lang w:eastAsia="en-IN"/>
                <w14:ligatures w14:val="none"/>
              </w:rPr>
              <w:t>Visa Inc.</w:t>
            </w:r>
          </w:p>
        </w:tc>
        <w:tc>
          <w:tcPr>
            <w:tcW w:w="3340" w:type="dxa"/>
            <w:tcBorders>
              <w:top w:val="nil"/>
              <w:left w:val="nil"/>
              <w:bottom w:val="single" w:sz="4" w:space="0" w:color="auto"/>
              <w:right w:val="single" w:sz="4" w:space="0" w:color="auto"/>
            </w:tcBorders>
            <w:shd w:val="clear" w:color="auto" w:fill="auto"/>
            <w:vAlign w:val="center"/>
            <w:hideMark/>
          </w:tcPr>
          <w:p w14:paraId="11FE03F0"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FY2023 Revenue: $32.65 billion</w:t>
            </w:r>
          </w:p>
        </w:tc>
        <w:tc>
          <w:tcPr>
            <w:tcW w:w="4656" w:type="dxa"/>
            <w:tcBorders>
              <w:top w:val="nil"/>
              <w:left w:val="nil"/>
              <w:bottom w:val="single" w:sz="4" w:space="0" w:color="auto"/>
              <w:right w:val="single" w:sz="4" w:space="0" w:color="auto"/>
            </w:tcBorders>
            <w:shd w:val="clear" w:color="auto" w:fill="auto"/>
            <w:vAlign w:val="center"/>
            <w:hideMark/>
          </w:tcPr>
          <w:p w14:paraId="58E9B646"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Focus on real-time payments (Visa Direct).</w:t>
            </w:r>
          </w:p>
        </w:tc>
      </w:tr>
      <w:tr w:rsidR="00924459" w:rsidRPr="00924459" w14:paraId="26D15D9C" w14:textId="77777777" w:rsidTr="00924459">
        <w:trPr>
          <w:trHeight w:val="636"/>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0F5F3DF9" w14:textId="77777777" w:rsidR="00924459" w:rsidRPr="00924459" w:rsidRDefault="00924459" w:rsidP="00924459">
            <w:pPr>
              <w:spacing w:after="0" w:line="240" w:lineRule="auto"/>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w:t>
            </w:r>
          </w:p>
        </w:tc>
        <w:tc>
          <w:tcPr>
            <w:tcW w:w="3340" w:type="dxa"/>
            <w:tcBorders>
              <w:top w:val="nil"/>
              <w:left w:val="nil"/>
              <w:bottom w:val="single" w:sz="4" w:space="0" w:color="auto"/>
              <w:right w:val="single" w:sz="4" w:space="0" w:color="auto"/>
            </w:tcBorders>
            <w:shd w:val="clear" w:color="auto" w:fill="auto"/>
            <w:vAlign w:val="center"/>
            <w:hideMark/>
          </w:tcPr>
          <w:p w14:paraId="53D93519"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Transactions: 276 billion</w:t>
            </w:r>
          </w:p>
        </w:tc>
        <w:tc>
          <w:tcPr>
            <w:tcW w:w="4656" w:type="dxa"/>
            <w:tcBorders>
              <w:top w:val="nil"/>
              <w:left w:val="nil"/>
              <w:bottom w:val="single" w:sz="4" w:space="0" w:color="auto"/>
              <w:right w:val="single" w:sz="4" w:space="0" w:color="auto"/>
            </w:tcBorders>
            <w:shd w:val="clear" w:color="auto" w:fill="auto"/>
            <w:vAlign w:val="center"/>
            <w:hideMark/>
          </w:tcPr>
          <w:p w14:paraId="4ED6F066" w14:textId="784A205C"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xml:space="preserve">- Strategic partnerships with </w:t>
            </w:r>
            <w:r w:rsidRPr="00924459">
              <w:rPr>
                <w:rFonts w:ascii="Arial" w:eastAsia="Times New Roman" w:hAnsi="Arial" w:cs="Arial"/>
                <w:color w:val="000000"/>
                <w:kern w:val="0"/>
                <w:sz w:val="20"/>
                <w:szCs w:val="20"/>
                <w:lang w:eastAsia="en-IN"/>
                <w14:ligatures w14:val="none"/>
              </w:rPr>
              <w:t>fintech’s</w:t>
            </w:r>
            <w:r w:rsidRPr="00924459">
              <w:rPr>
                <w:rFonts w:ascii="Arial" w:eastAsia="Times New Roman" w:hAnsi="Arial" w:cs="Arial"/>
                <w:color w:val="000000"/>
                <w:kern w:val="0"/>
                <w:sz w:val="20"/>
                <w:szCs w:val="20"/>
                <w:lang w:eastAsia="en-IN"/>
                <w14:ligatures w14:val="none"/>
              </w:rPr>
              <w:t xml:space="preserve"> and neobanks.</w:t>
            </w:r>
          </w:p>
        </w:tc>
      </w:tr>
      <w:tr w:rsidR="00924459" w:rsidRPr="00924459" w14:paraId="048B6C6D" w14:textId="77777777" w:rsidTr="00924459">
        <w:trPr>
          <w:trHeight w:val="6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4900FA5F" w14:textId="77777777" w:rsidR="00924459" w:rsidRPr="00924459" w:rsidRDefault="00924459" w:rsidP="00924459">
            <w:pPr>
              <w:spacing w:after="0" w:line="240" w:lineRule="auto"/>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w:t>
            </w:r>
          </w:p>
        </w:tc>
        <w:tc>
          <w:tcPr>
            <w:tcW w:w="3340" w:type="dxa"/>
            <w:tcBorders>
              <w:top w:val="nil"/>
              <w:left w:val="nil"/>
              <w:bottom w:val="single" w:sz="4" w:space="0" w:color="auto"/>
              <w:right w:val="single" w:sz="4" w:space="0" w:color="auto"/>
            </w:tcBorders>
            <w:shd w:val="clear" w:color="auto" w:fill="auto"/>
            <w:vAlign w:val="center"/>
            <w:hideMark/>
          </w:tcPr>
          <w:p w14:paraId="4591DA0A"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Market Share: Leading globally</w:t>
            </w:r>
          </w:p>
        </w:tc>
        <w:tc>
          <w:tcPr>
            <w:tcW w:w="4656" w:type="dxa"/>
            <w:tcBorders>
              <w:top w:val="nil"/>
              <w:left w:val="nil"/>
              <w:bottom w:val="single" w:sz="4" w:space="0" w:color="auto"/>
              <w:right w:val="single" w:sz="4" w:space="0" w:color="auto"/>
            </w:tcBorders>
            <w:shd w:val="clear" w:color="auto" w:fill="auto"/>
            <w:vAlign w:val="center"/>
            <w:hideMark/>
          </w:tcPr>
          <w:p w14:paraId="07668F12"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Expansion into underbanked regions.</w:t>
            </w:r>
          </w:p>
        </w:tc>
      </w:tr>
      <w:tr w:rsidR="00924459" w:rsidRPr="00924459" w14:paraId="1E227B89" w14:textId="77777777" w:rsidTr="00924459">
        <w:trPr>
          <w:trHeight w:val="564"/>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73CB3EA0" w14:textId="77777777" w:rsidR="00924459" w:rsidRPr="00924459" w:rsidRDefault="00924459" w:rsidP="00924459">
            <w:pPr>
              <w:spacing w:after="0" w:line="240" w:lineRule="auto"/>
              <w:rPr>
                <w:rFonts w:ascii="Arial" w:eastAsia="Times New Roman" w:hAnsi="Arial" w:cs="Arial"/>
                <w:b/>
                <w:bCs/>
                <w:color w:val="000000"/>
                <w:kern w:val="0"/>
                <w:sz w:val="20"/>
                <w:szCs w:val="20"/>
                <w:lang w:eastAsia="en-IN"/>
                <w14:ligatures w14:val="none"/>
              </w:rPr>
            </w:pPr>
            <w:r w:rsidRPr="00924459">
              <w:rPr>
                <w:rFonts w:ascii="Arial" w:eastAsia="Times New Roman" w:hAnsi="Arial" w:cs="Arial"/>
                <w:b/>
                <w:bCs/>
                <w:color w:val="000000"/>
                <w:kern w:val="0"/>
                <w:sz w:val="20"/>
                <w:szCs w:val="20"/>
                <w:lang w:eastAsia="en-IN"/>
                <w14:ligatures w14:val="none"/>
              </w:rPr>
              <w:lastRenderedPageBreak/>
              <w:t>Mastercard Inc.</w:t>
            </w:r>
          </w:p>
        </w:tc>
        <w:tc>
          <w:tcPr>
            <w:tcW w:w="3340" w:type="dxa"/>
            <w:tcBorders>
              <w:top w:val="nil"/>
              <w:left w:val="nil"/>
              <w:bottom w:val="single" w:sz="4" w:space="0" w:color="auto"/>
              <w:right w:val="single" w:sz="4" w:space="0" w:color="auto"/>
            </w:tcBorders>
            <w:shd w:val="clear" w:color="auto" w:fill="auto"/>
            <w:vAlign w:val="center"/>
            <w:hideMark/>
          </w:tcPr>
          <w:p w14:paraId="572E86B2"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FY2023 Revenue: $24 billion</w:t>
            </w:r>
          </w:p>
        </w:tc>
        <w:tc>
          <w:tcPr>
            <w:tcW w:w="4656" w:type="dxa"/>
            <w:tcBorders>
              <w:top w:val="nil"/>
              <w:left w:val="nil"/>
              <w:bottom w:val="single" w:sz="4" w:space="0" w:color="auto"/>
              <w:right w:val="single" w:sz="4" w:space="0" w:color="auto"/>
            </w:tcBorders>
            <w:shd w:val="clear" w:color="auto" w:fill="auto"/>
            <w:vAlign w:val="center"/>
            <w:hideMark/>
          </w:tcPr>
          <w:p w14:paraId="2EF23D32"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Investment in cross-border and real-time payment systems.</w:t>
            </w:r>
          </w:p>
        </w:tc>
      </w:tr>
      <w:tr w:rsidR="00924459" w:rsidRPr="00924459" w14:paraId="71299D93" w14:textId="77777777" w:rsidTr="00924459">
        <w:trPr>
          <w:trHeight w:val="612"/>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2BE9FE7A" w14:textId="77777777" w:rsidR="00924459" w:rsidRPr="00924459" w:rsidRDefault="00924459" w:rsidP="00924459">
            <w:pPr>
              <w:spacing w:after="0" w:line="240" w:lineRule="auto"/>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w:t>
            </w:r>
          </w:p>
        </w:tc>
        <w:tc>
          <w:tcPr>
            <w:tcW w:w="3340" w:type="dxa"/>
            <w:tcBorders>
              <w:top w:val="nil"/>
              <w:left w:val="nil"/>
              <w:bottom w:val="single" w:sz="4" w:space="0" w:color="auto"/>
              <w:right w:val="single" w:sz="4" w:space="0" w:color="auto"/>
            </w:tcBorders>
            <w:shd w:val="clear" w:color="auto" w:fill="auto"/>
            <w:vAlign w:val="center"/>
            <w:hideMark/>
          </w:tcPr>
          <w:p w14:paraId="4AD461A4"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Transactions: 120 billion</w:t>
            </w:r>
          </w:p>
        </w:tc>
        <w:tc>
          <w:tcPr>
            <w:tcW w:w="4656" w:type="dxa"/>
            <w:tcBorders>
              <w:top w:val="nil"/>
              <w:left w:val="nil"/>
              <w:bottom w:val="single" w:sz="4" w:space="0" w:color="auto"/>
              <w:right w:val="single" w:sz="4" w:space="0" w:color="auto"/>
            </w:tcBorders>
            <w:shd w:val="clear" w:color="auto" w:fill="auto"/>
            <w:vAlign w:val="center"/>
            <w:hideMark/>
          </w:tcPr>
          <w:p w14:paraId="50B2A9D1"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Focus on open banking and AI-driven solutions.</w:t>
            </w:r>
          </w:p>
        </w:tc>
      </w:tr>
      <w:tr w:rsidR="00924459" w:rsidRPr="00924459" w14:paraId="72B8A0B3" w14:textId="77777777" w:rsidTr="00924459">
        <w:trPr>
          <w:trHeight w:val="588"/>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648F0AC2" w14:textId="77777777" w:rsidR="00924459" w:rsidRPr="00924459" w:rsidRDefault="00924459" w:rsidP="00924459">
            <w:pPr>
              <w:spacing w:after="0" w:line="240" w:lineRule="auto"/>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w:t>
            </w:r>
          </w:p>
        </w:tc>
        <w:tc>
          <w:tcPr>
            <w:tcW w:w="3340" w:type="dxa"/>
            <w:tcBorders>
              <w:top w:val="nil"/>
              <w:left w:val="nil"/>
              <w:bottom w:val="single" w:sz="4" w:space="0" w:color="auto"/>
              <w:right w:val="single" w:sz="4" w:space="0" w:color="auto"/>
            </w:tcBorders>
            <w:shd w:val="clear" w:color="auto" w:fill="auto"/>
            <w:vAlign w:val="center"/>
            <w:hideMark/>
          </w:tcPr>
          <w:p w14:paraId="5E9CA624"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Market Share: Second globally</w:t>
            </w:r>
          </w:p>
        </w:tc>
        <w:tc>
          <w:tcPr>
            <w:tcW w:w="4656" w:type="dxa"/>
            <w:tcBorders>
              <w:top w:val="nil"/>
              <w:left w:val="nil"/>
              <w:bottom w:val="single" w:sz="4" w:space="0" w:color="auto"/>
              <w:right w:val="single" w:sz="4" w:space="0" w:color="auto"/>
            </w:tcBorders>
            <w:shd w:val="clear" w:color="auto" w:fill="auto"/>
            <w:vAlign w:val="center"/>
            <w:hideMark/>
          </w:tcPr>
          <w:p w14:paraId="3A9EA1F9"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w:t>
            </w:r>
          </w:p>
        </w:tc>
      </w:tr>
      <w:tr w:rsidR="00924459" w:rsidRPr="00924459" w14:paraId="5927430E" w14:textId="77777777" w:rsidTr="00924459">
        <w:trPr>
          <w:trHeight w:val="564"/>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2FF9EBAA" w14:textId="77777777" w:rsidR="00924459" w:rsidRPr="00924459" w:rsidRDefault="00924459" w:rsidP="00924459">
            <w:pPr>
              <w:spacing w:after="0" w:line="240" w:lineRule="auto"/>
              <w:rPr>
                <w:rFonts w:ascii="Arial" w:eastAsia="Times New Roman" w:hAnsi="Arial" w:cs="Arial"/>
                <w:b/>
                <w:bCs/>
                <w:color w:val="000000"/>
                <w:kern w:val="0"/>
                <w:sz w:val="20"/>
                <w:szCs w:val="20"/>
                <w:lang w:eastAsia="en-IN"/>
                <w14:ligatures w14:val="none"/>
              </w:rPr>
            </w:pPr>
            <w:r w:rsidRPr="00924459">
              <w:rPr>
                <w:rFonts w:ascii="Arial" w:eastAsia="Times New Roman" w:hAnsi="Arial" w:cs="Arial"/>
                <w:b/>
                <w:bCs/>
                <w:color w:val="000000"/>
                <w:kern w:val="0"/>
                <w:sz w:val="20"/>
                <w:szCs w:val="20"/>
                <w:lang w:eastAsia="en-IN"/>
                <w14:ligatures w14:val="none"/>
              </w:rPr>
              <w:t>Fiserv Inc.</w:t>
            </w:r>
          </w:p>
        </w:tc>
        <w:tc>
          <w:tcPr>
            <w:tcW w:w="3340" w:type="dxa"/>
            <w:tcBorders>
              <w:top w:val="nil"/>
              <w:left w:val="nil"/>
              <w:bottom w:val="single" w:sz="4" w:space="0" w:color="auto"/>
              <w:right w:val="single" w:sz="4" w:space="0" w:color="auto"/>
            </w:tcBorders>
            <w:shd w:val="clear" w:color="auto" w:fill="auto"/>
            <w:vAlign w:val="center"/>
            <w:hideMark/>
          </w:tcPr>
          <w:p w14:paraId="21D29D52"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FY2023 Revenue: $19.3 billion</w:t>
            </w:r>
          </w:p>
        </w:tc>
        <w:tc>
          <w:tcPr>
            <w:tcW w:w="4656" w:type="dxa"/>
            <w:tcBorders>
              <w:top w:val="nil"/>
              <w:left w:val="nil"/>
              <w:bottom w:val="single" w:sz="4" w:space="0" w:color="auto"/>
              <w:right w:val="single" w:sz="4" w:space="0" w:color="auto"/>
            </w:tcBorders>
            <w:shd w:val="clear" w:color="auto" w:fill="auto"/>
            <w:vAlign w:val="center"/>
            <w:hideMark/>
          </w:tcPr>
          <w:p w14:paraId="27EA0DFC"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Leader in merchant acquiring services.</w:t>
            </w:r>
          </w:p>
        </w:tc>
      </w:tr>
      <w:tr w:rsidR="00924459" w:rsidRPr="00924459" w14:paraId="54FA9D52" w14:textId="77777777" w:rsidTr="00924459">
        <w:trPr>
          <w:trHeight w:val="588"/>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52444701" w14:textId="77777777" w:rsidR="00924459" w:rsidRPr="00924459" w:rsidRDefault="00924459" w:rsidP="00924459">
            <w:pPr>
              <w:spacing w:after="0" w:line="240" w:lineRule="auto"/>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w:t>
            </w:r>
          </w:p>
        </w:tc>
        <w:tc>
          <w:tcPr>
            <w:tcW w:w="3340" w:type="dxa"/>
            <w:tcBorders>
              <w:top w:val="nil"/>
              <w:left w:val="nil"/>
              <w:bottom w:val="single" w:sz="4" w:space="0" w:color="auto"/>
              <w:right w:val="single" w:sz="4" w:space="0" w:color="auto"/>
            </w:tcBorders>
            <w:shd w:val="clear" w:color="auto" w:fill="auto"/>
            <w:vAlign w:val="center"/>
            <w:hideMark/>
          </w:tcPr>
          <w:p w14:paraId="2064BFD1"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Market Share: Significant presence in North America and Europe</w:t>
            </w:r>
          </w:p>
        </w:tc>
        <w:tc>
          <w:tcPr>
            <w:tcW w:w="4656" w:type="dxa"/>
            <w:tcBorders>
              <w:top w:val="nil"/>
              <w:left w:val="nil"/>
              <w:bottom w:val="single" w:sz="4" w:space="0" w:color="auto"/>
              <w:right w:val="single" w:sz="4" w:space="0" w:color="auto"/>
            </w:tcBorders>
            <w:shd w:val="clear" w:color="auto" w:fill="auto"/>
            <w:vAlign w:val="center"/>
            <w:hideMark/>
          </w:tcPr>
          <w:p w14:paraId="541F6F38"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Focus on integrated payment systems and digital transformation.</w:t>
            </w:r>
          </w:p>
        </w:tc>
      </w:tr>
      <w:tr w:rsidR="00924459" w:rsidRPr="00924459" w14:paraId="287708D9" w14:textId="77777777" w:rsidTr="00924459">
        <w:trPr>
          <w:trHeight w:val="576"/>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2D7234CC" w14:textId="77777777" w:rsidR="00924459" w:rsidRPr="00924459" w:rsidRDefault="00924459" w:rsidP="00924459">
            <w:pPr>
              <w:spacing w:after="0" w:line="240" w:lineRule="auto"/>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w:t>
            </w:r>
          </w:p>
        </w:tc>
        <w:tc>
          <w:tcPr>
            <w:tcW w:w="3340" w:type="dxa"/>
            <w:tcBorders>
              <w:top w:val="nil"/>
              <w:left w:val="nil"/>
              <w:bottom w:val="single" w:sz="4" w:space="0" w:color="auto"/>
              <w:right w:val="single" w:sz="4" w:space="0" w:color="auto"/>
            </w:tcBorders>
            <w:shd w:val="clear" w:color="auto" w:fill="auto"/>
            <w:vAlign w:val="center"/>
            <w:hideMark/>
          </w:tcPr>
          <w:p w14:paraId="11604011"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Key Offerings: Clover POS systems</w:t>
            </w:r>
          </w:p>
        </w:tc>
        <w:tc>
          <w:tcPr>
            <w:tcW w:w="4656" w:type="dxa"/>
            <w:tcBorders>
              <w:top w:val="nil"/>
              <w:left w:val="nil"/>
              <w:bottom w:val="single" w:sz="4" w:space="0" w:color="auto"/>
              <w:right w:val="single" w:sz="4" w:space="0" w:color="auto"/>
            </w:tcBorders>
            <w:shd w:val="clear" w:color="auto" w:fill="auto"/>
            <w:vAlign w:val="center"/>
            <w:hideMark/>
          </w:tcPr>
          <w:p w14:paraId="34868A5E"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Partnerships with banks and retailers to expand its footprint.</w:t>
            </w:r>
          </w:p>
        </w:tc>
      </w:tr>
      <w:tr w:rsidR="00924459" w:rsidRPr="00924459" w14:paraId="5F43061A" w14:textId="77777777" w:rsidTr="00924459">
        <w:trPr>
          <w:trHeight w:val="60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799B385B" w14:textId="77777777" w:rsidR="00924459" w:rsidRPr="00924459" w:rsidRDefault="00924459" w:rsidP="00924459">
            <w:pPr>
              <w:spacing w:after="0" w:line="240" w:lineRule="auto"/>
              <w:rPr>
                <w:rFonts w:ascii="Arial" w:eastAsia="Times New Roman" w:hAnsi="Arial" w:cs="Arial"/>
                <w:b/>
                <w:bCs/>
                <w:color w:val="000000"/>
                <w:kern w:val="0"/>
                <w:sz w:val="20"/>
                <w:szCs w:val="20"/>
                <w:lang w:eastAsia="en-IN"/>
                <w14:ligatures w14:val="none"/>
              </w:rPr>
            </w:pPr>
            <w:r w:rsidRPr="00924459">
              <w:rPr>
                <w:rFonts w:ascii="Arial" w:eastAsia="Times New Roman" w:hAnsi="Arial" w:cs="Arial"/>
                <w:b/>
                <w:bCs/>
                <w:color w:val="000000"/>
                <w:kern w:val="0"/>
                <w:sz w:val="20"/>
                <w:szCs w:val="20"/>
                <w:lang w:eastAsia="en-IN"/>
                <w14:ligatures w14:val="none"/>
              </w:rPr>
              <w:t>American Express</w:t>
            </w:r>
          </w:p>
        </w:tc>
        <w:tc>
          <w:tcPr>
            <w:tcW w:w="3340" w:type="dxa"/>
            <w:tcBorders>
              <w:top w:val="nil"/>
              <w:left w:val="nil"/>
              <w:bottom w:val="single" w:sz="4" w:space="0" w:color="auto"/>
              <w:right w:val="single" w:sz="4" w:space="0" w:color="auto"/>
            </w:tcBorders>
            <w:shd w:val="clear" w:color="auto" w:fill="auto"/>
            <w:vAlign w:val="center"/>
            <w:hideMark/>
          </w:tcPr>
          <w:p w14:paraId="52CDFEDB"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FY2023 Revenue: $15 billion</w:t>
            </w:r>
          </w:p>
        </w:tc>
        <w:tc>
          <w:tcPr>
            <w:tcW w:w="4656" w:type="dxa"/>
            <w:tcBorders>
              <w:top w:val="nil"/>
              <w:left w:val="nil"/>
              <w:bottom w:val="single" w:sz="4" w:space="0" w:color="auto"/>
              <w:right w:val="single" w:sz="4" w:space="0" w:color="auto"/>
            </w:tcBorders>
            <w:shd w:val="clear" w:color="auto" w:fill="auto"/>
            <w:vAlign w:val="center"/>
            <w:hideMark/>
          </w:tcPr>
          <w:p w14:paraId="43B704E1"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Targeting high-net-worth individuals through premium services.</w:t>
            </w:r>
          </w:p>
        </w:tc>
      </w:tr>
      <w:tr w:rsidR="00924459" w:rsidRPr="00924459" w14:paraId="68304C1B" w14:textId="77777777" w:rsidTr="00924459">
        <w:trPr>
          <w:trHeight w:val="588"/>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294DEF89" w14:textId="77777777" w:rsidR="00924459" w:rsidRPr="00924459" w:rsidRDefault="00924459" w:rsidP="00924459">
            <w:pPr>
              <w:spacing w:after="0" w:line="240" w:lineRule="auto"/>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w:t>
            </w:r>
          </w:p>
        </w:tc>
        <w:tc>
          <w:tcPr>
            <w:tcW w:w="3340" w:type="dxa"/>
            <w:tcBorders>
              <w:top w:val="nil"/>
              <w:left w:val="nil"/>
              <w:bottom w:val="single" w:sz="4" w:space="0" w:color="auto"/>
              <w:right w:val="single" w:sz="4" w:space="0" w:color="auto"/>
            </w:tcBorders>
            <w:shd w:val="clear" w:color="auto" w:fill="auto"/>
            <w:vAlign w:val="center"/>
            <w:hideMark/>
          </w:tcPr>
          <w:p w14:paraId="2DEB1750"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Transactions: 40 billion</w:t>
            </w:r>
          </w:p>
        </w:tc>
        <w:tc>
          <w:tcPr>
            <w:tcW w:w="4656" w:type="dxa"/>
            <w:tcBorders>
              <w:top w:val="nil"/>
              <w:left w:val="nil"/>
              <w:bottom w:val="single" w:sz="4" w:space="0" w:color="auto"/>
              <w:right w:val="single" w:sz="4" w:space="0" w:color="auto"/>
            </w:tcBorders>
            <w:shd w:val="clear" w:color="auto" w:fill="auto"/>
            <w:vAlign w:val="center"/>
            <w:hideMark/>
          </w:tcPr>
          <w:p w14:paraId="2EEA28E9"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Loyalty programs and co-branded partnerships.</w:t>
            </w:r>
          </w:p>
        </w:tc>
      </w:tr>
      <w:tr w:rsidR="00924459" w:rsidRPr="00924459" w14:paraId="6AE46F16" w14:textId="77777777" w:rsidTr="00924459">
        <w:trPr>
          <w:trHeight w:val="564"/>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1FE4A35E" w14:textId="77777777" w:rsidR="00924459" w:rsidRPr="00924459" w:rsidRDefault="00924459" w:rsidP="00924459">
            <w:pPr>
              <w:spacing w:after="0" w:line="240" w:lineRule="auto"/>
              <w:rPr>
                <w:rFonts w:ascii="Arial" w:eastAsia="Times New Roman" w:hAnsi="Arial" w:cs="Arial"/>
                <w:b/>
                <w:bCs/>
                <w:color w:val="000000"/>
                <w:kern w:val="0"/>
                <w:sz w:val="20"/>
                <w:szCs w:val="20"/>
                <w:lang w:eastAsia="en-IN"/>
                <w14:ligatures w14:val="none"/>
              </w:rPr>
            </w:pPr>
            <w:r w:rsidRPr="00924459">
              <w:rPr>
                <w:rFonts w:ascii="Arial" w:eastAsia="Times New Roman" w:hAnsi="Arial" w:cs="Arial"/>
                <w:b/>
                <w:bCs/>
                <w:color w:val="000000"/>
                <w:kern w:val="0"/>
                <w:sz w:val="20"/>
                <w:szCs w:val="20"/>
                <w:lang w:eastAsia="en-IN"/>
                <w14:ligatures w14:val="none"/>
              </w:rPr>
              <w:t>PayPal Holdings</w:t>
            </w:r>
          </w:p>
        </w:tc>
        <w:tc>
          <w:tcPr>
            <w:tcW w:w="3340" w:type="dxa"/>
            <w:tcBorders>
              <w:top w:val="nil"/>
              <w:left w:val="nil"/>
              <w:bottom w:val="single" w:sz="4" w:space="0" w:color="auto"/>
              <w:right w:val="single" w:sz="4" w:space="0" w:color="auto"/>
            </w:tcBorders>
            <w:shd w:val="clear" w:color="auto" w:fill="auto"/>
            <w:vAlign w:val="center"/>
            <w:hideMark/>
          </w:tcPr>
          <w:p w14:paraId="215C14C8"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FY2023 Revenue: $27 billion</w:t>
            </w:r>
          </w:p>
        </w:tc>
        <w:tc>
          <w:tcPr>
            <w:tcW w:w="4656" w:type="dxa"/>
            <w:tcBorders>
              <w:top w:val="nil"/>
              <w:left w:val="nil"/>
              <w:bottom w:val="single" w:sz="4" w:space="0" w:color="auto"/>
              <w:right w:val="single" w:sz="4" w:space="0" w:color="auto"/>
            </w:tcBorders>
            <w:shd w:val="clear" w:color="auto" w:fill="auto"/>
            <w:vAlign w:val="center"/>
            <w:hideMark/>
          </w:tcPr>
          <w:p w14:paraId="64960902"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Leader in digital wallets and P2P payment systems.</w:t>
            </w:r>
          </w:p>
        </w:tc>
      </w:tr>
      <w:tr w:rsidR="00924459" w:rsidRPr="00924459" w14:paraId="44856B4F" w14:textId="77777777" w:rsidTr="00924459">
        <w:trPr>
          <w:trHeight w:val="660"/>
        </w:trPr>
        <w:tc>
          <w:tcPr>
            <w:tcW w:w="2352" w:type="dxa"/>
            <w:tcBorders>
              <w:top w:val="nil"/>
              <w:left w:val="single" w:sz="4" w:space="0" w:color="auto"/>
              <w:bottom w:val="single" w:sz="4" w:space="0" w:color="auto"/>
              <w:right w:val="single" w:sz="4" w:space="0" w:color="auto"/>
            </w:tcBorders>
            <w:shd w:val="clear" w:color="auto" w:fill="auto"/>
            <w:vAlign w:val="center"/>
            <w:hideMark/>
          </w:tcPr>
          <w:p w14:paraId="58868545" w14:textId="77777777" w:rsidR="00924459" w:rsidRPr="00924459" w:rsidRDefault="00924459" w:rsidP="00924459">
            <w:pPr>
              <w:spacing w:after="0" w:line="240" w:lineRule="auto"/>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w:t>
            </w:r>
          </w:p>
        </w:tc>
        <w:tc>
          <w:tcPr>
            <w:tcW w:w="3340" w:type="dxa"/>
            <w:tcBorders>
              <w:top w:val="nil"/>
              <w:left w:val="nil"/>
              <w:bottom w:val="single" w:sz="4" w:space="0" w:color="auto"/>
              <w:right w:val="single" w:sz="4" w:space="0" w:color="auto"/>
            </w:tcBorders>
            <w:shd w:val="clear" w:color="auto" w:fill="auto"/>
            <w:vAlign w:val="center"/>
            <w:hideMark/>
          </w:tcPr>
          <w:p w14:paraId="3BB37FA8"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Market Share: Dominant in e-commerce</w:t>
            </w:r>
          </w:p>
        </w:tc>
        <w:tc>
          <w:tcPr>
            <w:tcW w:w="4656" w:type="dxa"/>
            <w:tcBorders>
              <w:top w:val="nil"/>
              <w:left w:val="nil"/>
              <w:bottom w:val="single" w:sz="4" w:space="0" w:color="auto"/>
              <w:right w:val="single" w:sz="4" w:space="0" w:color="auto"/>
            </w:tcBorders>
            <w:shd w:val="clear" w:color="auto" w:fill="auto"/>
            <w:vAlign w:val="center"/>
            <w:hideMark/>
          </w:tcPr>
          <w:p w14:paraId="703536D5" w14:textId="77777777" w:rsidR="00924459" w:rsidRPr="00924459" w:rsidRDefault="00924459" w:rsidP="00924459">
            <w:pPr>
              <w:spacing w:after="0" w:line="240" w:lineRule="auto"/>
              <w:jc w:val="both"/>
              <w:rPr>
                <w:rFonts w:ascii="Arial" w:eastAsia="Times New Roman" w:hAnsi="Arial" w:cs="Arial"/>
                <w:color w:val="000000"/>
                <w:kern w:val="0"/>
                <w:sz w:val="20"/>
                <w:szCs w:val="20"/>
                <w:lang w:eastAsia="en-IN"/>
                <w14:ligatures w14:val="none"/>
              </w:rPr>
            </w:pPr>
            <w:r w:rsidRPr="00924459">
              <w:rPr>
                <w:rFonts w:ascii="Arial" w:eastAsia="Times New Roman" w:hAnsi="Arial" w:cs="Arial"/>
                <w:color w:val="000000"/>
                <w:kern w:val="0"/>
                <w:sz w:val="20"/>
                <w:szCs w:val="20"/>
                <w:lang w:eastAsia="en-IN"/>
                <w14:ligatures w14:val="none"/>
              </w:rPr>
              <w:t>- Expansion into BNPL (Buy Now, Pay Later) and crypto payments.</w:t>
            </w:r>
          </w:p>
        </w:tc>
      </w:tr>
    </w:tbl>
    <w:p w14:paraId="4EA6644E" w14:textId="77777777" w:rsidR="0090057D" w:rsidRPr="00924459" w:rsidRDefault="0090057D" w:rsidP="0090057D">
      <w:pPr>
        <w:ind w:left="-851" w:right="-755"/>
        <w:rPr>
          <w:rFonts w:ascii="Arial" w:hAnsi="Arial" w:cs="Arial"/>
          <w:sz w:val="20"/>
          <w:szCs w:val="20"/>
        </w:rPr>
      </w:pPr>
    </w:p>
    <w:p w14:paraId="7BE81AE2" w14:textId="77777777" w:rsidR="00BF30B6" w:rsidRDefault="00924459" w:rsidP="00BF30B6">
      <w:pPr>
        <w:ind w:left="-851" w:right="-897"/>
        <w:rPr>
          <w:rFonts w:ascii="Arial" w:hAnsi="Arial" w:cs="Arial"/>
          <w:b/>
          <w:bCs/>
          <w:sz w:val="20"/>
          <w:szCs w:val="20"/>
        </w:rPr>
      </w:pPr>
      <w:r w:rsidRPr="00924459">
        <w:rPr>
          <w:rFonts w:ascii="Arial" w:hAnsi="Arial" w:cs="Arial"/>
          <w:b/>
          <w:bCs/>
          <w:sz w:val="20"/>
          <w:szCs w:val="20"/>
        </w:rPr>
        <w:t>Performance Insights</w:t>
      </w:r>
    </w:p>
    <w:p w14:paraId="51AD3461" w14:textId="77777777" w:rsidR="00BF30B6" w:rsidRPr="00BF30B6" w:rsidRDefault="00924459" w:rsidP="00BF30B6">
      <w:pPr>
        <w:pStyle w:val="ListParagraph"/>
        <w:numPr>
          <w:ilvl w:val="0"/>
          <w:numId w:val="10"/>
        </w:numPr>
        <w:ind w:right="-897"/>
        <w:rPr>
          <w:rFonts w:ascii="Arial" w:hAnsi="Arial" w:cs="Arial"/>
          <w:b/>
          <w:bCs/>
          <w:sz w:val="20"/>
          <w:szCs w:val="20"/>
        </w:rPr>
      </w:pPr>
      <w:r w:rsidRPr="00BF30B6">
        <w:rPr>
          <w:rFonts w:ascii="Arial" w:hAnsi="Arial" w:cs="Arial"/>
          <w:sz w:val="20"/>
          <w:szCs w:val="20"/>
        </w:rPr>
        <w:t>Visa Inc. continues to lead the industry in transaction volumes, processing 276 billion transactions in FY2023.</w:t>
      </w:r>
    </w:p>
    <w:p w14:paraId="530CC340" w14:textId="77777777" w:rsidR="00BF30B6" w:rsidRPr="00BF30B6" w:rsidRDefault="00924459" w:rsidP="00BF30B6">
      <w:pPr>
        <w:pStyle w:val="ListParagraph"/>
        <w:numPr>
          <w:ilvl w:val="0"/>
          <w:numId w:val="10"/>
        </w:numPr>
        <w:ind w:right="-897"/>
        <w:rPr>
          <w:rFonts w:ascii="Arial" w:hAnsi="Arial" w:cs="Arial"/>
          <w:b/>
          <w:bCs/>
          <w:sz w:val="20"/>
          <w:szCs w:val="20"/>
        </w:rPr>
      </w:pPr>
      <w:r w:rsidRPr="00BF30B6">
        <w:rPr>
          <w:rFonts w:ascii="Arial" w:hAnsi="Arial" w:cs="Arial"/>
          <w:sz w:val="20"/>
          <w:szCs w:val="20"/>
        </w:rPr>
        <w:t>Mastercard competes closely, emphasizing innovation in real-time and cross-border payments.</w:t>
      </w:r>
    </w:p>
    <w:p w14:paraId="601186F1" w14:textId="77777777" w:rsidR="00BF30B6" w:rsidRPr="00BF30B6" w:rsidRDefault="00924459" w:rsidP="00BF30B6">
      <w:pPr>
        <w:pStyle w:val="ListParagraph"/>
        <w:numPr>
          <w:ilvl w:val="0"/>
          <w:numId w:val="10"/>
        </w:numPr>
        <w:ind w:right="-897"/>
        <w:rPr>
          <w:rFonts w:ascii="Arial" w:hAnsi="Arial" w:cs="Arial"/>
          <w:b/>
          <w:bCs/>
          <w:sz w:val="20"/>
          <w:szCs w:val="20"/>
        </w:rPr>
      </w:pPr>
      <w:r w:rsidRPr="00BF30B6">
        <w:rPr>
          <w:rFonts w:ascii="Arial" w:hAnsi="Arial" w:cs="Arial"/>
          <w:sz w:val="20"/>
          <w:szCs w:val="20"/>
        </w:rPr>
        <w:t>Fiserv Inc. focuses on integrated payment solutions, particularly through its Clover POS systems, targeting merchants and retailers.</w:t>
      </w:r>
    </w:p>
    <w:p w14:paraId="6F75F50D" w14:textId="77777777" w:rsidR="00BF30B6" w:rsidRPr="00BF30B6" w:rsidRDefault="00924459" w:rsidP="00BF30B6">
      <w:pPr>
        <w:pStyle w:val="ListParagraph"/>
        <w:numPr>
          <w:ilvl w:val="0"/>
          <w:numId w:val="10"/>
        </w:numPr>
        <w:ind w:right="-897"/>
        <w:rPr>
          <w:rFonts w:ascii="Arial" w:hAnsi="Arial" w:cs="Arial"/>
          <w:b/>
          <w:bCs/>
          <w:sz w:val="20"/>
          <w:szCs w:val="20"/>
        </w:rPr>
      </w:pPr>
      <w:r w:rsidRPr="00BF30B6">
        <w:rPr>
          <w:rFonts w:ascii="Arial" w:hAnsi="Arial" w:cs="Arial"/>
          <w:sz w:val="20"/>
          <w:szCs w:val="20"/>
        </w:rPr>
        <w:t>American Express thrives in the premium segment but lacks Visa’s geographic and demographic reach.</w:t>
      </w:r>
    </w:p>
    <w:p w14:paraId="0E07708B" w14:textId="4428E214" w:rsidR="00924459" w:rsidRPr="00BF30B6" w:rsidRDefault="00924459" w:rsidP="00BF30B6">
      <w:pPr>
        <w:pStyle w:val="ListParagraph"/>
        <w:numPr>
          <w:ilvl w:val="0"/>
          <w:numId w:val="10"/>
        </w:numPr>
        <w:ind w:right="-897"/>
        <w:rPr>
          <w:rFonts w:ascii="Arial" w:hAnsi="Arial" w:cs="Arial"/>
          <w:b/>
          <w:bCs/>
          <w:sz w:val="20"/>
          <w:szCs w:val="20"/>
        </w:rPr>
      </w:pPr>
      <w:r w:rsidRPr="00BF30B6">
        <w:rPr>
          <w:rFonts w:ascii="Arial" w:hAnsi="Arial" w:cs="Arial"/>
          <w:sz w:val="20"/>
          <w:szCs w:val="20"/>
        </w:rPr>
        <w:t>PayPal leads in digital wallet solutions and peer-to-peer payments, presenting a unique competitive challenge.</w:t>
      </w:r>
    </w:p>
    <w:p w14:paraId="67404BF2" w14:textId="77777777" w:rsidR="00924459" w:rsidRPr="00924459" w:rsidRDefault="00924459" w:rsidP="00BF30B6">
      <w:pPr>
        <w:ind w:left="-851" w:right="-897"/>
        <w:jc w:val="both"/>
        <w:rPr>
          <w:rFonts w:ascii="Arial" w:hAnsi="Arial" w:cs="Arial"/>
          <w:b/>
          <w:bCs/>
          <w:sz w:val="20"/>
          <w:szCs w:val="20"/>
        </w:rPr>
      </w:pPr>
    </w:p>
    <w:p w14:paraId="28D27C4B" w14:textId="5F7A05E0" w:rsidR="00924459" w:rsidRPr="00924459" w:rsidRDefault="00924459" w:rsidP="00BF30B6">
      <w:pPr>
        <w:ind w:left="-851" w:right="-897"/>
        <w:jc w:val="both"/>
        <w:rPr>
          <w:rFonts w:ascii="Arial" w:hAnsi="Arial" w:cs="Arial"/>
          <w:b/>
          <w:bCs/>
          <w:sz w:val="20"/>
          <w:szCs w:val="20"/>
        </w:rPr>
      </w:pPr>
      <w:r w:rsidRPr="00924459">
        <w:rPr>
          <w:rFonts w:ascii="Arial" w:hAnsi="Arial" w:cs="Arial"/>
          <w:b/>
          <w:bCs/>
          <w:sz w:val="20"/>
          <w:szCs w:val="20"/>
        </w:rPr>
        <w:t>Conclusion</w:t>
      </w:r>
    </w:p>
    <w:p w14:paraId="2DF7124D" w14:textId="77777777" w:rsidR="00924459" w:rsidRPr="00924459" w:rsidRDefault="00924459" w:rsidP="00BF30B6">
      <w:pPr>
        <w:ind w:left="-851" w:right="-897"/>
        <w:jc w:val="both"/>
        <w:rPr>
          <w:rFonts w:ascii="Arial" w:hAnsi="Arial" w:cs="Arial"/>
          <w:sz w:val="20"/>
          <w:szCs w:val="20"/>
        </w:rPr>
      </w:pPr>
      <w:r w:rsidRPr="00924459">
        <w:rPr>
          <w:rFonts w:ascii="Arial" w:hAnsi="Arial" w:cs="Arial"/>
          <w:sz w:val="20"/>
          <w:szCs w:val="20"/>
        </w:rPr>
        <w:t>Visa Inc. remains a leader in the global payments industry due to its extensive network, continuous innovation, and strategic partnerships. However, competitors like Fiserv Inc., with their focus on merchant services and integrated payment solutions, and Mastercard, with strong cross-border payment capabilities, continue to challenge Visa's dominance. Visa’s focus on real-time payments, emerging markets, and fintech collaborations ensures it stays ahead in this dynamic and evolving industry.</w:t>
      </w:r>
    </w:p>
    <w:p w14:paraId="3E1251C5" w14:textId="77777777" w:rsidR="0090057D" w:rsidRPr="00DF144D" w:rsidRDefault="0090057D" w:rsidP="005E3960">
      <w:pPr>
        <w:ind w:left="-851" w:right="-897"/>
      </w:pPr>
    </w:p>
    <w:sectPr w:rsidR="0090057D" w:rsidRPr="00DF1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693"/>
    <w:multiLevelType w:val="hybridMultilevel"/>
    <w:tmpl w:val="DC425894"/>
    <w:lvl w:ilvl="0" w:tplc="ECAAD4B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BA12CE7"/>
    <w:multiLevelType w:val="multilevel"/>
    <w:tmpl w:val="C8D677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E0880"/>
    <w:multiLevelType w:val="multilevel"/>
    <w:tmpl w:val="8236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7338A"/>
    <w:multiLevelType w:val="hybridMultilevel"/>
    <w:tmpl w:val="CFA46746"/>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4" w15:restartNumberingAfterBreak="0">
    <w:nsid w:val="5138267F"/>
    <w:multiLevelType w:val="multilevel"/>
    <w:tmpl w:val="3E163F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B13035"/>
    <w:multiLevelType w:val="multilevel"/>
    <w:tmpl w:val="21BA31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C1CD4"/>
    <w:multiLevelType w:val="hybridMultilevel"/>
    <w:tmpl w:val="156C4D06"/>
    <w:lvl w:ilvl="0" w:tplc="F6E4346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793D6898"/>
    <w:multiLevelType w:val="hybridMultilevel"/>
    <w:tmpl w:val="C21EA5F8"/>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8" w15:restartNumberingAfterBreak="0">
    <w:nsid w:val="79C84A3F"/>
    <w:multiLevelType w:val="hybridMultilevel"/>
    <w:tmpl w:val="489CDED0"/>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9" w15:restartNumberingAfterBreak="0">
    <w:nsid w:val="7C6743C9"/>
    <w:multiLevelType w:val="multilevel"/>
    <w:tmpl w:val="500A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2566119">
    <w:abstractNumId w:val="5"/>
  </w:num>
  <w:num w:numId="2" w16cid:durableId="599263402">
    <w:abstractNumId w:val="1"/>
  </w:num>
  <w:num w:numId="3" w16cid:durableId="732698711">
    <w:abstractNumId w:val="0"/>
  </w:num>
  <w:num w:numId="4" w16cid:durableId="205457154">
    <w:abstractNumId w:val="6"/>
  </w:num>
  <w:num w:numId="5" w16cid:durableId="555819177">
    <w:abstractNumId w:val="3"/>
  </w:num>
  <w:num w:numId="6" w16cid:durableId="1527600249">
    <w:abstractNumId w:val="7"/>
  </w:num>
  <w:num w:numId="7" w16cid:durableId="177886979">
    <w:abstractNumId w:val="4"/>
  </w:num>
  <w:num w:numId="8" w16cid:durableId="2142309671">
    <w:abstractNumId w:val="2"/>
  </w:num>
  <w:num w:numId="9" w16cid:durableId="276644140">
    <w:abstractNumId w:val="9"/>
  </w:num>
  <w:num w:numId="10" w16cid:durableId="397478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E8"/>
    <w:rsid w:val="000E4B68"/>
    <w:rsid w:val="00135B43"/>
    <w:rsid w:val="003012BA"/>
    <w:rsid w:val="003712DD"/>
    <w:rsid w:val="003D2D16"/>
    <w:rsid w:val="005E3960"/>
    <w:rsid w:val="006D0B40"/>
    <w:rsid w:val="0074195B"/>
    <w:rsid w:val="00796F21"/>
    <w:rsid w:val="007D74CF"/>
    <w:rsid w:val="0090057D"/>
    <w:rsid w:val="00921F99"/>
    <w:rsid w:val="00924459"/>
    <w:rsid w:val="00952B53"/>
    <w:rsid w:val="009E45B4"/>
    <w:rsid w:val="00B72B3A"/>
    <w:rsid w:val="00BF30B6"/>
    <w:rsid w:val="00D2480B"/>
    <w:rsid w:val="00D702E8"/>
    <w:rsid w:val="00DF144D"/>
    <w:rsid w:val="00E86FC4"/>
    <w:rsid w:val="00EE53A2"/>
    <w:rsid w:val="00F33551"/>
    <w:rsid w:val="00F828D3"/>
    <w:rsid w:val="00FA4B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9C1D0"/>
  <w15:chartTrackingRefBased/>
  <w15:docId w15:val="{3D279C5F-156F-474A-A53C-462DB48C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2E8"/>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6D0B4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96F21"/>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6D0B40"/>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2E8"/>
    <w:rPr>
      <w:rFonts w:asciiTheme="majorHAnsi" w:eastAsiaTheme="majorEastAsia" w:hAnsiTheme="majorHAnsi" w:cstheme="majorBidi"/>
      <w:color w:val="0F4761" w:themeColor="accent1" w:themeShade="BF"/>
      <w:sz w:val="32"/>
      <w:szCs w:val="32"/>
    </w:rPr>
  </w:style>
  <w:style w:type="paragraph" w:styleId="NoSpacing">
    <w:name w:val="No Spacing"/>
    <w:uiPriority w:val="1"/>
    <w:qFormat/>
    <w:rsid w:val="00D702E8"/>
    <w:pPr>
      <w:spacing w:after="0" w:line="240" w:lineRule="auto"/>
    </w:pPr>
  </w:style>
  <w:style w:type="character" w:styleId="Hyperlink">
    <w:name w:val="Hyperlink"/>
    <w:basedOn w:val="DefaultParagraphFont"/>
    <w:uiPriority w:val="99"/>
    <w:unhideWhenUsed/>
    <w:rsid w:val="009E45B4"/>
    <w:rPr>
      <w:color w:val="467886" w:themeColor="hyperlink"/>
      <w:u w:val="single"/>
    </w:rPr>
  </w:style>
  <w:style w:type="character" w:styleId="UnresolvedMention">
    <w:name w:val="Unresolved Mention"/>
    <w:basedOn w:val="DefaultParagraphFont"/>
    <w:uiPriority w:val="99"/>
    <w:semiHidden/>
    <w:unhideWhenUsed/>
    <w:rsid w:val="009E45B4"/>
    <w:rPr>
      <w:color w:val="605E5C"/>
      <w:shd w:val="clear" w:color="auto" w:fill="E1DFDD"/>
    </w:rPr>
  </w:style>
  <w:style w:type="table" w:styleId="TableGrid">
    <w:name w:val="Table Grid"/>
    <w:basedOn w:val="TableNormal"/>
    <w:uiPriority w:val="59"/>
    <w:rsid w:val="00EE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D0B40"/>
    <w:rPr>
      <w:rFonts w:asciiTheme="majorHAnsi" w:eastAsiaTheme="majorEastAsia" w:hAnsiTheme="majorHAnsi" w:cstheme="majorBidi"/>
      <w:i/>
      <w:iCs/>
      <w:color w:val="0F4761" w:themeColor="accent1" w:themeShade="BF"/>
    </w:rPr>
  </w:style>
  <w:style w:type="character" w:customStyle="1" w:styleId="Heading2Char">
    <w:name w:val="Heading 2 Char"/>
    <w:basedOn w:val="DefaultParagraphFont"/>
    <w:link w:val="Heading2"/>
    <w:uiPriority w:val="9"/>
    <w:rsid w:val="006D0B40"/>
    <w:rPr>
      <w:rFonts w:asciiTheme="majorHAnsi" w:eastAsiaTheme="majorEastAsia" w:hAnsiTheme="majorHAnsi" w:cstheme="majorBidi"/>
      <w:color w:val="0F4761" w:themeColor="accent1" w:themeShade="BF"/>
      <w:sz w:val="26"/>
      <w:szCs w:val="26"/>
    </w:rPr>
  </w:style>
  <w:style w:type="paragraph" w:styleId="ListParagraph">
    <w:name w:val="List Paragraph"/>
    <w:basedOn w:val="Normal"/>
    <w:uiPriority w:val="34"/>
    <w:qFormat/>
    <w:rsid w:val="006D0B40"/>
    <w:pPr>
      <w:ind w:left="720"/>
      <w:contextualSpacing/>
    </w:pPr>
  </w:style>
  <w:style w:type="character" w:customStyle="1" w:styleId="Heading3Char">
    <w:name w:val="Heading 3 Char"/>
    <w:basedOn w:val="DefaultParagraphFont"/>
    <w:link w:val="Heading3"/>
    <w:uiPriority w:val="9"/>
    <w:semiHidden/>
    <w:rsid w:val="00796F21"/>
    <w:rPr>
      <w:rFonts w:asciiTheme="majorHAnsi" w:eastAsiaTheme="majorEastAsia" w:hAnsiTheme="majorHAnsi" w:cstheme="majorBidi"/>
      <w:color w:val="0A2F4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65604">
      <w:bodyDiv w:val="1"/>
      <w:marLeft w:val="0"/>
      <w:marRight w:val="0"/>
      <w:marTop w:val="0"/>
      <w:marBottom w:val="0"/>
      <w:divBdr>
        <w:top w:val="none" w:sz="0" w:space="0" w:color="auto"/>
        <w:left w:val="none" w:sz="0" w:space="0" w:color="auto"/>
        <w:bottom w:val="none" w:sz="0" w:space="0" w:color="auto"/>
        <w:right w:val="none" w:sz="0" w:space="0" w:color="auto"/>
      </w:divBdr>
    </w:div>
    <w:div w:id="154804667">
      <w:bodyDiv w:val="1"/>
      <w:marLeft w:val="0"/>
      <w:marRight w:val="0"/>
      <w:marTop w:val="0"/>
      <w:marBottom w:val="0"/>
      <w:divBdr>
        <w:top w:val="none" w:sz="0" w:space="0" w:color="auto"/>
        <w:left w:val="none" w:sz="0" w:space="0" w:color="auto"/>
        <w:bottom w:val="none" w:sz="0" w:space="0" w:color="auto"/>
        <w:right w:val="none" w:sz="0" w:space="0" w:color="auto"/>
      </w:divBdr>
    </w:div>
    <w:div w:id="281155914">
      <w:bodyDiv w:val="1"/>
      <w:marLeft w:val="0"/>
      <w:marRight w:val="0"/>
      <w:marTop w:val="0"/>
      <w:marBottom w:val="0"/>
      <w:divBdr>
        <w:top w:val="none" w:sz="0" w:space="0" w:color="auto"/>
        <w:left w:val="none" w:sz="0" w:space="0" w:color="auto"/>
        <w:bottom w:val="none" w:sz="0" w:space="0" w:color="auto"/>
        <w:right w:val="none" w:sz="0" w:space="0" w:color="auto"/>
      </w:divBdr>
    </w:div>
    <w:div w:id="348915644">
      <w:bodyDiv w:val="1"/>
      <w:marLeft w:val="0"/>
      <w:marRight w:val="0"/>
      <w:marTop w:val="0"/>
      <w:marBottom w:val="0"/>
      <w:divBdr>
        <w:top w:val="none" w:sz="0" w:space="0" w:color="auto"/>
        <w:left w:val="none" w:sz="0" w:space="0" w:color="auto"/>
        <w:bottom w:val="none" w:sz="0" w:space="0" w:color="auto"/>
        <w:right w:val="none" w:sz="0" w:space="0" w:color="auto"/>
      </w:divBdr>
    </w:div>
    <w:div w:id="356009179">
      <w:bodyDiv w:val="1"/>
      <w:marLeft w:val="0"/>
      <w:marRight w:val="0"/>
      <w:marTop w:val="0"/>
      <w:marBottom w:val="0"/>
      <w:divBdr>
        <w:top w:val="none" w:sz="0" w:space="0" w:color="auto"/>
        <w:left w:val="none" w:sz="0" w:space="0" w:color="auto"/>
        <w:bottom w:val="none" w:sz="0" w:space="0" w:color="auto"/>
        <w:right w:val="none" w:sz="0" w:space="0" w:color="auto"/>
      </w:divBdr>
    </w:div>
    <w:div w:id="418061181">
      <w:bodyDiv w:val="1"/>
      <w:marLeft w:val="0"/>
      <w:marRight w:val="0"/>
      <w:marTop w:val="0"/>
      <w:marBottom w:val="0"/>
      <w:divBdr>
        <w:top w:val="none" w:sz="0" w:space="0" w:color="auto"/>
        <w:left w:val="none" w:sz="0" w:space="0" w:color="auto"/>
        <w:bottom w:val="none" w:sz="0" w:space="0" w:color="auto"/>
        <w:right w:val="none" w:sz="0" w:space="0" w:color="auto"/>
      </w:divBdr>
    </w:div>
    <w:div w:id="633800529">
      <w:bodyDiv w:val="1"/>
      <w:marLeft w:val="0"/>
      <w:marRight w:val="0"/>
      <w:marTop w:val="0"/>
      <w:marBottom w:val="0"/>
      <w:divBdr>
        <w:top w:val="none" w:sz="0" w:space="0" w:color="auto"/>
        <w:left w:val="none" w:sz="0" w:space="0" w:color="auto"/>
        <w:bottom w:val="none" w:sz="0" w:space="0" w:color="auto"/>
        <w:right w:val="none" w:sz="0" w:space="0" w:color="auto"/>
      </w:divBdr>
    </w:div>
    <w:div w:id="677974403">
      <w:bodyDiv w:val="1"/>
      <w:marLeft w:val="0"/>
      <w:marRight w:val="0"/>
      <w:marTop w:val="0"/>
      <w:marBottom w:val="0"/>
      <w:divBdr>
        <w:top w:val="none" w:sz="0" w:space="0" w:color="auto"/>
        <w:left w:val="none" w:sz="0" w:space="0" w:color="auto"/>
        <w:bottom w:val="none" w:sz="0" w:space="0" w:color="auto"/>
        <w:right w:val="none" w:sz="0" w:space="0" w:color="auto"/>
      </w:divBdr>
    </w:div>
    <w:div w:id="702947723">
      <w:bodyDiv w:val="1"/>
      <w:marLeft w:val="0"/>
      <w:marRight w:val="0"/>
      <w:marTop w:val="0"/>
      <w:marBottom w:val="0"/>
      <w:divBdr>
        <w:top w:val="none" w:sz="0" w:space="0" w:color="auto"/>
        <w:left w:val="none" w:sz="0" w:space="0" w:color="auto"/>
        <w:bottom w:val="none" w:sz="0" w:space="0" w:color="auto"/>
        <w:right w:val="none" w:sz="0" w:space="0" w:color="auto"/>
      </w:divBdr>
    </w:div>
    <w:div w:id="821195869">
      <w:bodyDiv w:val="1"/>
      <w:marLeft w:val="0"/>
      <w:marRight w:val="0"/>
      <w:marTop w:val="0"/>
      <w:marBottom w:val="0"/>
      <w:divBdr>
        <w:top w:val="none" w:sz="0" w:space="0" w:color="auto"/>
        <w:left w:val="none" w:sz="0" w:space="0" w:color="auto"/>
        <w:bottom w:val="none" w:sz="0" w:space="0" w:color="auto"/>
        <w:right w:val="none" w:sz="0" w:space="0" w:color="auto"/>
      </w:divBdr>
    </w:div>
    <w:div w:id="851996817">
      <w:bodyDiv w:val="1"/>
      <w:marLeft w:val="0"/>
      <w:marRight w:val="0"/>
      <w:marTop w:val="0"/>
      <w:marBottom w:val="0"/>
      <w:divBdr>
        <w:top w:val="none" w:sz="0" w:space="0" w:color="auto"/>
        <w:left w:val="none" w:sz="0" w:space="0" w:color="auto"/>
        <w:bottom w:val="none" w:sz="0" w:space="0" w:color="auto"/>
        <w:right w:val="none" w:sz="0" w:space="0" w:color="auto"/>
      </w:divBdr>
    </w:div>
    <w:div w:id="1068845170">
      <w:bodyDiv w:val="1"/>
      <w:marLeft w:val="0"/>
      <w:marRight w:val="0"/>
      <w:marTop w:val="0"/>
      <w:marBottom w:val="0"/>
      <w:divBdr>
        <w:top w:val="none" w:sz="0" w:space="0" w:color="auto"/>
        <w:left w:val="none" w:sz="0" w:space="0" w:color="auto"/>
        <w:bottom w:val="none" w:sz="0" w:space="0" w:color="auto"/>
        <w:right w:val="none" w:sz="0" w:space="0" w:color="auto"/>
      </w:divBdr>
    </w:div>
    <w:div w:id="1087573618">
      <w:bodyDiv w:val="1"/>
      <w:marLeft w:val="0"/>
      <w:marRight w:val="0"/>
      <w:marTop w:val="0"/>
      <w:marBottom w:val="0"/>
      <w:divBdr>
        <w:top w:val="none" w:sz="0" w:space="0" w:color="auto"/>
        <w:left w:val="none" w:sz="0" w:space="0" w:color="auto"/>
        <w:bottom w:val="none" w:sz="0" w:space="0" w:color="auto"/>
        <w:right w:val="none" w:sz="0" w:space="0" w:color="auto"/>
      </w:divBdr>
      <w:divsChild>
        <w:div w:id="1713917515">
          <w:marLeft w:val="0"/>
          <w:marRight w:val="0"/>
          <w:marTop w:val="0"/>
          <w:marBottom w:val="0"/>
          <w:divBdr>
            <w:top w:val="none" w:sz="0" w:space="0" w:color="auto"/>
            <w:left w:val="none" w:sz="0" w:space="0" w:color="auto"/>
            <w:bottom w:val="none" w:sz="0" w:space="0" w:color="auto"/>
            <w:right w:val="none" w:sz="0" w:space="0" w:color="auto"/>
          </w:divBdr>
          <w:divsChild>
            <w:div w:id="1345277793">
              <w:marLeft w:val="0"/>
              <w:marRight w:val="0"/>
              <w:marTop w:val="0"/>
              <w:marBottom w:val="0"/>
              <w:divBdr>
                <w:top w:val="none" w:sz="0" w:space="0" w:color="auto"/>
                <w:left w:val="none" w:sz="0" w:space="0" w:color="auto"/>
                <w:bottom w:val="none" w:sz="0" w:space="0" w:color="auto"/>
                <w:right w:val="none" w:sz="0" w:space="0" w:color="auto"/>
              </w:divBdr>
              <w:divsChild>
                <w:div w:id="737284896">
                  <w:marLeft w:val="0"/>
                  <w:marRight w:val="0"/>
                  <w:marTop w:val="0"/>
                  <w:marBottom w:val="0"/>
                  <w:divBdr>
                    <w:top w:val="none" w:sz="0" w:space="0" w:color="auto"/>
                    <w:left w:val="none" w:sz="0" w:space="0" w:color="auto"/>
                    <w:bottom w:val="none" w:sz="0" w:space="0" w:color="auto"/>
                    <w:right w:val="none" w:sz="0" w:space="0" w:color="auto"/>
                  </w:divBdr>
                  <w:divsChild>
                    <w:div w:id="1990674134">
                      <w:marLeft w:val="0"/>
                      <w:marRight w:val="0"/>
                      <w:marTop w:val="0"/>
                      <w:marBottom w:val="0"/>
                      <w:divBdr>
                        <w:top w:val="none" w:sz="0" w:space="0" w:color="auto"/>
                        <w:left w:val="none" w:sz="0" w:space="0" w:color="auto"/>
                        <w:bottom w:val="none" w:sz="0" w:space="0" w:color="auto"/>
                        <w:right w:val="none" w:sz="0" w:space="0" w:color="auto"/>
                      </w:divBdr>
                      <w:divsChild>
                        <w:div w:id="531693634">
                          <w:marLeft w:val="0"/>
                          <w:marRight w:val="0"/>
                          <w:marTop w:val="0"/>
                          <w:marBottom w:val="0"/>
                          <w:divBdr>
                            <w:top w:val="none" w:sz="0" w:space="0" w:color="auto"/>
                            <w:left w:val="none" w:sz="0" w:space="0" w:color="auto"/>
                            <w:bottom w:val="none" w:sz="0" w:space="0" w:color="auto"/>
                            <w:right w:val="none" w:sz="0" w:space="0" w:color="auto"/>
                          </w:divBdr>
                          <w:divsChild>
                            <w:div w:id="1693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354340">
      <w:bodyDiv w:val="1"/>
      <w:marLeft w:val="0"/>
      <w:marRight w:val="0"/>
      <w:marTop w:val="0"/>
      <w:marBottom w:val="0"/>
      <w:divBdr>
        <w:top w:val="none" w:sz="0" w:space="0" w:color="auto"/>
        <w:left w:val="none" w:sz="0" w:space="0" w:color="auto"/>
        <w:bottom w:val="none" w:sz="0" w:space="0" w:color="auto"/>
        <w:right w:val="none" w:sz="0" w:space="0" w:color="auto"/>
      </w:divBdr>
      <w:divsChild>
        <w:div w:id="336426514">
          <w:marLeft w:val="0"/>
          <w:marRight w:val="0"/>
          <w:marTop w:val="0"/>
          <w:marBottom w:val="0"/>
          <w:divBdr>
            <w:top w:val="none" w:sz="0" w:space="0" w:color="auto"/>
            <w:left w:val="none" w:sz="0" w:space="0" w:color="auto"/>
            <w:bottom w:val="none" w:sz="0" w:space="0" w:color="auto"/>
            <w:right w:val="none" w:sz="0" w:space="0" w:color="auto"/>
          </w:divBdr>
          <w:divsChild>
            <w:div w:id="1317488552">
              <w:marLeft w:val="0"/>
              <w:marRight w:val="0"/>
              <w:marTop w:val="0"/>
              <w:marBottom w:val="0"/>
              <w:divBdr>
                <w:top w:val="none" w:sz="0" w:space="0" w:color="auto"/>
                <w:left w:val="none" w:sz="0" w:space="0" w:color="auto"/>
                <w:bottom w:val="none" w:sz="0" w:space="0" w:color="auto"/>
                <w:right w:val="none" w:sz="0" w:space="0" w:color="auto"/>
              </w:divBdr>
              <w:divsChild>
                <w:div w:id="1667704350">
                  <w:marLeft w:val="0"/>
                  <w:marRight w:val="0"/>
                  <w:marTop w:val="0"/>
                  <w:marBottom w:val="0"/>
                  <w:divBdr>
                    <w:top w:val="none" w:sz="0" w:space="0" w:color="auto"/>
                    <w:left w:val="none" w:sz="0" w:space="0" w:color="auto"/>
                    <w:bottom w:val="none" w:sz="0" w:space="0" w:color="auto"/>
                    <w:right w:val="none" w:sz="0" w:space="0" w:color="auto"/>
                  </w:divBdr>
                  <w:divsChild>
                    <w:div w:id="327055868">
                      <w:marLeft w:val="0"/>
                      <w:marRight w:val="0"/>
                      <w:marTop w:val="0"/>
                      <w:marBottom w:val="0"/>
                      <w:divBdr>
                        <w:top w:val="none" w:sz="0" w:space="0" w:color="auto"/>
                        <w:left w:val="none" w:sz="0" w:space="0" w:color="auto"/>
                        <w:bottom w:val="none" w:sz="0" w:space="0" w:color="auto"/>
                        <w:right w:val="none" w:sz="0" w:space="0" w:color="auto"/>
                      </w:divBdr>
                      <w:divsChild>
                        <w:div w:id="926690301">
                          <w:marLeft w:val="0"/>
                          <w:marRight w:val="0"/>
                          <w:marTop w:val="0"/>
                          <w:marBottom w:val="0"/>
                          <w:divBdr>
                            <w:top w:val="none" w:sz="0" w:space="0" w:color="auto"/>
                            <w:left w:val="none" w:sz="0" w:space="0" w:color="auto"/>
                            <w:bottom w:val="none" w:sz="0" w:space="0" w:color="auto"/>
                            <w:right w:val="none" w:sz="0" w:space="0" w:color="auto"/>
                          </w:divBdr>
                          <w:divsChild>
                            <w:div w:id="1654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572916">
      <w:bodyDiv w:val="1"/>
      <w:marLeft w:val="0"/>
      <w:marRight w:val="0"/>
      <w:marTop w:val="0"/>
      <w:marBottom w:val="0"/>
      <w:divBdr>
        <w:top w:val="none" w:sz="0" w:space="0" w:color="auto"/>
        <w:left w:val="none" w:sz="0" w:space="0" w:color="auto"/>
        <w:bottom w:val="none" w:sz="0" w:space="0" w:color="auto"/>
        <w:right w:val="none" w:sz="0" w:space="0" w:color="auto"/>
      </w:divBdr>
    </w:div>
    <w:div w:id="1551453436">
      <w:bodyDiv w:val="1"/>
      <w:marLeft w:val="0"/>
      <w:marRight w:val="0"/>
      <w:marTop w:val="0"/>
      <w:marBottom w:val="0"/>
      <w:divBdr>
        <w:top w:val="none" w:sz="0" w:space="0" w:color="auto"/>
        <w:left w:val="none" w:sz="0" w:space="0" w:color="auto"/>
        <w:bottom w:val="none" w:sz="0" w:space="0" w:color="auto"/>
        <w:right w:val="none" w:sz="0" w:space="0" w:color="auto"/>
      </w:divBdr>
    </w:div>
    <w:div w:id="1709182542">
      <w:bodyDiv w:val="1"/>
      <w:marLeft w:val="0"/>
      <w:marRight w:val="0"/>
      <w:marTop w:val="0"/>
      <w:marBottom w:val="0"/>
      <w:divBdr>
        <w:top w:val="none" w:sz="0" w:space="0" w:color="auto"/>
        <w:left w:val="none" w:sz="0" w:space="0" w:color="auto"/>
        <w:bottom w:val="none" w:sz="0" w:space="0" w:color="auto"/>
        <w:right w:val="none" w:sz="0" w:space="0" w:color="auto"/>
      </w:divBdr>
    </w:div>
    <w:div w:id="1754087944">
      <w:bodyDiv w:val="1"/>
      <w:marLeft w:val="0"/>
      <w:marRight w:val="0"/>
      <w:marTop w:val="0"/>
      <w:marBottom w:val="0"/>
      <w:divBdr>
        <w:top w:val="none" w:sz="0" w:space="0" w:color="auto"/>
        <w:left w:val="none" w:sz="0" w:space="0" w:color="auto"/>
        <w:bottom w:val="none" w:sz="0" w:space="0" w:color="auto"/>
        <w:right w:val="none" w:sz="0" w:space="0" w:color="auto"/>
      </w:divBdr>
    </w:div>
    <w:div w:id="1771732890">
      <w:bodyDiv w:val="1"/>
      <w:marLeft w:val="0"/>
      <w:marRight w:val="0"/>
      <w:marTop w:val="0"/>
      <w:marBottom w:val="0"/>
      <w:divBdr>
        <w:top w:val="none" w:sz="0" w:space="0" w:color="auto"/>
        <w:left w:val="none" w:sz="0" w:space="0" w:color="auto"/>
        <w:bottom w:val="none" w:sz="0" w:space="0" w:color="auto"/>
        <w:right w:val="none" w:sz="0" w:space="0" w:color="auto"/>
      </w:divBdr>
    </w:div>
    <w:div w:id="1989626661">
      <w:bodyDiv w:val="1"/>
      <w:marLeft w:val="0"/>
      <w:marRight w:val="0"/>
      <w:marTop w:val="0"/>
      <w:marBottom w:val="0"/>
      <w:divBdr>
        <w:top w:val="none" w:sz="0" w:space="0" w:color="auto"/>
        <w:left w:val="none" w:sz="0" w:space="0" w:color="auto"/>
        <w:bottom w:val="none" w:sz="0" w:space="0" w:color="auto"/>
        <w:right w:val="none" w:sz="0" w:space="0" w:color="auto"/>
      </w:divBdr>
    </w:div>
    <w:div w:id="20368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annualreport.visa.com/financials/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varun\Downloads\1709896005_Task%205%20Market%20Research%20Report%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Revenue</a:t>
            </a:r>
            <a:r>
              <a:rPr lang="en-US" baseline="0"/>
              <a:t> Driver </a:t>
            </a:r>
            <a:r>
              <a:rPr lang="en-US"/>
              <a:t>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Sheet1!$D$2</c:f>
              <c:strCache>
                <c:ptCount val="1"/>
                <c:pt idx="0">
                  <c:v>Amount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5A33-486B-9A31-2538F167AC2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5A33-486B-9A31-2538F167AC2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5A33-486B-9A31-2538F167AC2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5A33-486B-9A31-2538F167AC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Sheet1!$C$3:$C$6</c:f>
              <c:strCache>
                <c:ptCount val="4"/>
                <c:pt idx="0">
                  <c:v>Services Revenue</c:v>
                </c:pt>
                <c:pt idx="1">
                  <c:v>Data processing revenue</c:v>
                </c:pt>
                <c:pt idx="2">
                  <c:v>International Transaction Revenue</c:v>
                </c:pt>
                <c:pt idx="3">
                  <c:v>Other Revenue</c:v>
                </c:pt>
              </c:strCache>
            </c:strRef>
          </c:cat>
          <c:val>
            <c:numRef>
              <c:f>Sheet1!$D$3:$D$6</c:f>
              <c:numCache>
                <c:formatCode>General</c:formatCode>
                <c:ptCount val="4"/>
                <c:pt idx="0">
                  <c:v>3967</c:v>
                </c:pt>
                <c:pt idx="1">
                  <c:v>4489</c:v>
                </c:pt>
                <c:pt idx="2">
                  <c:v>3194</c:v>
                </c:pt>
                <c:pt idx="3">
                  <c:v>780</c:v>
                </c:pt>
              </c:numCache>
            </c:numRef>
          </c:val>
          <c:extLst>
            <c:ext xmlns:c16="http://schemas.microsoft.com/office/drawing/2014/chart" uri="{C3380CC4-5D6E-409C-BE32-E72D297353CC}">
              <c16:uniqueId val="{00000008-5A33-486B-9A31-2538F167AC2C}"/>
            </c:ext>
          </c:extLst>
        </c:ser>
        <c:dLbls>
          <c:showLegendKey val="0"/>
          <c:showVal val="0"/>
          <c:showCatName val="1"/>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6</Pages>
  <Words>1480</Words>
  <Characters>9624</Characters>
  <Application>Microsoft Office Word</Application>
  <DocSecurity>0</DocSecurity>
  <Lines>312</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Chandra</dc:creator>
  <cp:keywords/>
  <dc:description/>
  <cp:lastModifiedBy>Varun Chandra</cp:lastModifiedBy>
  <cp:revision>2</cp:revision>
  <dcterms:created xsi:type="dcterms:W3CDTF">2024-11-13T19:38:00Z</dcterms:created>
  <dcterms:modified xsi:type="dcterms:W3CDTF">2024-11-14T17:49:00Z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c29cf75f71d863f264700cd45002476622e244bf55fb82eeb6541c11c3ce3279</vt:lpwstr>
  </property>
</Properties>
</file>