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5.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 w:tblpY="-1332"/>
        <w:tblW w:w="15260" w:type="dxa"/>
        <w:tblLook w:val="04A0" w:firstRow="1" w:lastRow="0" w:firstColumn="1" w:lastColumn="0" w:noHBand="0" w:noVBand="1"/>
      </w:tblPr>
      <w:tblGrid>
        <w:gridCol w:w="1440"/>
        <w:gridCol w:w="4231"/>
        <w:gridCol w:w="1880"/>
        <w:gridCol w:w="1600"/>
        <w:gridCol w:w="1640"/>
        <w:gridCol w:w="960"/>
        <w:gridCol w:w="960"/>
        <w:gridCol w:w="960"/>
        <w:gridCol w:w="960"/>
        <w:gridCol w:w="960"/>
      </w:tblGrid>
      <w:tr w:rsidR="006A0783" w:rsidRPr="006A0783" w14:paraId="501CC77E" w14:textId="77777777" w:rsidTr="00E83940">
        <w:trPr>
          <w:trHeight w:val="1200"/>
        </w:trPr>
        <w:tc>
          <w:tcPr>
            <w:tcW w:w="1440" w:type="dxa"/>
            <w:tcBorders>
              <w:top w:val="nil"/>
              <w:left w:val="nil"/>
              <w:bottom w:val="nil"/>
              <w:right w:val="nil"/>
            </w:tcBorders>
            <w:shd w:val="clear" w:color="000000" w:fill="002060"/>
            <w:noWrap/>
            <w:vAlign w:val="center"/>
            <w:hideMark/>
          </w:tcPr>
          <w:p w14:paraId="78F42B5A" w14:textId="77777777" w:rsidR="006A0783" w:rsidRPr="006A0783" w:rsidRDefault="006A0783" w:rsidP="0008638F">
            <w:pPr>
              <w:rPr>
                <w:rFonts w:ascii="Calibri" w:eastAsia="Times New Roman" w:hAnsi="Calibri" w:cs="Calibri"/>
                <w:b/>
                <w:bCs/>
                <w:color w:val="FFFFFF"/>
                <w:kern w:val="0"/>
                <w:sz w:val="40"/>
                <w:szCs w:val="40"/>
                <w14:ligatures w14:val="none"/>
              </w:rPr>
            </w:pPr>
            <w:r w:rsidRPr="006A0783">
              <w:rPr>
                <w:rFonts w:ascii="Calibri" w:eastAsia="Times New Roman" w:hAnsi="Calibri" w:cs="Calibri"/>
                <w:b/>
                <w:bCs/>
                <w:color w:val="FFFFFF"/>
                <w:kern w:val="0"/>
                <w:sz w:val="40"/>
                <w:szCs w:val="40"/>
                <w14:ligatures w14:val="none"/>
              </w:rPr>
              <w:t> </w:t>
            </w:r>
          </w:p>
        </w:tc>
        <w:tc>
          <w:tcPr>
            <w:tcW w:w="3900" w:type="dxa"/>
            <w:tcBorders>
              <w:top w:val="nil"/>
              <w:left w:val="nil"/>
              <w:bottom w:val="nil"/>
              <w:right w:val="nil"/>
            </w:tcBorders>
            <w:shd w:val="clear" w:color="000000" w:fill="002060"/>
            <w:noWrap/>
            <w:vAlign w:val="bottom"/>
            <w:hideMark/>
          </w:tcPr>
          <w:p w14:paraId="34F68C4F" w14:textId="61365FD9" w:rsidR="006A0783" w:rsidRDefault="006A0783" w:rsidP="0008638F">
            <w:pPr>
              <w:spacing w:after="0" w:line="240" w:lineRule="auto"/>
              <w:rPr>
                <w:rFonts w:ascii="Calibri" w:eastAsia="Times New Roman" w:hAnsi="Calibri" w:cs="Calibri"/>
                <w:b/>
                <w:bCs/>
                <w:color w:val="FFFFFF"/>
                <w:kern w:val="0"/>
                <w:sz w:val="56"/>
                <w:szCs w:val="56"/>
                <w14:ligatures w14:val="none"/>
              </w:rPr>
            </w:pPr>
            <w:r w:rsidRPr="006A0783">
              <w:rPr>
                <w:rFonts w:ascii="Calibri" w:eastAsia="Times New Roman" w:hAnsi="Calibri" w:cs="Calibri"/>
                <w:b/>
                <w:bCs/>
                <w:color w:val="FFFFFF"/>
                <w:kern w:val="0"/>
                <w:sz w:val="56"/>
                <w:szCs w:val="56"/>
                <w14:ligatures w14:val="none"/>
              </w:rPr>
              <w:t>A</w:t>
            </w:r>
            <w:r w:rsidR="00C61D05">
              <w:rPr>
                <w:rFonts w:ascii="Calibri" w:eastAsia="Times New Roman" w:hAnsi="Calibri" w:cs="Calibri"/>
                <w:b/>
                <w:bCs/>
                <w:color w:val="FFFFFF"/>
                <w:kern w:val="0"/>
                <w:sz w:val="56"/>
                <w:szCs w:val="56"/>
                <w14:ligatures w14:val="none"/>
              </w:rPr>
              <w:t>mazon.com,</w:t>
            </w:r>
            <w:r w:rsidRPr="006A0783">
              <w:rPr>
                <w:rFonts w:ascii="Calibri" w:eastAsia="Times New Roman" w:hAnsi="Calibri" w:cs="Calibri"/>
                <w:b/>
                <w:bCs/>
                <w:color w:val="FFFFFF"/>
                <w:kern w:val="0"/>
                <w:sz w:val="56"/>
                <w:szCs w:val="56"/>
                <w14:ligatures w14:val="none"/>
              </w:rPr>
              <w:t>Inc.</w:t>
            </w:r>
          </w:p>
          <w:p w14:paraId="290A3FC2" w14:textId="77777777" w:rsidR="006A0783" w:rsidRDefault="006A0783" w:rsidP="0008638F">
            <w:pPr>
              <w:spacing w:after="0" w:line="240" w:lineRule="auto"/>
              <w:rPr>
                <w:rFonts w:ascii="Calibri" w:eastAsia="Times New Roman" w:hAnsi="Calibri" w:cs="Calibri"/>
                <w:b/>
                <w:bCs/>
                <w:color w:val="FFFFFF"/>
                <w:kern w:val="0"/>
                <w:sz w:val="56"/>
                <w:szCs w:val="56"/>
                <w14:ligatures w14:val="none"/>
              </w:rPr>
            </w:pPr>
          </w:p>
          <w:p w14:paraId="093CC9A0" w14:textId="77777777" w:rsidR="006A0783" w:rsidRPr="006A0783" w:rsidRDefault="006A0783" w:rsidP="00E83940">
            <w:pPr>
              <w:spacing w:after="60"/>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A0783">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Financial Performance Analysis Report</w:t>
            </w:r>
          </w:p>
          <w:p w14:paraId="4A301681" w14:textId="4C581A23" w:rsidR="006A0783" w:rsidRPr="006A0783" w:rsidRDefault="006A0783" w:rsidP="00E83940">
            <w:pPr>
              <w:spacing w:after="60"/>
              <w:rPr>
                <w:b/>
                <w:bCs/>
                <w:color w:val="FF0000"/>
              </w:rPr>
            </w:pPr>
            <w:r w:rsidRPr="006A0783">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Fiscal Years 20</w:t>
            </w:r>
            <w:r w:rsidR="00C61D05">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17</w:t>
            </w:r>
            <w:r w:rsidRPr="006A0783">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-20</w:t>
            </w:r>
            <w:r w:rsidR="00C61D05">
              <w:rP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19</w:t>
            </w:r>
          </w:p>
        </w:tc>
        <w:tc>
          <w:tcPr>
            <w:tcW w:w="1880" w:type="dxa"/>
            <w:tcBorders>
              <w:top w:val="nil"/>
              <w:left w:val="nil"/>
              <w:bottom w:val="nil"/>
              <w:right w:val="nil"/>
            </w:tcBorders>
            <w:shd w:val="clear" w:color="000000" w:fill="002060"/>
            <w:noWrap/>
            <w:vAlign w:val="bottom"/>
            <w:hideMark/>
          </w:tcPr>
          <w:p w14:paraId="31DC219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5025A3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264B526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2A45D1C"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694B70A"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23ED97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02A8EF6"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BBB6BA1"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07D526A5" w14:textId="0ED11E0D" w:rsidR="00E83940" w:rsidRDefault="00E83940" w:rsidP="006A0783"/>
    <w:p w14:paraId="075DC0C6" w14:textId="698DD130" w:rsidR="00C61D05" w:rsidRPr="00C61D05" w:rsidRDefault="00C61D05" w:rsidP="00C61D05">
      <w:pPr>
        <w:rPr>
          <w:b/>
          <w:bCs/>
        </w:rPr>
      </w:pPr>
      <w:r w:rsidRPr="00C61D05">
        <w:rPr>
          <w:b/>
          <w:bCs/>
        </w:rPr>
        <w:t>Amazon.com, Inc. doing business as Amazon is an American multinational technology company engaged in e-commerce, cloud computing, online advertising, digital streaming, and artificial intelligence. It is considered one of the Big Five American technology companies, the other four being Alphabet (parent company of Google), Apple, Meta (parent company of Facebook), and Microsoft.</w:t>
      </w:r>
    </w:p>
    <w:p w14:paraId="32B92973" w14:textId="5D8DEE08" w:rsidR="00C61D05" w:rsidRPr="00C61D05" w:rsidRDefault="00C61D05" w:rsidP="00C61D05">
      <w:pPr>
        <w:rPr>
          <w:b/>
          <w:bCs/>
        </w:rPr>
      </w:pPr>
      <w:r w:rsidRPr="00C61D05">
        <w:rPr>
          <w:b/>
          <w:bCs/>
          <w:color w:val="FF0000"/>
        </w:rPr>
        <w:t>Amazon was founded on July 5, 1994 by Jeff Bezos in Bellevue, Washington</w:t>
      </w:r>
      <w:r w:rsidRPr="00C61D05">
        <w:rPr>
          <w:b/>
          <w:bCs/>
        </w:rPr>
        <w:t>. The company originally started as an online marketplace for books but gradually expanded its offerings to include a wide range of product categories. This diversification led to it being referred to as "The Everything Store".</w:t>
      </w:r>
    </w:p>
    <w:p w14:paraId="0477F01F" w14:textId="3DE40D6C" w:rsidR="00C61D05" w:rsidRPr="00C61D05" w:rsidRDefault="00C61D05" w:rsidP="00C61D05">
      <w:pPr>
        <w:rPr>
          <w:b/>
          <w:bCs/>
        </w:rPr>
      </w:pPr>
      <w:r w:rsidRPr="00C61D05">
        <w:rPr>
          <w:b/>
          <w:bCs/>
        </w:rPr>
        <w:t>The company has multiple subsidiaries, including Amazon Web Services, providing cloud computing, a self-driving car division, Kuiper Systems, a satellite Internet provider, and Amazon Lab126, a computer hardware R&amp;D provider. Other subsidiaries include Ring, Twitch, IMDb, and Whole Foods Market. Its acquisition of Whole Foods in August 2017 for US$13.4 billion substantially increased its market share and presence as a physical retailer. Amazon also distributes a variety of downloadable and streaming content through its Amazon Prime Video, MGM+, Amazon Music, Twitch, Audible units. It publishes books through its publishing arm, Amazon Publishing, film and television content through Amazon MGM Studios, including the Metro-Goldwyn-Mayer studio, which was acquired in March 2022, and owns Brilliance Audio and Audible, which produce and distribute audiobooks, respectively. Amazon also produces consumer electronics—most notably, Kindle e-readers, Echo devices, Fire tablets, and Fire TVs.</w:t>
      </w:r>
    </w:p>
    <w:p w14:paraId="057DB9E4" w14:textId="19D4C1D2" w:rsidR="00E83940" w:rsidRDefault="00E83940" w:rsidP="006A0783">
      <w:pPr>
        <w:rPr>
          <w:b/>
          <w:bCs/>
        </w:rPr>
      </w:pPr>
    </w:p>
    <w:p w14:paraId="03AB8921" w14:textId="77777777" w:rsidR="008863EF" w:rsidRDefault="008863EF" w:rsidP="006A0783">
      <w:pPr>
        <w:rPr>
          <w:b/>
          <w:bCs/>
        </w:rPr>
      </w:pPr>
    </w:p>
    <w:p w14:paraId="68B454E4" w14:textId="551BFD20" w:rsidR="008863EF" w:rsidRDefault="008863EF" w:rsidP="006A0783">
      <w:pPr>
        <w:rPr>
          <w:b/>
          <w:bCs/>
        </w:rPr>
      </w:pPr>
      <w:r>
        <w:rPr>
          <w:b/>
          <w:bCs/>
        </w:rPr>
        <w:t>OWNERSHIP</w:t>
      </w:r>
    </w:p>
    <w:p w14:paraId="4D041B74" w14:textId="0E2946D1" w:rsidR="008863EF" w:rsidRDefault="00C61D05" w:rsidP="006A0783">
      <w:pPr>
        <w:rPr>
          <w:b/>
          <w:bCs/>
        </w:rPr>
      </w:pPr>
      <w:r w:rsidRPr="00C61D05">
        <w:rPr>
          <w:b/>
          <w:bCs/>
        </w:rPr>
        <w:drawing>
          <wp:inline distT="0" distB="0" distL="0" distR="0" wp14:anchorId="608E8036" wp14:editId="70CF38BE">
            <wp:extent cx="4729480" cy="1592580"/>
            <wp:effectExtent l="133350" t="114300" r="128270" b="160020"/>
            <wp:docPr id="131926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68373" name=""/>
                    <pic:cNvPicPr/>
                  </pic:nvPicPr>
                  <pic:blipFill>
                    <a:blip r:embed="rId8"/>
                    <a:stretch>
                      <a:fillRect/>
                    </a:stretch>
                  </pic:blipFill>
                  <pic:spPr>
                    <a:xfrm>
                      <a:off x="0" y="0"/>
                      <a:ext cx="4737781" cy="1595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9F3ECD" w14:textId="77777777" w:rsidR="00F620D7" w:rsidRDefault="00F620D7" w:rsidP="006A0783">
      <w:pPr>
        <w:rPr>
          <w:b/>
          <w:bCs/>
        </w:rPr>
      </w:pPr>
    </w:p>
    <w:p w14:paraId="21E03DE1" w14:textId="77777777" w:rsidR="00C61D05" w:rsidRDefault="00C61D05" w:rsidP="006A0783">
      <w:pPr>
        <w:rPr>
          <w:b/>
          <w:bCs/>
          <w:color w:val="FF0000"/>
        </w:rPr>
      </w:pPr>
    </w:p>
    <w:p w14:paraId="080F521B" w14:textId="77777777" w:rsidR="00C61D05" w:rsidRDefault="00C61D05" w:rsidP="006A0783">
      <w:pPr>
        <w:rPr>
          <w:b/>
          <w:bCs/>
          <w:color w:val="FF0000"/>
        </w:rPr>
      </w:pPr>
    </w:p>
    <w:p w14:paraId="3C5DDB1C" w14:textId="77777777" w:rsidR="00C61D05" w:rsidRDefault="00C61D05" w:rsidP="006A0783">
      <w:pPr>
        <w:rPr>
          <w:b/>
          <w:bCs/>
          <w:color w:val="FF0000"/>
        </w:rPr>
      </w:pPr>
    </w:p>
    <w:p w14:paraId="0AB4B2CE" w14:textId="77777777" w:rsidR="00C61D05" w:rsidRDefault="00C61D05" w:rsidP="006A0783">
      <w:pPr>
        <w:rPr>
          <w:b/>
          <w:bCs/>
          <w:color w:val="FF0000"/>
        </w:rPr>
      </w:pPr>
    </w:p>
    <w:p w14:paraId="72243E32" w14:textId="77AB8906" w:rsidR="00F620D7" w:rsidRPr="00F620D7" w:rsidRDefault="00F620D7" w:rsidP="006A0783">
      <w:pPr>
        <w:rPr>
          <w:b/>
          <w:bCs/>
          <w:color w:val="FF0000"/>
        </w:rPr>
      </w:pPr>
      <w:r w:rsidRPr="00F620D7">
        <w:rPr>
          <w:b/>
          <w:bCs/>
          <w:color w:val="FF0000"/>
        </w:rPr>
        <w:t>A</w:t>
      </w:r>
      <w:r w:rsidR="00C61D05">
        <w:rPr>
          <w:b/>
          <w:bCs/>
          <w:color w:val="FF0000"/>
        </w:rPr>
        <w:t>mazon</w:t>
      </w:r>
      <w:r w:rsidRPr="00F620D7">
        <w:rPr>
          <w:b/>
          <w:bCs/>
          <w:color w:val="FF0000"/>
        </w:rPr>
        <w:t xml:space="preserve"> Inc. VS Nasdaq 100 Index</w:t>
      </w:r>
    </w:p>
    <w:p w14:paraId="1A5B4BC3" w14:textId="4B5931F7" w:rsidR="00F620D7" w:rsidRDefault="00C61D05" w:rsidP="006A0783">
      <w:pPr>
        <w:rPr>
          <w:b/>
          <w:bCs/>
        </w:rPr>
      </w:pPr>
      <w:r w:rsidRPr="00C61D05">
        <w:rPr>
          <w:b/>
          <w:bCs/>
        </w:rPr>
        <w:drawing>
          <wp:inline distT="0" distB="0" distL="0" distR="0" wp14:anchorId="37DEBAC1" wp14:editId="6ECF86EA">
            <wp:extent cx="5943600" cy="2367915"/>
            <wp:effectExtent l="76200" t="76200" r="133350" b="127635"/>
            <wp:docPr id="751058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058988" name=""/>
                    <pic:cNvPicPr/>
                  </pic:nvPicPr>
                  <pic:blipFill>
                    <a:blip r:embed="rId9"/>
                    <a:stretch>
                      <a:fillRect/>
                    </a:stretch>
                  </pic:blipFill>
                  <pic:spPr>
                    <a:xfrm>
                      <a:off x="0" y="0"/>
                      <a:ext cx="5943600" cy="2367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996AAA" w14:textId="77777777" w:rsidR="00E83940" w:rsidRPr="00E83940" w:rsidRDefault="00E83940" w:rsidP="006A0783">
      <w:pPr>
        <w:rPr>
          <w:b/>
          <w:bCs/>
        </w:rPr>
      </w:pPr>
    </w:p>
    <w:p w14:paraId="40B486D4"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p w14:paraId="27B068AC"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ED13986" w14:textId="77777777" w:rsidTr="0016459C">
        <w:trPr>
          <w:trHeight w:val="1200"/>
        </w:trPr>
        <w:tc>
          <w:tcPr>
            <w:tcW w:w="1134" w:type="dxa"/>
            <w:tcBorders>
              <w:top w:val="nil"/>
              <w:left w:val="nil"/>
              <w:bottom w:val="nil"/>
              <w:right w:val="nil"/>
            </w:tcBorders>
            <w:shd w:val="clear" w:color="000000" w:fill="002060"/>
            <w:noWrap/>
            <w:vAlign w:val="center"/>
          </w:tcPr>
          <w:p w14:paraId="27B04AF5" w14:textId="4140FFC3" w:rsidR="0016459C" w:rsidRPr="0016459C" w:rsidRDefault="0016459C" w:rsidP="0016459C">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3138685B" w14:textId="1EE5D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5C082C3F" w14:textId="0BE3E7D1"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Executive Summary</w:t>
            </w:r>
          </w:p>
          <w:p w14:paraId="604C5D6E" w14:textId="725433CF"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CA9316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31D8501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284A9D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756FA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248665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E8B75F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73A6F4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7CD01F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6585CE94" w14:textId="77777777" w:rsidR="006A0783" w:rsidRPr="006A0783" w:rsidRDefault="006A0783" w:rsidP="006A0783">
      <w:pPr>
        <w:spacing w:after="0" w:line="240" w:lineRule="auto"/>
        <w:rPr>
          <w:rFonts w:ascii="Calibri" w:eastAsia="Times New Roman" w:hAnsi="Calibri" w:cs="Calibri"/>
          <w:b/>
          <w:bCs/>
          <w:color w:val="FF0000"/>
          <w:kern w:val="0"/>
          <w:sz w:val="28"/>
          <w:szCs w:val="28"/>
          <w14:ligatures w14:val="none"/>
        </w:rPr>
      </w:pPr>
    </w:p>
    <w:p w14:paraId="5564FBE6" w14:textId="4DAE41D9" w:rsidR="006A0783" w:rsidRP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kern w:val="0"/>
          <w14:ligatures w14:val="none"/>
        </w:rPr>
        <w:t>This analysis examines A</w:t>
      </w:r>
      <w:r w:rsidR="00C61D05">
        <w:rPr>
          <w:rFonts w:ascii="Calibri" w:eastAsia="Times New Roman" w:hAnsi="Calibri" w:cs="Calibri"/>
          <w:b/>
          <w:bCs/>
          <w:kern w:val="0"/>
          <w14:ligatures w14:val="none"/>
        </w:rPr>
        <w:t>mazon</w:t>
      </w:r>
      <w:r w:rsidRPr="006A0783">
        <w:rPr>
          <w:rFonts w:ascii="Calibri" w:eastAsia="Times New Roman" w:hAnsi="Calibri" w:cs="Calibri"/>
          <w:b/>
          <w:bCs/>
          <w:kern w:val="0"/>
          <w14:ligatures w14:val="none"/>
        </w:rPr>
        <w:t xml:space="preserve"> Inc.'s financial performance from 20</w:t>
      </w:r>
      <w:r w:rsidR="00C61D05">
        <w:rPr>
          <w:rFonts w:ascii="Calibri" w:eastAsia="Times New Roman" w:hAnsi="Calibri" w:cs="Calibri"/>
          <w:b/>
          <w:bCs/>
          <w:kern w:val="0"/>
          <w14:ligatures w14:val="none"/>
        </w:rPr>
        <w:t>17</w:t>
      </w:r>
      <w:r w:rsidRPr="006A0783">
        <w:rPr>
          <w:rFonts w:ascii="Calibri" w:eastAsia="Times New Roman" w:hAnsi="Calibri" w:cs="Calibri"/>
          <w:b/>
          <w:bCs/>
          <w:kern w:val="0"/>
          <w14:ligatures w14:val="none"/>
        </w:rPr>
        <w:t xml:space="preserve"> to 20</w:t>
      </w:r>
      <w:r w:rsidR="00C61D05">
        <w:rPr>
          <w:rFonts w:ascii="Calibri" w:eastAsia="Times New Roman" w:hAnsi="Calibri" w:cs="Calibri"/>
          <w:b/>
          <w:bCs/>
          <w:kern w:val="0"/>
          <w14:ligatures w14:val="none"/>
        </w:rPr>
        <w:t>19</w:t>
      </w:r>
      <w:r w:rsidRPr="006A0783">
        <w:rPr>
          <w:rFonts w:ascii="Calibri" w:eastAsia="Times New Roman" w:hAnsi="Calibri" w:cs="Calibri"/>
          <w:b/>
          <w:bCs/>
          <w:kern w:val="0"/>
          <w14:ligatures w14:val="none"/>
        </w:rPr>
        <w:t xml:space="preserve">, revealing </w:t>
      </w:r>
      <w:r w:rsidRPr="006A0783">
        <w:rPr>
          <w:rFonts w:ascii="Calibri" w:eastAsia="Times New Roman" w:hAnsi="Calibri" w:cs="Calibri"/>
          <w:b/>
          <w:bCs/>
          <w:color w:val="FF0000"/>
          <w:kern w:val="0"/>
          <w14:ligatures w14:val="none"/>
        </w:rPr>
        <w:t xml:space="preserve">strong revenue growth, improved profitability, and some emerging challenges in working capital management. </w:t>
      </w:r>
      <w:r w:rsidRPr="006A0783">
        <w:rPr>
          <w:rFonts w:ascii="Calibri" w:eastAsia="Times New Roman" w:hAnsi="Calibri" w:cs="Calibri"/>
          <w:b/>
          <w:bCs/>
          <w:kern w:val="0"/>
          <w14:ligatures w14:val="none"/>
        </w:rPr>
        <w:t>The company has maintained its market leadership while expanding its services segment and managing operational efficiency.</w:t>
      </w:r>
    </w:p>
    <w:p w14:paraId="4A050110" w14:textId="77777777" w:rsidR="006A0783" w:rsidRDefault="006A0783" w:rsidP="006A0783">
      <w:pPr>
        <w:spacing w:after="0" w:line="240" w:lineRule="auto"/>
        <w:rPr>
          <w:rFonts w:ascii="Calibri" w:eastAsia="Times New Roman" w:hAnsi="Calibri" w:cs="Calibri"/>
          <w:b/>
          <w:bCs/>
          <w:color w:val="FF0000"/>
          <w:kern w:val="0"/>
          <w14:ligatures w14:val="none"/>
        </w:rPr>
      </w:pPr>
    </w:p>
    <w:p w14:paraId="7A3E39F7" w14:textId="27F681B9" w:rsid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w:t>
      </w:r>
      <w:r w:rsidR="00C14309">
        <w:rPr>
          <w:rFonts w:ascii="Calibri" w:eastAsia="Times New Roman" w:hAnsi="Calibri" w:cs="Calibri"/>
          <w:b/>
          <w:bCs/>
          <w:color w:val="FF0000"/>
          <w:kern w:val="0"/>
          <w14:ligatures w14:val="none"/>
        </w:rPr>
        <w:t>19</w:t>
      </w:r>
      <w:r>
        <w:rPr>
          <w:rFonts w:ascii="Calibri" w:eastAsia="Times New Roman" w:hAnsi="Calibri" w:cs="Calibri"/>
          <w:b/>
          <w:bCs/>
          <w:color w:val="FF0000"/>
          <w:kern w:val="0"/>
          <w14:ligatures w14:val="none"/>
        </w:rPr>
        <w:t xml:space="preserve">: </w:t>
      </w:r>
      <w:r w:rsidRPr="006A0783">
        <w:rPr>
          <w:rFonts w:ascii="Calibri" w:eastAsia="Times New Roman" w:hAnsi="Calibri" w:cs="Calibri"/>
          <w:b/>
          <w:bCs/>
          <w:kern w:val="0"/>
          <w14:ligatures w14:val="none"/>
        </w:rPr>
        <w:t>Revenue reported</w:t>
      </w:r>
      <w:r w:rsidRPr="006A0783">
        <w:rPr>
          <w:rFonts w:ascii="Calibri" w:eastAsia="Times New Roman" w:hAnsi="Calibri" w:cs="Calibri"/>
          <w:b/>
          <w:bCs/>
          <w:color w:val="FF0000"/>
          <w:kern w:val="0"/>
          <w14:ligatures w14:val="none"/>
        </w:rPr>
        <w:t xml:space="preserve"> $</w:t>
      </w:r>
      <w:r w:rsidR="00C14309">
        <w:rPr>
          <w:rFonts w:ascii="Calibri" w:eastAsia="Times New Roman" w:hAnsi="Calibri" w:cs="Calibri"/>
          <w:b/>
          <w:bCs/>
          <w:color w:val="FF0000"/>
          <w:kern w:val="0"/>
          <w14:ligatures w14:val="none"/>
        </w:rPr>
        <w:t>280522</w:t>
      </w:r>
      <w:r w:rsidRPr="006A0783">
        <w:rPr>
          <w:rFonts w:ascii="Calibri" w:eastAsia="Times New Roman" w:hAnsi="Calibri" w:cs="Calibri"/>
          <w:b/>
          <w:bCs/>
          <w:color w:val="FF0000"/>
          <w:kern w:val="0"/>
          <w14:ligatures w14:val="none"/>
        </w:rPr>
        <w:t xml:space="preserve"> </w:t>
      </w:r>
      <w:r w:rsidR="00C14309">
        <w:rPr>
          <w:rFonts w:ascii="Calibri" w:eastAsia="Times New Roman" w:hAnsi="Calibri" w:cs="Calibri"/>
          <w:b/>
          <w:bCs/>
          <w:color w:val="FF0000"/>
          <w:kern w:val="0"/>
          <w14:ligatures w14:val="none"/>
        </w:rPr>
        <w:t>m</w:t>
      </w:r>
      <w:r w:rsidRPr="006A0783">
        <w:rPr>
          <w:rFonts w:ascii="Calibri" w:eastAsia="Times New Roman" w:hAnsi="Calibri" w:cs="Calibri"/>
          <w:b/>
          <w:bCs/>
          <w:color w:val="FF0000"/>
          <w:kern w:val="0"/>
          <w14:ligatures w14:val="none"/>
        </w:rPr>
        <w:t>illion</w:t>
      </w:r>
      <w:r>
        <w:rPr>
          <w:rFonts w:ascii="Calibri" w:eastAsia="Times New Roman" w:hAnsi="Calibri" w:cs="Calibri"/>
          <w:b/>
          <w:bCs/>
          <w:kern w:val="0"/>
          <w14:ligatures w14:val="none"/>
        </w:rPr>
        <w:t xml:space="preserve">, </w:t>
      </w:r>
      <w:r w:rsidRPr="006A0783">
        <w:rPr>
          <w:rFonts w:ascii="Calibri" w:eastAsia="Times New Roman" w:hAnsi="Calibri" w:cs="Calibri"/>
          <w:b/>
          <w:bCs/>
          <w:color w:val="FF0000"/>
          <w:kern w:val="0"/>
          <w14:ligatures w14:val="none"/>
        </w:rPr>
        <w:t xml:space="preserve">up </w:t>
      </w:r>
      <w:r w:rsidR="00C14309">
        <w:rPr>
          <w:rFonts w:ascii="Calibri" w:eastAsia="Times New Roman" w:hAnsi="Calibri" w:cs="Calibri"/>
          <w:b/>
          <w:bCs/>
          <w:color w:val="FF0000"/>
          <w:kern w:val="0"/>
          <w:sz w:val="32"/>
          <w:szCs w:val="32"/>
          <w14:ligatures w14:val="none"/>
        </w:rPr>
        <w:t>20</w:t>
      </w:r>
      <w:r w:rsidRPr="00E069F0">
        <w:rPr>
          <w:rFonts w:ascii="Calibri" w:eastAsia="Times New Roman" w:hAnsi="Calibri" w:cs="Calibri"/>
          <w:b/>
          <w:bCs/>
          <w:color w:val="FF0000"/>
          <w:kern w:val="0"/>
          <w:sz w:val="32"/>
          <w:szCs w:val="32"/>
          <w14:ligatures w14:val="none"/>
        </w:rPr>
        <w:t>%</w:t>
      </w:r>
      <w:r w:rsidRPr="006A0783">
        <w:rPr>
          <w:rFonts w:ascii="Calibri" w:eastAsia="Times New Roman" w:hAnsi="Calibri" w:cs="Calibri"/>
          <w:b/>
          <w:bCs/>
          <w:color w:val="FF0000"/>
          <w:kern w:val="0"/>
          <w14:ligatures w14:val="none"/>
        </w:rPr>
        <w:t xml:space="preserve"> </w:t>
      </w:r>
      <w:r>
        <w:rPr>
          <w:rFonts w:ascii="Calibri" w:eastAsia="Times New Roman" w:hAnsi="Calibri" w:cs="Calibri"/>
          <w:b/>
          <w:bCs/>
          <w:kern w:val="0"/>
          <w14:ligatures w14:val="none"/>
        </w:rPr>
        <w:t xml:space="preserve">from </w:t>
      </w:r>
      <w:r w:rsidRPr="006A0783">
        <w:rPr>
          <w:rFonts w:ascii="Calibri" w:eastAsia="Times New Roman" w:hAnsi="Calibri" w:cs="Calibri"/>
          <w:b/>
          <w:bCs/>
          <w:kern w:val="0"/>
          <w14:ligatures w14:val="none"/>
        </w:rPr>
        <w:t>$</w:t>
      </w:r>
      <w:r w:rsidR="00C14309">
        <w:rPr>
          <w:rFonts w:ascii="Calibri" w:eastAsia="Times New Roman" w:hAnsi="Calibri" w:cs="Calibri"/>
          <w:b/>
          <w:bCs/>
          <w:kern w:val="0"/>
          <w14:ligatures w14:val="none"/>
        </w:rPr>
        <w:t>232</w:t>
      </w:r>
      <w:r w:rsidRPr="006A0783">
        <w:rPr>
          <w:rFonts w:ascii="Calibri" w:eastAsia="Times New Roman" w:hAnsi="Calibri" w:cs="Calibri"/>
          <w:b/>
          <w:bCs/>
          <w:kern w:val="0"/>
          <w14:ligatures w14:val="none"/>
        </w:rPr>
        <w:t xml:space="preserve"> billion in 20</w:t>
      </w:r>
      <w:r w:rsidR="00C14309">
        <w:rPr>
          <w:rFonts w:ascii="Calibri" w:eastAsia="Times New Roman" w:hAnsi="Calibri" w:cs="Calibri"/>
          <w:b/>
          <w:bCs/>
          <w:kern w:val="0"/>
          <w14:ligatures w14:val="none"/>
        </w:rPr>
        <w:t>18</w:t>
      </w:r>
      <w:r w:rsidRPr="006A0783">
        <w:rPr>
          <w:rFonts w:ascii="Calibri" w:eastAsia="Times New Roman" w:hAnsi="Calibri" w:cs="Calibri"/>
          <w:b/>
          <w:bCs/>
          <w:kern w:val="0"/>
          <w14:ligatures w14:val="none"/>
        </w:rPr>
        <w:t xml:space="preserve">. </w:t>
      </w:r>
    </w:p>
    <w:p w14:paraId="44BD25D8" w14:textId="6D9E5083" w:rsidR="00E069F0" w:rsidRDefault="00E069F0"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w:t>
      </w:r>
      <w:r w:rsidR="00C14309">
        <w:rPr>
          <w:rFonts w:ascii="Calibri" w:eastAsia="Times New Roman" w:hAnsi="Calibri" w:cs="Calibri"/>
          <w:b/>
          <w:bCs/>
          <w:color w:val="FF0000"/>
          <w:kern w:val="0"/>
          <w14:ligatures w14:val="none"/>
        </w:rPr>
        <w:t>18</w:t>
      </w:r>
      <w:r>
        <w:rPr>
          <w:rFonts w:ascii="Calibri" w:eastAsia="Times New Roman" w:hAnsi="Calibri" w:cs="Calibri"/>
          <w:b/>
          <w:bCs/>
          <w:color w:val="FF0000"/>
          <w:kern w:val="0"/>
          <w14:ligatures w14:val="none"/>
        </w:rPr>
        <w:t xml:space="preserve">: </w:t>
      </w:r>
      <w:r w:rsidRPr="006A0783">
        <w:rPr>
          <w:rFonts w:ascii="Calibri" w:eastAsia="Times New Roman" w:hAnsi="Calibri" w:cs="Calibri"/>
          <w:b/>
          <w:bCs/>
          <w:kern w:val="0"/>
          <w14:ligatures w14:val="none"/>
        </w:rPr>
        <w:t xml:space="preserve">Revenue reported </w:t>
      </w:r>
      <w:r w:rsidRPr="006A0783">
        <w:rPr>
          <w:rFonts w:ascii="Calibri" w:eastAsia="Times New Roman" w:hAnsi="Calibri" w:cs="Calibri"/>
          <w:b/>
          <w:bCs/>
          <w:color w:val="FF0000"/>
          <w:kern w:val="0"/>
          <w14:ligatures w14:val="none"/>
        </w:rPr>
        <w:t>$</w:t>
      </w:r>
      <w:r w:rsidR="00C14309" w:rsidRPr="00C14309">
        <w:t xml:space="preserve"> </w:t>
      </w:r>
      <w:r w:rsidR="00C14309" w:rsidRPr="00C14309">
        <w:rPr>
          <w:rFonts w:ascii="Calibri" w:eastAsia="Times New Roman" w:hAnsi="Calibri" w:cs="Calibri"/>
          <w:b/>
          <w:bCs/>
          <w:color w:val="FF0000"/>
          <w:kern w:val="0"/>
          <w14:ligatures w14:val="none"/>
        </w:rPr>
        <w:t>232,887</w:t>
      </w:r>
      <w:r w:rsidRPr="006A0783">
        <w:rPr>
          <w:rFonts w:ascii="Calibri" w:eastAsia="Times New Roman" w:hAnsi="Calibri" w:cs="Calibri"/>
          <w:b/>
          <w:bCs/>
          <w:color w:val="FF0000"/>
          <w:kern w:val="0"/>
          <w14:ligatures w14:val="none"/>
        </w:rPr>
        <w:t xml:space="preserve"> </w:t>
      </w:r>
      <w:r w:rsidR="00C14309">
        <w:rPr>
          <w:rFonts w:ascii="Calibri" w:eastAsia="Times New Roman" w:hAnsi="Calibri" w:cs="Calibri"/>
          <w:b/>
          <w:bCs/>
          <w:color w:val="FF0000"/>
          <w:kern w:val="0"/>
          <w14:ligatures w14:val="none"/>
        </w:rPr>
        <w:t>m</w:t>
      </w:r>
      <w:r w:rsidRPr="006A0783">
        <w:rPr>
          <w:rFonts w:ascii="Calibri" w:eastAsia="Times New Roman" w:hAnsi="Calibri" w:cs="Calibri"/>
          <w:b/>
          <w:bCs/>
          <w:color w:val="FF0000"/>
          <w:kern w:val="0"/>
          <w14:ligatures w14:val="none"/>
        </w:rPr>
        <w:t>illion</w:t>
      </w:r>
      <w:r>
        <w:rPr>
          <w:rFonts w:ascii="Calibri" w:eastAsia="Times New Roman" w:hAnsi="Calibri" w:cs="Calibri"/>
          <w:b/>
          <w:bCs/>
          <w:color w:val="FF0000"/>
          <w:kern w:val="0"/>
          <w14:ligatures w14:val="none"/>
        </w:rPr>
        <w:t>, up 3</w:t>
      </w:r>
      <w:r w:rsidR="00C14309">
        <w:rPr>
          <w:rFonts w:ascii="Calibri" w:eastAsia="Times New Roman" w:hAnsi="Calibri" w:cs="Calibri"/>
          <w:b/>
          <w:bCs/>
          <w:color w:val="FF0000"/>
          <w:kern w:val="0"/>
          <w14:ligatures w14:val="none"/>
        </w:rPr>
        <w:t>1</w:t>
      </w:r>
      <w:r>
        <w:rPr>
          <w:rFonts w:ascii="Calibri" w:eastAsia="Times New Roman" w:hAnsi="Calibri" w:cs="Calibri"/>
          <w:b/>
          <w:bCs/>
          <w:color w:val="FF0000"/>
          <w:kern w:val="0"/>
          <w14:ligatures w14:val="none"/>
        </w:rPr>
        <w:t>%</w:t>
      </w:r>
      <w:r>
        <w:rPr>
          <w:rFonts w:ascii="Calibri" w:eastAsia="Times New Roman" w:hAnsi="Calibri" w:cs="Calibri"/>
          <w:b/>
          <w:bCs/>
          <w:kern w:val="0"/>
          <w14:ligatures w14:val="none"/>
        </w:rPr>
        <w:t xml:space="preserve"> from $</w:t>
      </w:r>
      <w:r w:rsidR="00C14309">
        <w:rPr>
          <w:rFonts w:ascii="Calibri" w:eastAsia="Times New Roman" w:hAnsi="Calibri" w:cs="Calibri"/>
          <w:b/>
          <w:bCs/>
          <w:kern w:val="0"/>
          <w14:ligatures w14:val="none"/>
        </w:rPr>
        <w:t>177</w:t>
      </w:r>
      <w:r>
        <w:rPr>
          <w:rFonts w:ascii="Calibri" w:eastAsia="Times New Roman" w:hAnsi="Calibri" w:cs="Calibri"/>
          <w:b/>
          <w:bCs/>
          <w:kern w:val="0"/>
          <w14:ligatures w14:val="none"/>
        </w:rPr>
        <w:t xml:space="preserve"> billion in 20</w:t>
      </w:r>
      <w:r w:rsidR="00C14309">
        <w:rPr>
          <w:rFonts w:ascii="Calibri" w:eastAsia="Times New Roman" w:hAnsi="Calibri" w:cs="Calibri"/>
          <w:b/>
          <w:bCs/>
          <w:kern w:val="0"/>
          <w14:ligatures w14:val="none"/>
        </w:rPr>
        <w:t>17</w:t>
      </w:r>
      <w:r>
        <w:rPr>
          <w:rFonts w:ascii="Calibri" w:eastAsia="Times New Roman" w:hAnsi="Calibri" w:cs="Calibri"/>
          <w:b/>
          <w:bCs/>
          <w:kern w:val="0"/>
          <w14:ligatures w14:val="none"/>
        </w:rPr>
        <w:t>.</w:t>
      </w:r>
    </w:p>
    <w:p w14:paraId="4E4513AC" w14:textId="77777777" w:rsidR="00C14309" w:rsidRDefault="00C14309" w:rsidP="006A0783">
      <w:pPr>
        <w:spacing w:after="0" w:line="240" w:lineRule="auto"/>
        <w:rPr>
          <w:rFonts w:ascii="Calibri" w:eastAsia="Times New Roman" w:hAnsi="Calibri" w:cs="Calibri"/>
          <w:b/>
          <w:bCs/>
          <w:kern w:val="0"/>
          <w14:ligatures w14:val="none"/>
        </w:rPr>
      </w:pPr>
    </w:p>
    <w:p w14:paraId="768EE861" w14:textId="77777777" w:rsidR="00C14309" w:rsidRDefault="00C14309" w:rsidP="00C14309">
      <w:pPr>
        <w:spacing w:after="0" w:line="240" w:lineRule="auto"/>
        <w:rPr>
          <w:rFonts w:ascii="Calibri" w:eastAsia="Times New Roman" w:hAnsi="Calibri" w:cs="Calibri"/>
          <w:b/>
          <w:bCs/>
          <w:color w:val="FF0000"/>
          <w:kern w:val="0"/>
          <w14:ligatures w14:val="none"/>
        </w:rPr>
      </w:pPr>
      <w:r w:rsidRPr="00C14309">
        <w:rPr>
          <w:rFonts w:ascii="Calibri" w:eastAsia="Times New Roman" w:hAnsi="Calibri" w:cs="Calibri"/>
          <w:b/>
          <w:bCs/>
          <w:kern w:val="0"/>
          <w14:ligatures w14:val="none"/>
        </w:rPr>
        <w:t xml:space="preserve">The company's </w:t>
      </w:r>
      <w:r w:rsidRPr="00C14309">
        <w:rPr>
          <w:rFonts w:ascii="Calibri" w:eastAsia="Times New Roman" w:hAnsi="Calibri" w:cs="Calibri"/>
          <w:b/>
          <w:bCs/>
          <w:color w:val="FF0000"/>
          <w:kern w:val="0"/>
          <w14:ligatures w14:val="none"/>
        </w:rPr>
        <w:t>EBITDA showed strong growth, increasing from $16,128 million in 2017 to $28,028 million in 2018, representing a 73.8% increase. In 2019, EBITDA continued to grow, reaching $37,351 million, a 33.3% increase from 2018.</w:t>
      </w:r>
    </w:p>
    <w:p w14:paraId="3A1D1062" w14:textId="77777777" w:rsidR="00C14309" w:rsidRPr="00C14309" w:rsidRDefault="00C14309" w:rsidP="00C14309">
      <w:pPr>
        <w:spacing w:after="0" w:line="240" w:lineRule="auto"/>
        <w:rPr>
          <w:rFonts w:ascii="Calibri" w:eastAsia="Times New Roman" w:hAnsi="Calibri" w:cs="Calibri"/>
          <w:b/>
          <w:bCs/>
          <w:color w:val="FF0000"/>
          <w:kern w:val="0"/>
          <w14:ligatures w14:val="none"/>
        </w:rPr>
      </w:pPr>
    </w:p>
    <w:p w14:paraId="6375D3E9" w14:textId="77777777" w:rsidR="00C14309" w:rsidRPr="00C14309" w:rsidRDefault="00C14309" w:rsidP="00C14309">
      <w:pPr>
        <w:spacing w:after="0" w:line="240" w:lineRule="auto"/>
        <w:rPr>
          <w:rFonts w:ascii="Calibri" w:eastAsia="Times New Roman" w:hAnsi="Calibri" w:cs="Calibri"/>
          <w:b/>
          <w:bCs/>
          <w:kern w:val="0"/>
          <w14:ligatures w14:val="none"/>
        </w:rPr>
      </w:pPr>
      <w:r w:rsidRPr="00C14309">
        <w:rPr>
          <w:rFonts w:ascii="Calibri" w:eastAsia="Times New Roman" w:hAnsi="Calibri" w:cs="Calibri"/>
          <w:b/>
          <w:bCs/>
          <w:kern w:val="0"/>
          <w14:ligatures w14:val="none"/>
        </w:rPr>
        <w:t xml:space="preserve">As for EBIT performance, the company saw </w:t>
      </w:r>
      <w:r w:rsidRPr="00C14309">
        <w:rPr>
          <w:rFonts w:ascii="Calibri" w:eastAsia="Times New Roman" w:hAnsi="Calibri" w:cs="Calibri"/>
          <w:b/>
          <w:bCs/>
          <w:color w:val="FF0000"/>
          <w:kern w:val="0"/>
          <w14:ligatures w14:val="none"/>
        </w:rPr>
        <w:t>remarkable growth from $4,106 million in 2017 to $12,421 million in 2018, marking a substantial 202.5% increase.</w:t>
      </w:r>
      <w:r w:rsidRPr="00C14309">
        <w:rPr>
          <w:rFonts w:ascii="Calibri" w:eastAsia="Times New Roman" w:hAnsi="Calibri" w:cs="Calibri"/>
          <w:b/>
          <w:bCs/>
          <w:kern w:val="0"/>
          <w14:ligatures w14:val="none"/>
        </w:rPr>
        <w:t xml:space="preserve"> In 2019, EBIT continued to grow, reaching $14,541 million, though at a more moderate pace of 17.1% compared to 2018.</w:t>
      </w:r>
    </w:p>
    <w:p w14:paraId="56AB0FBA" w14:textId="77777777" w:rsidR="00C14309" w:rsidRPr="006A0783" w:rsidRDefault="00C14309" w:rsidP="006A0783">
      <w:pPr>
        <w:spacing w:after="0" w:line="240" w:lineRule="auto"/>
        <w:rPr>
          <w:rFonts w:ascii="Calibri" w:eastAsia="Times New Roman" w:hAnsi="Calibri" w:cs="Calibri"/>
          <w:b/>
          <w:bCs/>
          <w:kern w:val="0"/>
          <w14:ligatures w14:val="none"/>
        </w:rPr>
      </w:pPr>
    </w:p>
    <w:p w14:paraId="1B872A16" w14:textId="717EF718" w:rsidR="007C005E" w:rsidRPr="007C005E" w:rsidRDefault="007C005E" w:rsidP="007C005E">
      <w:pPr>
        <w:rPr>
          <w:b/>
          <w:bCs/>
        </w:rPr>
      </w:pPr>
      <w:r w:rsidRPr="007C005E">
        <w:rPr>
          <w:b/>
          <w:bCs/>
        </w:rPr>
        <w:t>Key Financial Outcomes</w:t>
      </w:r>
    </w:p>
    <w:p w14:paraId="0E9C76BE" w14:textId="77777777" w:rsidR="007C005E" w:rsidRPr="007C005E" w:rsidRDefault="007C005E" w:rsidP="007C005E">
      <w:pPr>
        <w:numPr>
          <w:ilvl w:val="0"/>
          <w:numId w:val="28"/>
        </w:numPr>
        <w:rPr>
          <w:color w:val="FF0000"/>
        </w:rPr>
      </w:pPr>
      <w:r w:rsidRPr="007C005E">
        <w:rPr>
          <w:b/>
          <w:bCs/>
          <w:color w:val="FF0000"/>
        </w:rPr>
        <w:t>Margin Expansion:</w:t>
      </w:r>
      <w:r w:rsidRPr="007C005E">
        <w:rPr>
          <w:color w:val="FF0000"/>
        </w:rPr>
        <w:t xml:space="preserve"> </w:t>
      </w:r>
    </w:p>
    <w:p w14:paraId="23840196" w14:textId="77777777" w:rsidR="007C005E" w:rsidRPr="007C005E" w:rsidRDefault="007C005E" w:rsidP="007C005E">
      <w:pPr>
        <w:numPr>
          <w:ilvl w:val="1"/>
          <w:numId w:val="28"/>
        </w:numPr>
        <w:rPr>
          <w:color w:val="FF0000"/>
        </w:rPr>
      </w:pPr>
      <w:r w:rsidRPr="007C005E">
        <w:rPr>
          <w:b/>
          <w:bCs/>
        </w:rPr>
        <w:t>Gross Margin</w:t>
      </w:r>
      <w:r w:rsidRPr="007C005E">
        <w:t xml:space="preserve">: 37% → </w:t>
      </w:r>
      <w:r w:rsidRPr="007C005E">
        <w:rPr>
          <w:color w:val="FF0000"/>
        </w:rPr>
        <w:t>41% (↑4 points)</w:t>
      </w:r>
    </w:p>
    <w:p w14:paraId="1A3D9190" w14:textId="77777777" w:rsidR="007C005E" w:rsidRPr="007C005E" w:rsidRDefault="007C005E" w:rsidP="007C005E">
      <w:pPr>
        <w:numPr>
          <w:ilvl w:val="1"/>
          <w:numId w:val="28"/>
        </w:numPr>
        <w:rPr>
          <w:color w:val="FF0000"/>
        </w:rPr>
      </w:pPr>
      <w:r w:rsidRPr="007C005E">
        <w:rPr>
          <w:b/>
          <w:bCs/>
        </w:rPr>
        <w:lastRenderedPageBreak/>
        <w:t>EBITDA Margin</w:t>
      </w:r>
      <w:r w:rsidRPr="007C005E">
        <w:t xml:space="preserve">: 9% → </w:t>
      </w:r>
      <w:r w:rsidRPr="007C005E">
        <w:rPr>
          <w:color w:val="FF0000"/>
        </w:rPr>
        <w:t>13% (↑4 points)</w:t>
      </w:r>
    </w:p>
    <w:p w14:paraId="47061263" w14:textId="77777777" w:rsidR="007C005E" w:rsidRPr="007C005E" w:rsidRDefault="007C005E" w:rsidP="007C005E">
      <w:pPr>
        <w:numPr>
          <w:ilvl w:val="1"/>
          <w:numId w:val="28"/>
        </w:numPr>
      </w:pPr>
      <w:r w:rsidRPr="007C005E">
        <w:rPr>
          <w:b/>
          <w:bCs/>
        </w:rPr>
        <w:t>Net Margin</w:t>
      </w:r>
      <w:r w:rsidRPr="007C005E">
        <w:t xml:space="preserve">: 1.7% </w:t>
      </w:r>
      <w:r w:rsidRPr="007C005E">
        <w:rPr>
          <w:color w:val="FF0000"/>
        </w:rPr>
        <w:t>→ 4.1% (↑2.4 points)</w:t>
      </w:r>
    </w:p>
    <w:p w14:paraId="4EFC27F8" w14:textId="77777777" w:rsidR="007C005E" w:rsidRPr="007C005E" w:rsidRDefault="007C005E" w:rsidP="007C005E">
      <w:pPr>
        <w:numPr>
          <w:ilvl w:val="0"/>
          <w:numId w:val="28"/>
        </w:numPr>
        <w:rPr>
          <w:color w:val="FF0000"/>
        </w:rPr>
      </w:pPr>
      <w:r w:rsidRPr="007C005E">
        <w:rPr>
          <w:b/>
          <w:bCs/>
          <w:color w:val="FF0000"/>
        </w:rPr>
        <w:t>Return Metrics:</w:t>
      </w:r>
      <w:r w:rsidRPr="007C005E">
        <w:rPr>
          <w:color w:val="FF0000"/>
        </w:rPr>
        <w:t xml:space="preserve"> </w:t>
      </w:r>
    </w:p>
    <w:p w14:paraId="3A96444A" w14:textId="77777777" w:rsidR="007C005E" w:rsidRPr="007C005E" w:rsidRDefault="007C005E" w:rsidP="007C005E">
      <w:pPr>
        <w:numPr>
          <w:ilvl w:val="1"/>
          <w:numId w:val="28"/>
        </w:numPr>
        <w:rPr>
          <w:color w:val="FF0000"/>
        </w:rPr>
      </w:pPr>
      <w:r w:rsidRPr="007C005E">
        <w:rPr>
          <w:b/>
          <w:bCs/>
        </w:rPr>
        <w:t>ROE</w:t>
      </w:r>
      <w:r w:rsidRPr="007C005E">
        <w:t xml:space="preserve">: 11% </w:t>
      </w:r>
      <w:r w:rsidRPr="007C005E">
        <w:rPr>
          <w:color w:val="FF0000"/>
        </w:rPr>
        <w:t>→ 27% (↑16 points)</w:t>
      </w:r>
    </w:p>
    <w:p w14:paraId="31C693A4" w14:textId="77777777" w:rsidR="007C005E" w:rsidRPr="007C005E" w:rsidRDefault="007C005E" w:rsidP="007C005E">
      <w:pPr>
        <w:numPr>
          <w:ilvl w:val="1"/>
          <w:numId w:val="28"/>
        </w:numPr>
        <w:rPr>
          <w:color w:val="FF0000"/>
        </w:rPr>
      </w:pPr>
      <w:r w:rsidRPr="007C005E">
        <w:rPr>
          <w:b/>
          <w:bCs/>
        </w:rPr>
        <w:t>ROCE</w:t>
      </w:r>
      <w:r w:rsidRPr="007C005E">
        <w:t xml:space="preserve">: 4% → </w:t>
      </w:r>
      <w:r w:rsidRPr="007C005E">
        <w:rPr>
          <w:color w:val="FF0000"/>
        </w:rPr>
        <w:t>15% (↑11 points)</w:t>
      </w:r>
    </w:p>
    <w:p w14:paraId="2A1ABC5E" w14:textId="77777777" w:rsidR="007C005E" w:rsidRPr="007C005E" w:rsidRDefault="007C005E" w:rsidP="007C005E">
      <w:pPr>
        <w:numPr>
          <w:ilvl w:val="1"/>
          <w:numId w:val="28"/>
        </w:numPr>
        <w:rPr>
          <w:color w:val="FF0000"/>
        </w:rPr>
      </w:pPr>
      <w:r w:rsidRPr="007C005E">
        <w:rPr>
          <w:b/>
          <w:bCs/>
        </w:rPr>
        <w:t>ROA</w:t>
      </w:r>
      <w:r w:rsidRPr="007C005E">
        <w:t xml:space="preserve">: 2% → </w:t>
      </w:r>
      <w:r w:rsidRPr="007C005E">
        <w:rPr>
          <w:color w:val="FF0000"/>
        </w:rPr>
        <w:t>7% (↑5 points)</w:t>
      </w:r>
    </w:p>
    <w:p w14:paraId="0A6391AF" w14:textId="77777777" w:rsidR="006A0783" w:rsidRDefault="006A0783" w:rsidP="006A0783"/>
    <w:p w14:paraId="45740516" w14:textId="77777777" w:rsidR="00E069F0" w:rsidRPr="00E069F0" w:rsidRDefault="00E069F0" w:rsidP="00E069F0">
      <w:pPr>
        <w:rPr>
          <w:b/>
          <w:bCs/>
          <w:sz w:val="24"/>
          <w:szCs w:val="24"/>
        </w:rPr>
      </w:pPr>
      <w:r w:rsidRPr="00E069F0">
        <w:rPr>
          <w:b/>
          <w:bCs/>
          <w:sz w:val="24"/>
          <w:szCs w:val="24"/>
        </w:rPr>
        <w:t>Revenue Composition:</w:t>
      </w:r>
    </w:p>
    <w:p w14:paraId="0EF3E749" w14:textId="18B22DCF" w:rsidR="00E069F0" w:rsidRPr="00E069F0" w:rsidRDefault="00E069F0" w:rsidP="0008638F">
      <w:pPr>
        <w:numPr>
          <w:ilvl w:val="0"/>
          <w:numId w:val="1"/>
        </w:numPr>
        <w:spacing w:after="40"/>
        <w:rPr>
          <w:b/>
          <w:bCs/>
          <w:color w:val="FF0000"/>
        </w:rPr>
      </w:pPr>
      <w:r w:rsidRPr="00E069F0">
        <w:rPr>
          <w:b/>
          <w:bCs/>
        </w:rPr>
        <w:t xml:space="preserve">Products: Represents </w:t>
      </w:r>
      <w:r w:rsidR="009F3F60">
        <w:rPr>
          <w:b/>
          <w:bCs/>
          <w:color w:val="FF0000"/>
        </w:rPr>
        <w:t>67</w:t>
      </w:r>
      <w:r w:rsidRPr="00E069F0">
        <w:rPr>
          <w:b/>
          <w:bCs/>
          <w:color w:val="FF0000"/>
        </w:rPr>
        <w:t xml:space="preserve">% of revenue </w:t>
      </w:r>
      <w:r w:rsidR="009F3F60">
        <w:rPr>
          <w:b/>
          <w:bCs/>
          <w:color w:val="FF0000"/>
        </w:rPr>
        <w:t xml:space="preserve">in </w:t>
      </w:r>
      <w:r w:rsidRPr="00E069F0">
        <w:rPr>
          <w:b/>
          <w:bCs/>
          <w:color w:val="FF0000"/>
        </w:rPr>
        <w:t>20</w:t>
      </w:r>
      <w:r w:rsidR="009F3F60">
        <w:rPr>
          <w:b/>
          <w:bCs/>
          <w:color w:val="FF0000"/>
        </w:rPr>
        <w:t>17</w:t>
      </w:r>
      <w:r w:rsidRPr="00E069F0">
        <w:rPr>
          <w:b/>
          <w:bCs/>
        </w:rPr>
        <w:t>:</w:t>
      </w:r>
      <w:r w:rsidRPr="00E069F0">
        <w:rPr>
          <w:b/>
          <w:bCs/>
          <w:color w:val="FF0000"/>
        </w:rPr>
        <w:t xml:space="preserve"> </w:t>
      </w:r>
      <w:r w:rsidR="009F3F60">
        <w:rPr>
          <w:b/>
          <w:bCs/>
          <w:color w:val="FF0000"/>
        </w:rPr>
        <w:t xml:space="preserve">to 57% in </w:t>
      </w:r>
      <w:r w:rsidRPr="00E069F0">
        <w:rPr>
          <w:b/>
          <w:bCs/>
          <w:color w:val="FF0000"/>
        </w:rPr>
        <w:t>20</w:t>
      </w:r>
      <w:r w:rsidR="009F3F60">
        <w:rPr>
          <w:b/>
          <w:bCs/>
          <w:color w:val="FF0000"/>
        </w:rPr>
        <w:t>19</w:t>
      </w:r>
    </w:p>
    <w:p w14:paraId="3DFCA5D9" w14:textId="6924D4DF" w:rsidR="00E069F0" w:rsidRPr="009C3481" w:rsidRDefault="00E069F0" w:rsidP="0008638F">
      <w:pPr>
        <w:numPr>
          <w:ilvl w:val="0"/>
          <w:numId w:val="1"/>
        </w:numPr>
        <w:spacing w:after="40"/>
      </w:pPr>
      <w:r w:rsidRPr="00E069F0">
        <w:rPr>
          <w:b/>
          <w:bCs/>
        </w:rPr>
        <w:t>Services:</w:t>
      </w:r>
      <w:r w:rsidRPr="00E069F0">
        <w:t xml:space="preserve"> </w:t>
      </w:r>
      <w:r w:rsidRPr="00E069F0">
        <w:rPr>
          <w:b/>
          <w:bCs/>
          <w:color w:val="FF0000"/>
        </w:rPr>
        <w:t xml:space="preserve">Shows consistent growth </w:t>
      </w:r>
      <w:r w:rsidR="009F3F60">
        <w:rPr>
          <w:b/>
          <w:bCs/>
          <w:color w:val="FF0000"/>
        </w:rPr>
        <w:t xml:space="preserve">in </w:t>
      </w:r>
      <w:r w:rsidRPr="00E069F0">
        <w:rPr>
          <w:b/>
          <w:bCs/>
          <w:color w:val="FF0000"/>
        </w:rPr>
        <w:t>20</w:t>
      </w:r>
      <w:r w:rsidR="009F3F60">
        <w:rPr>
          <w:b/>
          <w:bCs/>
          <w:color w:val="FF0000"/>
        </w:rPr>
        <w:t>19 with 43% of revenue, increasing from 30% in 2017</w:t>
      </w:r>
    </w:p>
    <w:p w14:paraId="3DFBB602" w14:textId="77777777" w:rsidR="009C3481" w:rsidRPr="00E069F0" w:rsidRDefault="009C3481" w:rsidP="009C3481">
      <w:pPr>
        <w:spacing w:after="40"/>
        <w:ind w:left="720"/>
      </w:pPr>
    </w:p>
    <w:p w14:paraId="6BE6CD4B" w14:textId="77777777" w:rsidR="009C3481" w:rsidRDefault="009C3481" w:rsidP="00AD1290">
      <w:pPr>
        <w:rPr>
          <w:noProof/>
        </w:rPr>
      </w:pPr>
      <w:r w:rsidRPr="009C3481">
        <w:rPr>
          <w:noProof/>
        </w:rPr>
        <w:t xml:space="preserve"> </w:t>
      </w:r>
      <w:r>
        <w:rPr>
          <w:noProof/>
        </w:rPr>
        <w:drawing>
          <wp:inline distT="0" distB="0" distL="0" distR="0" wp14:anchorId="79CC69AD" wp14:editId="4679AA47">
            <wp:extent cx="5814060" cy="2263140"/>
            <wp:effectExtent l="0" t="0" r="15240" b="3810"/>
            <wp:docPr id="1406907335" name="Chart 1">
              <a:extLst xmlns:a="http://schemas.openxmlformats.org/drawingml/2006/main">
                <a:ext uri="{FF2B5EF4-FFF2-40B4-BE49-F238E27FC236}">
                  <a16:creationId xmlns:a16="http://schemas.microsoft.com/office/drawing/2014/main" id="{0DB5BA92-1A1C-529A-F6EC-1DF71D2ECA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C3481">
        <w:rPr>
          <w:noProof/>
        </w:rPr>
        <w:t xml:space="preserve"> </w:t>
      </w:r>
    </w:p>
    <w:p w14:paraId="64C6B18E" w14:textId="46A610FE" w:rsidR="00E069F0" w:rsidRPr="009F3F60" w:rsidRDefault="009C3481" w:rsidP="00AD1290">
      <w:pPr>
        <w:rPr>
          <w:noProof/>
        </w:rPr>
      </w:pPr>
      <w:r>
        <w:rPr>
          <w:noProof/>
        </w:rPr>
        <w:drawing>
          <wp:inline distT="0" distB="0" distL="0" distR="0" wp14:anchorId="23C8D115" wp14:editId="6A09CF78">
            <wp:extent cx="5875020" cy="2743200"/>
            <wp:effectExtent l="0" t="0" r="11430" b="0"/>
            <wp:docPr id="202031391" name="Chart 1">
              <a:extLst xmlns:a="http://schemas.openxmlformats.org/drawingml/2006/main">
                <a:ext uri="{FF2B5EF4-FFF2-40B4-BE49-F238E27FC236}">
                  <a16:creationId xmlns:a16="http://schemas.microsoft.com/office/drawing/2014/main" id="{41C9201A-5A98-97A4-04E3-F6271DFDC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85DB94" w14:textId="77777777" w:rsidR="00F620D7" w:rsidRDefault="00F620D7" w:rsidP="00E069F0">
      <w:pPr>
        <w:rPr>
          <w:b/>
          <w:bCs/>
          <w:sz w:val="28"/>
          <w:szCs w:val="28"/>
        </w:rPr>
      </w:pPr>
    </w:p>
    <w:p w14:paraId="1E8748C4" w14:textId="77777777" w:rsidR="009C3481" w:rsidRDefault="009C3481" w:rsidP="009F3F60">
      <w:pPr>
        <w:rPr>
          <w:b/>
          <w:bCs/>
        </w:rPr>
      </w:pPr>
    </w:p>
    <w:p w14:paraId="056D7815" w14:textId="4956B5BF" w:rsidR="009F3F60" w:rsidRPr="00A00A0A" w:rsidRDefault="009F3F60" w:rsidP="009F3F60">
      <w:pPr>
        <w:rPr>
          <w:b/>
          <w:bCs/>
        </w:rPr>
      </w:pPr>
      <w:r w:rsidRPr="00A00A0A">
        <w:rPr>
          <w:b/>
          <w:bCs/>
        </w:rPr>
        <w:t>EPS Performance:</w:t>
      </w:r>
    </w:p>
    <w:p w14:paraId="0B3EC0FD" w14:textId="53A4669D" w:rsidR="00F620D7" w:rsidRPr="00A00A0A" w:rsidRDefault="009F3F60" w:rsidP="009F3F60">
      <w:pPr>
        <w:rPr>
          <w:b/>
          <w:bCs/>
        </w:rPr>
      </w:pPr>
      <w:r w:rsidRPr="00A00A0A">
        <w:rPr>
          <w:b/>
          <w:bCs/>
        </w:rPr>
        <w:t>Amazon's earnings per share showed remarkable growth, starting at $6.32 in 2017</w:t>
      </w:r>
      <w:r w:rsidRPr="00A00A0A">
        <w:rPr>
          <w:b/>
          <w:bCs/>
          <w:color w:val="FF0000"/>
        </w:rPr>
        <w:t>, jumping significantly to $20.68 in 2018 (a 227.2% increase), and further improving to $23.46 in 2019 (a 13.4% increase).</w:t>
      </w:r>
    </w:p>
    <w:p w14:paraId="31D25A63" w14:textId="1CEFF2CE" w:rsidR="0016459C" w:rsidRDefault="00A00A0A" w:rsidP="00E069F0">
      <w:pPr>
        <w:rPr>
          <w:b/>
          <w:bCs/>
          <w:sz w:val="28"/>
          <w:szCs w:val="28"/>
        </w:rPr>
      </w:pPr>
      <w:r>
        <w:rPr>
          <w:b/>
          <w:bCs/>
          <w:sz w:val="28"/>
          <w:szCs w:val="28"/>
        </w:rPr>
        <w:t xml:space="preserve">                          </w:t>
      </w:r>
      <w:r>
        <w:rPr>
          <w:noProof/>
        </w:rPr>
        <w:drawing>
          <wp:inline distT="0" distB="0" distL="0" distR="0" wp14:anchorId="1FC62CEC" wp14:editId="43340681">
            <wp:extent cx="3741420" cy="1973580"/>
            <wp:effectExtent l="0" t="0" r="11430" b="7620"/>
            <wp:docPr id="1885202923" name="Chart 1">
              <a:extLst xmlns:a="http://schemas.openxmlformats.org/drawingml/2006/main">
                <a:ext uri="{FF2B5EF4-FFF2-40B4-BE49-F238E27FC236}">
                  <a16:creationId xmlns:a16="http://schemas.microsoft.com/office/drawing/2014/main" id="{ED316F24-AE02-524A-E759-BD7E46FBB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9A8AE27" w14:textId="77777777" w:rsidTr="00214B2D">
        <w:trPr>
          <w:trHeight w:val="1200"/>
        </w:trPr>
        <w:tc>
          <w:tcPr>
            <w:tcW w:w="1134" w:type="dxa"/>
            <w:tcBorders>
              <w:top w:val="nil"/>
              <w:left w:val="nil"/>
              <w:bottom w:val="nil"/>
              <w:right w:val="nil"/>
            </w:tcBorders>
            <w:shd w:val="clear" w:color="000000" w:fill="002060"/>
            <w:noWrap/>
            <w:vAlign w:val="center"/>
          </w:tcPr>
          <w:p w14:paraId="6DE259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F9E3B38"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14529535" w14:textId="68FBACFD"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Earnings Highlights</w:t>
            </w:r>
          </w:p>
          <w:p w14:paraId="3F32DF21"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DA6DC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57014A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7D464F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A332B7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816F06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311BBD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A6117A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9D6347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6918A1D9" w14:textId="6F382CB3" w:rsidR="00E069F0" w:rsidRDefault="00E069F0" w:rsidP="006A0783"/>
    <w:p w14:paraId="70D08590" w14:textId="3F586860" w:rsidR="00AD1290" w:rsidRDefault="00A00A0A" w:rsidP="006A0783">
      <w:r>
        <w:rPr>
          <w:noProof/>
        </w:rPr>
        <w:drawing>
          <wp:inline distT="0" distB="0" distL="0" distR="0" wp14:anchorId="3DA8EE29" wp14:editId="4E540E88">
            <wp:extent cx="6195060" cy="2659380"/>
            <wp:effectExtent l="0" t="0" r="15240" b="7620"/>
            <wp:docPr id="1763113570" name="Chart 1">
              <a:extLst xmlns:a="http://schemas.openxmlformats.org/drawingml/2006/main">
                <a:ext uri="{FF2B5EF4-FFF2-40B4-BE49-F238E27FC236}">
                  <a16:creationId xmlns:a16="http://schemas.microsoft.com/office/drawing/2014/main" id="{38CC4E44-C9A1-C333-2F3B-FD9664212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940BB5" w14:textId="6B61A5E0" w:rsidR="00AD1290" w:rsidRDefault="00AD1290" w:rsidP="006A0783"/>
    <w:p w14:paraId="32712C77" w14:textId="77777777" w:rsidR="006E7EC5" w:rsidRDefault="006E7EC5" w:rsidP="006A0783"/>
    <w:p w14:paraId="00AEB5E5" w14:textId="5974D504" w:rsidR="006E7EC5" w:rsidRDefault="006E7EC5" w:rsidP="006A0783"/>
    <w:p w14:paraId="5F66B446" w14:textId="77777777" w:rsidR="00AE61B1" w:rsidRDefault="00AE61B1" w:rsidP="006A0783"/>
    <w:p w14:paraId="725EBC94" w14:textId="77777777" w:rsidR="00AE61B1" w:rsidRDefault="00AE61B1" w:rsidP="006A0783"/>
    <w:p w14:paraId="3B1DC704" w14:textId="77777777" w:rsidR="00F620D7" w:rsidRDefault="00F620D7" w:rsidP="00886CDA">
      <w:pPr>
        <w:rPr>
          <w:b/>
          <w:bCs/>
          <w:sz w:val="28"/>
          <w:szCs w:val="28"/>
        </w:rPr>
      </w:pPr>
    </w:p>
    <w:p w14:paraId="4DC09043" w14:textId="77777777" w:rsidR="00F620D7" w:rsidRDefault="00F620D7" w:rsidP="00886CDA">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64100C46" w14:textId="77777777" w:rsidTr="00214B2D">
        <w:trPr>
          <w:trHeight w:val="1200"/>
        </w:trPr>
        <w:tc>
          <w:tcPr>
            <w:tcW w:w="1134" w:type="dxa"/>
            <w:tcBorders>
              <w:top w:val="nil"/>
              <w:left w:val="nil"/>
              <w:bottom w:val="nil"/>
              <w:right w:val="nil"/>
            </w:tcBorders>
            <w:shd w:val="clear" w:color="000000" w:fill="002060"/>
            <w:noWrap/>
            <w:vAlign w:val="center"/>
          </w:tcPr>
          <w:p w14:paraId="143BB7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52092E44"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4540BB26" w14:textId="612B22C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Cost Structure Analysis</w:t>
            </w:r>
          </w:p>
          <w:p w14:paraId="5F586F7A"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5EB990E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FF807B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394CDA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46B786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9F7BAB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FC23B5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96B826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C765E6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45992EF3" w14:textId="77777777" w:rsidR="00886CDA" w:rsidRPr="00886CDA" w:rsidRDefault="00886CDA" w:rsidP="00886CDA">
      <w:pPr>
        <w:rPr>
          <w:b/>
          <w:bCs/>
        </w:rPr>
      </w:pPr>
      <w:r w:rsidRPr="00886CDA">
        <w:rPr>
          <w:b/>
          <w:bCs/>
        </w:rPr>
        <w:t>Operating Costs:</w:t>
      </w:r>
    </w:p>
    <w:p w14:paraId="20AAF148" w14:textId="4B8F44C3" w:rsidR="00886CDA" w:rsidRPr="00886CDA" w:rsidRDefault="00886CDA" w:rsidP="00886CDA">
      <w:pPr>
        <w:numPr>
          <w:ilvl w:val="0"/>
          <w:numId w:val="23"/>
        </w:numPr>
        <w:spacing w:after="40"/>
        <w:rPr>
          <w:b/>
          <w:bCs/>
          <w:color w:val="FF0000"/>
        </w:rPr>
      </w:pPr>
      <w:r w:rsidRPr="00886CDA">
        <w:rPr>
          <w:b/>
          <w:bCs/>
        </w:rPr>
        <w:t xml:space="preserve">Cost of Goods Sold (COGS): </w:t>
      </w:r>
      <w:r w:rsidRPr="00886CDA">
        <w:rPr>
          <w:b/>
          <w:bCs/>
          <w:color w:val="FF0000"/>
        </w:rPr>
        <w:t>20</w:t>
      </w:r>
      <w:r w:rsidR="009F3F60">
        <w:rPr>
          <w:b/>
          <w:bCs/>
          <w:color w:val="FF0000"/>
        </w:rPr>
        <w:t>17</w:t>
      </w:r>
      <w:r w:rsidRPr="00886CDA">
        <w:rPr>
          <w:b/>
          <w:bCs/>
          <w:color w:val="FF0000"/>
        </w:rPr>
        <w:t>: 6</w:t>
      </w:r>
      <w:r w:rsidR="009F3F60">
        <w:rPr>
          <w:b/>
          <w:bCs/>
          <w:color w:val="FF0000"/>
        </w:rPr>
        <w:t>3</w:t>
      </w:r>
      <w:r w:rsidRPr="00886CDA">
        <w:rPr>
          <w:b/>
          <w:bCs/>
          <w:color w:val="FF0000"/>
        </w:rPr>
        <w:t xml:space="preserve">% of revenue </w:t>
      </w:r>
      <w:r w:rsidR="009F3F60">
        <w:rPr>
          <w:b/>
          <w:bCs/>
          <w:color w:val="FF0000"/>
        </w:rPr>
        <w:t>to</w:t>
      </w:r>
      <w:r w:rsidRPr="00886CDA">
        <w:rPr>
          <w:b/>
          <w:bCs/>
          <w:color w:val="FF0000"/>
        </w:rPr>
        <w:t xml:space="preserve"> 2022</w:t>
      </w:r>
      <w:r w:rsidRPr="00886CDA">
        <w:rPr>
          <w:b/>
          <w:bCs/>
        </w:rPr>
        <w:t xml:space="preserve">: </w:t>
      </w:r>
      <w:r w:rsidRPr="00886CDA">
        <w:rPr>
          <w:b/>
          <w:bCs/>
          <w:color w:val="FF0000"/>
        </w:rPr>
        <w:t>5</w:t>
      </w:r>
      <w:r w:rsidR="009F3F60">
        <w:rPr>
          <w:b/>
          <w:bCs/>
          <w:color w:val="FF0000"/>
        </w:rPr>
        <w:t>9</w:t>
      </w:r>
      <w:r w:rsidRPr="00886CDA">
        <w:rPr>
          <w:b/>
          <w:bCs/>
          <w:color w:val="FF0000"/>
        </w:rPr>
        <w:t>% of revenue Trend: Improving efficiency in production costs</w:t>
      </w:r>
    </w:p>
    <w:p w14:paraId="58F708D5" w14:textId="5E0DC161" w:rsidR="00886CDA" w:rsidRPr="00886CDA" w:rsidRDefault="00886CDA" w:rsidP="00886CDA">
      <w:pPr>
        <w:numPr>
          <w:ilvl w:val="0"/>
          <w:numId w:val="23"/>
        </w:numPr>
        <w:spacing w:after="40"/>
        <w:rPr>
          <w:b/>
          <w:bCs/>
        </w:rPr>
      </w:pPr>
      <w:r w:rsidRPr="00886CDA">
        <w:rPr>
          <w:b/>
          <w:bCs/>
        </w:rPr>
        <w:t xml:space="preserve">Research &amp; Development: </w:t>
      </w:r>
      <w:r w:rsidRPr="00886CDA">
        <w:rPr>
          <w:b/>
          <w:bCs/>
          <w:color w:val="FF0000"/>
        </w:rPr>
        <w:t xml:space="preserve">Consistent at </w:t>
      </w:r>
      <w:r w:rsidR="000A2060">
        <w:rPr>
          <w:b/>
          <w:bCs/>
          <w:color w:val="FF0000"/>
        </w:rPr>
        <w:t>12</w:t>
      </w:r>
      <w:r w:rsidRPr="00886CDA">
        <w:rPr>
          <w:b/>
          <w:bCs/>
          <w:color w:val="FF0000"/>
        </w:rPr>
        <w:t xml:space="preserve">% of revenue </w:t>
      </w:r>
      <w:r w:rsidRPr="00886CDA">
        <w:rPr>
          <w:b/>
          <w:bCs/>
        </w:rPr>
        <w:t>Shows sustained investment in innovation</w:t>
      </w:r>
      <w:r w:rsidR="000A2060">
        <w:rPr>
          <w:b/>
          <w:bCs/>
        </w:rPr>
        <w:t xml:space="preserve"> and technology.</w:t>
      </w:r>
    </w:p>
    <w:p w14:paraId="181ABDA1" w14:textId="260F4D69" w:rsidR="00886CDA" w:rsidRPr="00886CDA" w:rsidRDefault="00886CDA" w:rsidP="00886CDA">
      <w:pPr>
        <w:numPr>
          <w:ilvl w:val="0"/>
          <w:numId w:val="23"/>
        </w:numPr>
        <w:spacing w:after="40"/>
        <w:rPr>
          <w:b/>
          <w:bCs/>
        </w:rPr>
      </w:pPr>
      <w:r w:rsidRPr="00886CDA">
        <w:rPr>
          <w:b/>
          <w:bCs/>
        </w:rPr>
        <w:t xml:space="preserve">SG&amp;A: Maintained at </w:t>
      </w:r>
      <w:r w:rsidR="000A2060">
        <w:rPr>
          <w:b/>
          <w:bCs/>
          <w:color w:val="FF0000"/>
        </w:rPr>
        <w:t>2</w:t>
      </w:r>
      <w:r w:rsidRPr="00886CDA">
        <w:rPr>
          <w:b/>
          <w:bCs/>
          <w:color w:val="FF0000"/>
        </w:rPr>
        <w:t xml:space="preserve">% of revenue </w:t>
      </w:r>
      <w:r w:rsidRPr="00886CDA">
        <w:rPr>
          <w:b/>
          <w:bCs/>
        </w:rPr>
        <w:t xml:space="preserve">Demonstrates </w:t>
      </w:r>
      <w:r w:rsidRPr="00886CDA">
        <w:rPr>
          <w:b/>
          <w:bCs/>
          <w:color w:val="FF0000"/>
        </w:rPr>
        <w:t>strong cost control</w:t>
      </w:r>
    </w:p>
    <w:p w14:paraId="290DC394" w14:textId="77777777" w:rsidR="00886CDA" w:rsidRDefault="00886CDA" w:rsidP="006A0783"/>
    <w:p w14:paraId="4D43888C" w14:textId="77777777" w:rsidR="00E83940" w:rsidRPr="00E83940" w:rsidRDefault="00E83940" w:rsidP="00E83940">
      <w:pPr>
        <w:rPr>
          <w:b/>
          <w:bCs/>
        </w:rPr>
      </w:pPr>
      <w:r w:rsidRPr="00E83940">
        <w:rPr>
          <w:b/>
          <w:bCs/>
        </w:rPr>
        <w:t>Capex Trends:</w:t>
      </w:r>
    </w:p>
    <w:p w14:paraId="32DA52F4" w14:textId="6BEA20A1" w:rsidR="00E83940" w:rsidRPr="00E83940" w:rsidRDefault="00E83940" w:rsidP="00E83940">
      <w:pPr>
        <w:numPr>
          <w:ilvl w:val="0"/>
          <w:numId w:val="24"/>
        </w:numPr>
        <w:rPr>
          <w:b/>
          <w:bCs/>
        </w:rPr>
      </w:pPr>
      <w:r w:rsidRPr="00E83940">
        <w:rPr>
          <w:b/>
          <w:bCs/>
        </w:rPr>
        <w:t xml:space="preserve">As % of Sales: </w:t>
      </w:r>
      <w:r w:rsidRPr="00E83940">
        <w:rPr>
          <w:b/>
          <w:bCs/>
          <w:color w:val="FF0000"/>
        </w:rPr>
        <w:t>20</w:t>
      </w:r>
      <w:r w:rsidR="000A2060">
        <w:rPr>
          <w:b/>
          <w:bCs/>
          <w:color w:val="FF0000"/>
        </w:rPr>
        <w:t>17</w:t>
      </w:r>
      <w:r w:rsidRPr="00E83940">
        <w:rPr>
          <w:b/>
          <w:bCs/>
          <w:color w:val="FF0000"/>
        </w:rPr>
        <w:t xml:space="preserve">: </w:t>
      </w:r>
      <w:r w:rsidR="000A2060">
        <w:rPr>
          <w:b/>
          <w:bCs/>
          <w:color w:val="FF0000"/>
        </w:rPr>
        <w:t>7</w:t>
      </w:r>
      <w:r w:rsidRPr="00E83940">
        <w:rPr>
          <w:b/>
          <w:bCs/>
          <w:color w:val="FF0000"/>
        </w:rPr>
        <w:t>% 20</w:t>
      </w:r>
      <w:r w:rsidR="000A2060">
        <w:rPr>
          <w:b/>
          <w:bCs/>
          <w:color w:val="FF0000"/>
        </w:rPr>
        <w:t>18</w:t>
      </w:r>
      <w:r w:rsidRPr="00E83940">
        <w:rPr>
          <w:b/>
          <w:bCs/>
          <w:color w:val="FF0000"/>
        </w:rPr>
        <w:t xml:space="preserve">: </w:t>
      </w:r>
      <w:r w:rsidR="000A2060">
        <w:rPr>
          <w:b/>
          <w:bCs/>
          <w:color w:val="FF0000"/>
        </w:rPr>
        <w:t>6</w:t>
      </w:r>
      <w:r w:rsidRPr="00E83940">
        <w:rPr>
          <w:b/>
          <w:bCs/>
          <w:color w:val="FF0000"/>
        </w:rPr>
        <w:t>% 20</w:t>
      </w:r>
      <w:r w:rsidR="000A2060">
        <w:rPr>
          <w:b/>
          <w:bCs/>
          <w:color w:val="FF0000"/>
        </w:rPr>
        <w:t>19</w:t>
      </w:r>
      <w:r w:rsidRPr="00E83940">
        <w:rPr>
          <w:b/>
          <w:bCs/>
          <w:color w:val="FF0000"/>
        </w:rPr>
        <w:t xml:space="preserve">: </w:t>
      </w:r>
      <w:r w:rsidR="000A2060">
        <w:rPr>
          <w:b/>
          <w:bCs/>
          <w:color w:val="FF0000"/>
        </w:rPr>
        <w:t>6</w:t>
      </w:r>
      <w:r w:rsidRPr="00E83940">
        <w:rPr>
          <w:b/>
          <w:bCs/>
          <w:color w:val="FF0000"/>
        </w:rPr>
        <w:t>% Trend: Stabilized at lower level</w:t>
      </w:r>
    </w:p>
    <w:p w14:paraId="7CAD2A49" w14:textId="7AAD0364" w:rsidR="00E83940" w:rsidRPr="00E83940" w:rsidRDefault="00E83940" w:rsidP="00E83940">
      <w:pPr>
        <w:numPr>
          <w:ilvl w:val="0"/>
          <w:numId w:val="24"/>
        </w:numPr>
        <w:rPr>
          <w:b/>
          <w:bCs/>
        </w:rPr>
      </w:pPr>
      <w:r w:rsidRPr="00E83940">
        <w:rPr>
          <w:b/>
          <w:bCs/>
        </w:rPr>
        <w:t xml:space="preserve">As % of Fixed Assets: </w:t>
      </w:r>
      <w:r w:rsidRPr="00E83940">
        <w:rPr>
          <w:b/>
          <w:bCs/>
          <w:color w:val="FF0000"/>
        </w:rPr>
        <w:t>20</w:t>
      </w:r>
      <w:r w:rsidR="000A2060">
        <w:rPr>
          <w:b/>
          <w:bCs/>
          <w:color w:val="FF0000"/>
        </w:rPr>
        <w:t>17</w:t>
      </w:r>
      <w:r w:rsidRPr="00E83940">
        <w:rPr>
          <w:b/>
          <w:bCs/>
          <w:color w:val="FF0000"/>
        </w:rPr>
        <w:t>: 2</w:t>
      </w:r>
      <w:r w:rsidR="000A2060">
        <w:rPr>
          <w:b/>
          <w:bCs/>
          <w:color w:val="FF0000"/>
        </w:rPr>
        <w:t>4</w:t>
      </w:r>
      <w:r w:rsidRPr="00E83940">
        <w:rPr>
          <w:b/>
          <w:bCs/>
          <w:color w:val="FF0000"/>
        </w:rPr>
        <w:t>% 20</w:t>
      </w:r>
      <w:r w:rsidR="000A2060">
        <w:rPr>
          <w:b/>
          <w:bCs/>
          <w:color w:val="FF0000"/>
        </w:rPr>
        <w:t>18</w:t>
      </w:r>
      <w:r w:rsidRPr="00E83940">
        <w:rPr>
          <w:b/>
          <w:bCs/>
          <w:color w:val="FF0000"/>
        </w:rPr>
        <w:t>: 18% 20</w:t>
      </w:r>
      <w:r w:rsidR="000A2060">
        <w:rPr>
          <w:b/>
          <w:bCs/>
          <w:color w:val="FF0000"/>
        </w:rPr>
        <w:t>19</w:t>
      </w:r>
      <w:r w:rsidRPr="00E83940">
        <w:rPr>
          <w:b/>
          <w:bCs/>
          <w:color w:val="FF0000"/>
        </w:rPr>
        <w:t xml:space="preserve">: </w:t>
      </w:r>
      <w:r w:rsidR="000A2060">
        <w:rPr>
          <w:b/>
          <w:bCs/>
          <w:color w:val="FF0000"/>
        </w:rPr>
        <w:t>27</w:t>
      </w:r>
      <w:r w:rsidRPr="00E83940">
        <w:rPr>
          <w:b/>
          <w:bCs/>
          <w:color w:val="FF0000"/>
        </w:rPr>
        <w:t>% Trend: Consistent investment level</w:t>
      </w:r>
    </w:p>
    <w:p w14:paraId="07C45EFD" w14:textId="77777777" w:rsidR="00886CDA" w:rsidRDefault="00886CDA" w:rsidP="006A0783"/>
    <w:p w14:paraId="3682A611" w14:textId="335580BC" w:rsidR="00886CDA" w:rsidRDefault="00886CDA" w:rsidP="006A0783"/>
    <w:p w14:paraId="4BD044AA" w14:textId="21AB5390" w:rsidR="00012247" w:rsidRDefault="00012247" w:rsidP="006A0783">
      <w:r>
        <w:rPr>
          <w:noProof/>
        </w:rPr>
        <mc:AlternateContent>
          <mc:Choice Requires="cx1">
            <w:drawing>
              <wp:inline distT="0" distB="0" distL="0" distR="0" wp14:anchorId="44B18844" wp14:editId="0E0CC13C">
                <wp:extent cx="5737860" cy="2636520"/>
                <wp:effectExtent l="0" t="0" r="15240" b="11430"/>
                <wp:docPr id="1387664434" name="Chart 1">
                  <a:extLst xmlns:a="http://schemas.openxmlformats.org/drawingml/2006/main">
                    <a:ext uri="{FF2B5EF4-FFF2-40B4-BE49-F238E27FC236}">
                      <a16:creationId xmlns:a16="http://schemas.microsoft.com/office/drawing/2014/main" id="{B689FA55-DF9C-95DA-5BBD-D666FD604EA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44B18844" wp14:editId="0E0CC13C">
                <wp:extent cx="5737860" cy="2636520"/>
                <wp:effectExtent l="0" t="0" r="15240" b="11430"/>
                <wp:docPr id="1387664434" name="Chart 1">
                  <a:extLst xmlns:a="http://schemas.openxmlformats.org/drawingml/2006/main">
                    <a:ext uri="{FF2B5EF4-FFF2-40B4-BE49-F238E27FC236}">
                      <a16:creationId xmlns:a16="http://schemas.microsoft.com/office/drawing/2014/main" id="{B689FA55-DF9C-95DA-5BBD-D666FD604EA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87664434" name="Chart 1">
                          <a:extLst>
                            <a:ext uri="{FF2B5EF4-FFF2-40B4-BE49-F238E27FC236}">
                              <a16:creationId xmlns:a16="http://schemas.microsoft.com/office/drawing/2014/main" id="{B689FA55-DF9C-95DA-5BBD-D666FD604EA5}"/>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737860" cy="2636520"/>
                        </a:xfrm>
                        <a:prstGeom prst="rect">
                          <a:avLst/>
                        </a:prstGeom>
                      </pic:spPr>
                    </pic:pic>
                  </a:graphicData>
                </a:graphic>
              </wp:inline>
            </w:drawing>
          </mc:Fallback>
        </mc:AlternateContent>
      </w:r>
    </w:p>
    <w:p w14:paraId="517EEB0F" w14:textId="77777777" w:rsidR="00886CDA" w:rsidRDefault="00886CDA" w:rsidP="006A0783"/>
    <w:p w14:paraId="338933E2" w14:textId="77777777" w:rsidR="00886CDA" w:rsidRDefault="00886CDA" w:rsidP="006A0783"/>
    <w:p w14:paraId="359A18EB" w14:textId="77777777" w:rsidR="00886CDA" w:rsidRDefault="00886CDA" w:rsidP="006A0783"/>
    <w:p w14:paraId="5DAF4658" w14:textId="77777777" w:rsidR="00886CDA" w:rsidRDefault="00886CDA" w:rsidP="006A0783"/>
    <w:p w14:paraId="001513F2" w14:textId="77777777" w:rsidR="00886CDA" w:rsidRDefault="00886CDA" w:rsidP="006A0783"/>
    <w:p w14:paraId="0B734767" w14:textId="77777777" w:rsidR="00886CDA" w:rsidRDefault="00886CDA" w:rsidP="006A0783"/>
    <w:p w14:paraId="3BB71C6A" w14:textId="77777777" w:rsidR="0016459C" w:rsidRDefault="0016459C" w:rsidP="00AE61B1"/>
    <w:p w14:paraId="0C5E3A13" w14:textId="77777777" w:rsidR="00CA4B87" w:rsidRPr="00AE61B1" w:rsidRDefault="00CA4B87" w:rsidP="00AE61B1">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ADAF361" w14:textId="77777777" w:rsidTr="00214B2D">
        <w:trPr>
          <w:trHeight w:val="1200"/>
        </w:trPr>
        <w:tc>
          <w:tcPr>
            <w:tcW w:w="1134" w:type="dxa"/>
            <w:tcBorders>
              <w:top w:val="nil"/>
              <w:left w:val="nil"/>
              <w:bottom w:val="nil"/>
              <w:right w:val="nil"/>
            </w:tcBorders>
            <w:shd w:val="clear" w:color="000000" w:fill="002060"/>
            <w:noWrap/>
            <w:vAlign w:val="center"/>
          </w:tcPr>
          <w:p w14:paraId="5F1DDCEB"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7B10BC0"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7E1C7932" w14:textId="584A4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Working Capital Management</w:t>
            </w:r>
          </w:p>
          <w:p w14:paraId="2562791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DCB25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559D73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2A325B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7EB90B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31A7F4A"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A91FB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D59BC6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69E88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B9A41A4" w14:textId="26B64574" w:rsidR="00AE61B1" w:rsidRPr="00AE61B1" w:rsidRDefault="00AE61B1" w:rsidP="00AE61B1">
      <w:pPr>
        <w:spacing w:after="40"/>
        <w:rPr>
          <w:b/>
          <w:bCs/>
        </w:rPr>
      </w:pPr>
      <w:r w:rsidRPr="00AE61B1">
        <w:rPr>
          <w:b/>
          <w:bCs/>
        </w:rPr>
        <w:t>Components:</w:t>
      </w:r>
    </w:p>
    <w:p w14:paraId="47D5125C" w14:textId="7E420B70" w:rsidR="00AE61B1" w:rsidRPr="00AE61B1" w:rsidRDefault="00AE61B1" w:rsidP="00AE61B1">
      <w:pPr>
        <w:numPr>
          <w:ilvl w:val="0"/>
          <w:numId w:val="7"/>
        </w:numPr>
        <w:spacing w:after="40"/>
        <w:rPr>
          <w:b/>
          <w:bCs/>
          <w:color w:val="FF0000"/>
        </w:rPr>
      </w:pPr>
      <w:r w:rsidRPr="00AE61B1">
        <w:rPr>
          <w:b/>
          <w:bCs/>
        </w:rPr>
        <w:t xml:space="preserve">Inventory Days: </w:t>
      </w:r>
      <w:r w:rsidRPr="00AE61B1">
        <w:rPr>
          <w:b/>
          <w:bCs/>
          <w:color w:val="FF0000"/>
        </w:rPr>
        <w:t xml:space="preserve">Decreased to </w:t>
      </w:r>
      <w:r w:rsidR="000A2060">
        <w:rPr>
          <w:b/>
          <w:bCs/>
          <w:color w:val="FF0000"/>
        </w:rPr>
        <w:t>38</w:t>
      </w:r>
    </w:p>
    <w:p w14:paraId="542E2ED5" w14:textId="00986653" w:rsidR="00AE61B1" w:rsidRPr="00AE61B1" w:rsidRDefault="00AE61B1" w:rsidP="00AE61B1">
      <w:pPr>
        <w:numPr>
          <w:ilvl w:val="0"/>
          <w:numId w:val="7"/>
        </w:numPr>
        <w:spacing w:after="40"/>
        <w:rPr>
          <w:b/>
          <w:bCs/>
        </w:rPr>
      </w:pPr>
      <w:r w:rsidRPr="00AE61B1">
        <w:rPr>
          <w:b/>
          <w:bCs/>
        </w:rPr>
        <w:t xml:space="preserve">Receivable Days: </w:t>
      </w:r>
      <w:r w:rsidRPr="00AE61B1">
        <w:rPr>
          <w:b/>
          <w:bCs/>
          <w:color w:val="FF0000"/>
        </w:rPr>
        <w:t>Stable at 2</w:t>
      </w:r>
      <w:r w:rsidR="000A2060">
        <w:rPr>
          <w:b/>
          <w:bCs/>
          <w:color w:val="FF0000"/>
        </w:rPr>
        <w:t>2</w:t>
      </w:r>
    </w:p>
    <w:p w14:paraId="0AC7924D" w14:textId="74EC71A9" w:rsidR="00AE61B1" w:rsidRPr="00AE61B1" w:rsidRDefault="00AE61B1" w:rsidP="00AE61B1">
      <w:pPr>
        <w:numPr>
          <w:ilvl w:val="0"/>
          <w:numId w:val="7"/>
        </w:numPr>
        <w:spacing w:after="40"/>
        <w:rPr>
          <w:b/>
          <w:bCs/>
        </w:rPr>
      </w:pPr>
      <w:r w:rsidRPr="00AE61B1">
        <w:rPr>
          <w:b/>
          <w:bCs/>
        </w:rPr>
        <w:t xml:space="preserve">Payable Days: </w:t>
      </w:r>
      <w:r w:rsidR="000A2060">
        <w:rPr>
          <w:b/>
          <w:bCs/>
          <w:color w:val="FF0000"/>
        </w:rPr>
        <w:t>Decreased</w:t>
      </w:r>
      <w:r w:rsidRPr="00AE61B1">
        <w:rPr>
          <w:b/>
          <w:bCs/>
          <w:color w:val="FF0000"/>
        </w:rPr>
        <w:t xml:space="preserve"> to </w:t>
      </w:r>
      <w:r w:rsidR="000A2060">
        <w:rPr>
          <w:b/>
          <w:bCs/>
          <w:color w:val="FF0000"/>
        </w:rPr>
        <w:t>84</w:t>
      </w:r>
    </w:p>
    <w:p w14:paraId="25443D2F" w14:textId="2A9AC44F" w:rsidR="00AE61B1" w:rsidRPr="00AE61B1" w:rsidRDefault="00AE61B1" w:rsidP="00AE61B1">
      <w:pPr>
        <w:numPr>
          <w:ilvl w:val="0"/>
          <w:numId w:val="7"/>
        </w:numPr>
        <w:spacing w:after="40"/>
        <w:rPr>
          <w:b/>
          <w:bCs/>
        </w:rPr>
      </w:pPr>
      <w:r w:rsidRPr="00AE61B1">
        <w:rPr>
          <w:b/>
          <w:bCs/>
        </w:rPr>
        <w:t xml:space="preserve">Net Trading Cycle: </w:t>
      </w:r>
      <w:r w:rsidR="000A2060">
        <w:rPr>
          <w:b/>
          <w:bCs/>
        </w:rPr>
        <w:t xml:space="preserve">improved to </w:t>
      </w:r>
      <w:r w:rsidRPr="00AE61B1">
        <w:rPr>
          <w:b/>
          <w:bCs/>
          <w:color w:val="FF0000"/>
        </w:rPr>
        <w:t>-</w:t>
      </w:r>
      <w:r w:rsidR="000A2060">
        <w:rPr>
          <w:b/>
          <w:bCs/>
          <w:color w:val="FF0000"/>
        </w:rPr>
        <w:t>24</w:t>
      </w:r>
      <w:r w:rsidRPr="00AE61B1">
        <w:rPr>
          <w:b/>
          <w:bCs/>
          <w:color w:val="FF0000"/>
        </w:rPr>
        <w:t>.5 days</w:t>
      </w:r>
    </w:p>
    <w:p w14:paraId="4B1B8D38" w14:textId="77777777" w:rsidR="00AE61B1" w:rsidRPr="00AE61B1" w:rsidRDefault="00AE61B1" w:rsidP="00AE61B1">
      <w:pPr>
        <w:spacing w:after="40"/>
        <w:ind w:left="720"/>
        <w:rPr>
          <w:b/>
          <w:bCs/>
        </w:rPr>
      </w:pPr>
    </w:p>
    <w:p w14:paraId="45EC0A2B" w14:textId="4CD965A4" w:rsidR="00AE61B1" w:rsidRPr="00AE61B1" w:rsidRDefault="00D36E44" w:rsidP="00AE61B1">
      <w:pPr>
        <w:rPr>
          <w:b/>
          <w:bCs/>
        </w:rPr>
      </w:pPr>
      <w:r>
        <w:rPr>
          <w:b/>
          <w:bCs/>
        </w:rPr>
        <w:t>Key Takeaways</w:t>
      </w:r>
      <w:r w:rsidR="00AE61B1" w:rsidRPr="00AE61B1">
        <w:rPr>
          <w:b/>
          <w:bCs/>
        </w:rPr>
        <w:t>:</w:t>
      </w:r>
    </w:p>
    <w:p w14:paraId="0B4EE226" w14:textId="66FEC19B" w:rsidR="00AE61B1" w:rsidRPr="00AE61B1" w:rsidRDefault="000A2060" w:rsidP="00AE61B1">
      <w:pPr>
        <w:numPr>
          <w:ilvl w:val="0"/>
          <w:numId w:val="8"/>
        </w:numPr>
        <w:spacing w:after="40"/>
        <w:rPr>
          <w:b/>
          <w:bCs/>
        </w:rPr>
      </w:pPr>
      <w:r>
        <w:rPr>
          <w:b/>
          <w:bCs/>
          <w:color w:val="FF0000"/>
        </w:rPr>
        <w:t>Improved</w:t>
      </w:r>
      <w:r w:rsidR="00AE61B1" w:rsidRPr="00AE61B1">
        <w:rPr>
          <w:b/>
          <w:bCs/>
          <w:color w:val="FF0000"/>
        </w:rPr>
        <w:t xml:space="preserve"> working capital</w:t>
      </w:r>
      <w:r w:rsidR="00AE61B1" w:rsidRPr="00AE61B1">
        <w:rPr>
          <w:color w:val="FF0000"/>
        </w:rPr>
        <w:t xml:space="preserve"> </w:t>
      </w:r>
      <w:r>
        <w:rPr>
          <w:b/>
          <w:bCs/>
        </w:rPr>
        <w:t>cycle</w:t>
      </w:r>
    </w:p>
    <w:p w14:paraId="6C468D11" w14:textId="1B9AFF33" w:rsidR="00AE61B1" w:rsidRPr="00AE61B1" w:rsidRDefault="00D36E44" w:rsidP="00AE61B1">
      <w:pPr>
        <w:numPr>
          <w:ilvl w:val="0"/>
          <w:numId w:val="8"/>
        </w:numPr>
        <w:spacing w:after="40"/>
        <w:rPr>
          <w:b/>
          <w:bCs/>
        </w:rPr>
      </w:pPr>
      <w:r>
        <w:rPr>
          <w:b/>
          <w:bCs/>
          <w:color w:val="FF0000"/>
        </w:rPr>
        <w:t xml:space="preserve">Improved </w:t>
      </w:r>
      <w:r w:rsidR="00AE61B1" w:rsidRPr="00AE61B1">
        <w:rPr>
          <w:b/>
          <w:bCs/>
        </w:rPr>
        <w:t>current ratio</w:t>
      </w:r>
      <w:r>
        <w:rPr>
          <w:b/>
          <w:bCs/>
        </w:rPr>
        <w:t>. Stable short-term financing</w:t>
      </w:r>
    </w:p>
    <w:p w14:paraId="699EA708" w14:textId="52312A23" w:rsidR="00AE61B1" w:rsidRPr="00AE61B1" w:rsidRDefault="00D36E44" w:rsidP="00AE61B1">
      <w:pPr>
        <w:numPr>
          <w:ilvl w:val="0"/>
          <w:numId w:val="8"/>
        </w:numPr>
        <w:spacing w:after="40"/>
        <w:rPr>
          <w:b/>
          <w:bCs/>
        </w:rPr>
      </w:pPr>
      <w:r>
        <w:rPr>
          <w:b/>
          <w:bCs/>
        </w:rPr>
        <w:t>E</w:t>
      </w:r>
      <w:r w:rsidRPr="00D36E44">
        <w:rPr>
          <w:b/>
          <w:bCs/>
        </w:rPr>
        <w:t>ffectively uses supplier financing to fund operations</w:t>
      </w:r>
    </w:p>
    <w:p w14:paraId="501D4E8B" w14:textId="77777777" w:rsidR="00AE61B1" w:rsidRDefault="00AE61B1" w:rsidP="006A0783"/>
    <w:p w14:paraId="09DA3AE0" w14:textId="29F154AC" w:rsidR="00E069F0" w:rsidRDefault="00012247" w:rsidP="006A0783">
      <w:r>
        <w:rPr>
          <w:noProof/>
        </w:rPr>
        <w:drawing>
          <wp:inline distT="0" distB="0" distL="0" distR="0" wp14:anchorId="2A4A1351" wp14:editId="216A951C">
            <wp:extent cx="6156960" cy="2743200"/>
            <wp:effectExtent l="0" t="0" r="15240" b="0"/>
            <wp:docPr id="2090366166" name="Chart 1">
              <a:extLst xmlns:a="http://schemas.openxmlformats.org/drawingml/2006/main">
                <a:ext uri="{FF2B5EF4-FFF2-40B4-BE49-F238E27FC236}">
                  <a16:creationId xmlns:a16="http://schemas.microsoft.com/office/drawing/2014/main" id="{CAD55223-6023-034D-F38D-AE31A1A3E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18917" w14:textId="77777777" w:rsidR="00E069F0" w:rsidRDefault="00E069F0" w:rsidP="006A0783"/>
    <w:p w14:paraId="23D6F831" w14:textId="77777777" w:rsidR="00AE61B1" w:rsidRDefault="00AE61B1" w:rsidP="006A0783"/>
    <w:p w14:paraId="5117F075" w14:textId="77777777" w:rsidR="00AE61B1" w:rsidRDefault="00AE61B1" w:rsidP="006A0783"/>
    <w:p w14:paraId="607FC212" w14:textId="77777777" w:rsidR="00AE61B1" w:rsidRDefault="00AE61B1" w:rsidP="006A0783"/>
    <w:p w14:paraId="134C0654" w14:textId="77777777" w:rsidR="00AE61B1" w:rsidRDefault="00AE61B1" w:rsidP="006A0783"/>
    <w:p w14:paraId="746B678C" w14:textId="77777777" w:rsidR="00AE61B1" w:rsidRDefault="00AE61B1" w:rsidP="006A0783"/>
    <w:p w14:paraId="6CD73E02" w14:textId="77777777" w:rsidR="0016459C" w:rsidRDefault="0016459C" w:rsidP="006A0783">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3124465" w14:textId="77777777" w:rsidTr="00214B2D">
        <w:trPr>
          <w:trHeight w:val="1200"/>
        </w:trPr>
        <w:tc>
          <w:tcPr>
            <w:tcW w:w="1134" w:type="dxa"/>
            <w:tcBorders>
              <w:top w:val="nil"/>
              <w:left w:val="nil"/>
              <w:bottom w:val="nil"/>
              <w:right w:val="nil"/>
            </w:tcBorders>
            <w:shd w:val="clear" w:color="000000" w:fill="002060"/>
            <w:noWrap/>
            <w:vAlign w:val="center"/>
          </w:tcPr>
          <w:p w14:paraId="1872D0F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07C80993"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2023FE75" w14:textId="1F9B8138"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Operational Efficiency</w:t>
            </w:r>
          </w:p>
          <w:p w14:paraId="1FE58EDF"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4A6B5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4A920F2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05BC06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F01D1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898924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030C45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9E87A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6BAB08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36DD3136" w14:textId="77777777" w:rsidR="00886CDA" w:rsidRPr="00886CDA" w:rsidRDefault="00886CDA" w:rsidP="00886CDA">
      <w:pPr>
        <w:rPr>
          <w:b/>
          <w:bCs/>
        </w:rPr>
      </w:pPr>
      <w:r w:rsidRPr="00886CDA">
        <w:rPr>
          <w:b/>
          <w:bCs/>
        </w:rPr>
        <w:t>Asset Growth:</w:t>
      </w:r>
    </w:p>
    <w:p w14:paraId="07E917D7" w14:textId="77777777" w:rsidR="00D36E44" w:rsidRPr="00D36E44" w:rsidRDefault="00D36E44" w:rsidP="00D36E44">
      <w:pPr>
        <w:pStyle w:val="ListParagraph"/>
        <w:numPr>
          <w:ilvl w:val="0"/>
          <w:numId w:val="29"/>
        </w:numPr>
        <w:spacing w:after="40"/>
        <w:rPr>
          <w:b/>
          <w:bCs/>
        </w:rPr>
      </w:pPr>
      <w:r w:rsidRPr="00D36E44">
        <w:rPr>
          <w:b/>
          <w:bCs/>
        </w:rPr>
        <w:t xml:space="preserve">Total Assets grew from 321,195M (2017) to 225,248M (2019), </w:t>
      </w:r>
      <w:r w:rsidRPr="00D36E44">
        <w:rPr>
          <w:b/>
          <w:bCs/>
          <w:color w:val="FF0000"/>
        </w:rPr>
        <w:t>a 29.8% increase</w:t>
      </w:r>
    </w:p>
    <w:p w14:paraId="14443FD7" w14:textId="77777777" w:rsidR="00D36E44" w:rsidRPr="00D36E44" w:rsidRDefault="00D36E44" w:rsidP="00D36E44">
      <w:pPr>
        <w:pStyle w:val="ListParagraph"/>
        <w:numPr>
          <w:ilvl w:val="0"/>
          <w:numId w:val="29"/>
        </w:numPr>
        <w:spacing w:after="40"/>
        <w:rPr>
          <w:b/>
          <w:bCs/>
        </w:rPr>
      </w:pPr>
      <w:r w:rsidRPr="00D36E44">
        <w:rPr>
          <w:b/>
          <w:bCs/>
        </w:rPr>
        <w:t xml:space="preserve">Working Capital increased from 2,314M (2017) to 6,710M (2019), </w:t>
      </w:r>
      <w:r w:rsidRPr="00D36E44">
        <w:rPr>
          <w:b/>
          <w:bCs/>
          <w:color w:val="FF0000"/>
        </w:rPr>
        <w:t>a 190% growth</w:t>
      </w:r>
    </w:p>
    <w:p w14:paraId="047C27AC" w14:textId="1951DF71" w:rsidR="00886CDA" w:rsidRPr="00D36E44" w:rsidRDefault="00D36E44" w:rsidP="00D36E44">
      <w:pPr>
        <w:pStyle w:val="ListParagraph"/>
        <w:numPr>
          <w:ilvl w:val="0"/>
          <w:numId w:val="29"/>
        </w:numPr>
        <w:spacing w:after="40"/>
        <w:rPr>
          <w:b/>
          <w:bCs/>
        </w:rPr>
      </w:pPr>
      <w:r w:rsidRPr="00D36E44">
        <w:rPr>
          <w:b/>
          <w:bCs/>
        </w:rPr>
        <w:t xml:space="preserve">Fixed Asset Turnover improved from 3.64x to 4.54x, </w:t>
      </w:r>
      <w:r w:rsidRPr="00D36E44">
        <w:rPr>
          <w:b/>
          <w:bCs/>
          <w:color w:val="FF0000"/>
        </w:rPr>
        <w:t>showing 24.7% better efficiency</w:t>
      </w:r>
    </w:p>
    <w:p w14:paraId="3AAAC54A" w14:textId="77777777" w:rsidR="00886CDA" w:rsidRPr="00886CDA" w:rsidRDefault="00886CDA" w:rsidP="00886CDA">
      <w:pPr>
        <w:rPr>
          <w:b/>
          <w:bCs/>
        </w:rPr>
      </w:pPr>
      <w:r w:rsidRPr="00886CDA">
        <w:rPr>
          <w:b/>
          <w:bCs/>
        </w:rPr>
        <w:t>Key Observations:</w:t>
      </w:r>
    </w:p>
    <w:p w14:paraId="445F7210" w14:textId="66D8011A" w:rsidR="00886CDA" w:rsidRPr="00886CDA" w:rsidRDefault="00D36E44" w:rsidP="00886CDA">
      <w:pPr>
        <w:numPr>
          <w:ilvl w:val="0"/>
          <w:numId w:val="21"/>
        </w:numPr>
        <w:spacing w:after="40"/>
        <w:rPr>
          <w:b/>
          <w:bCs/>
        </w:rPr>
      </w:pPr>
      <w:r w:rsidRPr="00D36E44">
        <w:rPr>
          <w:b/>
          <w:bCs/>
          <w:color w:val="FF0000"/>
        </w:rPr>
        <w:t xml:space="preserve">Significant jump </w:t>
      </w:r>
      <w:r w:rsidRPr="00D36E44">
        <w:rPr>
          <w:b/>
          <w:bCs/>
        </w:rPr>
        <w:t>in assets utilization from 2018 to 2019</w:t>
      </w:r>
    </w:p>
    <w:p w14:paraId="1CA7A2E9" w14:textId="0EB9D507" w:rsidR="00886CDA" w:rsidRPr="00886CDA" w:rsidRDefault="00886CDA" w:rsidP="00886CDA">
      <w:pPr>
        <w:numPr>
          <w:ilvl w:val="0"/>
          <w:numId w:val="21"/>
        </w:numPr>
        <w:spacing w:after="40"/>
        <w:rPr>
          <w:b/>
          <w:bCs/>
        </w:rPr>
      </w:pPr>
      <w:r w:rsidRPr="00D36E44">
        <w:rPr>
          <w:b/>
          <w:bCs/>
          <w:color w:val="FF0000"/>
        </w:rPr>
        <w:t>S</w:t>
      </w:r>
      <w:r w:rsidR="00D36E44" w:rsidRPr="00D36E44">
        <w:rPr>
          <w:b/>
          <w:bCs/>
          <w:color w:val="FF0000"/>
        </w:rPr>
        <w:t xml:space="preserve">trong working capital </w:t>
      </w:r>
      <w:r w:rsidR="00D36E44" w:rsidRPr="00D36E44">
        <w:rPr>
          <w:b/>
          <w:bCs/>
        </w:rPr>
        <w:t>management through negative trading cycle</w:t>
      </w:r>
    </w:p>
    <w:p w14:paraId="662188FA" w14:textId="10F880FE" w:rsidR="00886CDA" w:rsidRPr="00886CDA" w:rsidRDefault="00D36E44" w:rsidP="00886CDA">
      <w:pPr>
        <w:numPr>
          <w:ilvl w:val="0"/>
          <w:numId w:val="21"/>
        </w:numPr>
        <w:spacing w:after="40"/>
        <w:rPr>
          <w:b/>
          <w:bCs/>
        </w:rPr>
      </w:pPr>
      <w:r w:rsidRPr="00D36E44">
        <w:rPr>
          <w:b/>
          <w:bCs/>
          <w:color w:val="FF0000"/>
        </w:rPr>
        <w:t xml:space="preserve">Improved efficiency </w:t>
      </w:r>
      <w:r w:rsidRPr="00D36E44">
        <w:rPr>
          <w:b/>
          <w:bCs/>
        </w:rPr>
        <w:t>in current asset management from 2018 to 2019</w:t>
      </w:r>
    </w:p>
    <w:p w14:paraId="2941C7A1" w14:textId="77777777" w:rsidR="00E069F0" w:rsidRPr="00AE61B1" w:rsidRDefault="00E069F0" w:rsidP="006A0783">
      <w:pPr>
        <w:rPr>
          <w:b/>
          <w:bCs/>
        </w:rPr>
      </w:pPr>
    </w:p>
    <w:p w14:paraId="336ECC8A" w14:textId="77777777" w:rsidR="00AE61B1" w:rsidRPr="00AE61B1" w:rsidRDefault="00AE61B1" w:rsidP="00AE61B1">
      <w:pPr>
        <w:rPr>
          <w:b/>
          <w:bCs/>
        </w:rPr>
      </w:pPr>
      <w:r w:rsidRPr="00AE61B1">
        <w:rPr>
          <w:b/>
          <w:bCs/>
        </w:rPr>
        <w:t>Asset Utilization:</w:t>
      </w:r>
    </w:p>
    <w:p w14:paraId="3297E04D" w14:textId="00A0D433" w:rsidR="00D36E44" w:rsidRPr="00D36E44" w:rsidRDefault="00D36E44" w:rsidP="00D36E44">
      <w:pPr>
        <w:numPr>
          <w:ilvl w:val="0"/>
          <w:numId w:val="9"/>
        </w:numPr>
        <w:spacing w:after="40"/>
        <w:rPr>
          <w:b/>
          <w:bCs/>
          <w:color w:val="FF0000"/>
        </w:rPr>
      </w:pPr>
      <w:r w:rsidRPr="00D36E44">
        <w:rPr>
          <w:b/>
          <w:bCs/>
          <w:color w:val="FF0000"/>
        </w:rPr>
        <w:t xml:space="preserve"> Total Asset Turnover: 1.72 (improved from 1.35) </w:t>
      </w:r>
    </w:p>
    <w:p w14:paraId="0784C7F0" w14:textId="1A4C33BC" w:rsidR="00D36E44" w:rsidRPr="00D36E44" w:rsidRDefault="00D36E44" w:rsidP="00D36E44">
      <w:pPr>
        <w:numPr>
          <w:ilvl w:val="0"/>
          <w:numId w:val="9"/>
        </w:numPr>
        <w:spacing w:after="40"/>
        <w:rPr>
          <w:b/>
          <w:bCs/>
          <w:color w:val="FF0000"/>
        </w:rPr>
      </w:pPr>
      <w:r w:rsidRPr="00D36E44">
        <w:rPr>
          <w:b/>
          <w:bCs/>
          <w:color w:val="FF0000"/>
        </w:rPr>
        <w:t xml:space="preserve"> Fixed Asset Turnover: 4.54 (improved from 3.64) </w:t>
      </w:r>
    </w:p>
    <w:p w14:paraId="67BA83DF" w14:textId="5C476CB2" w:rsidR="00D36E44" w:rsidRPr="00AE61B1" w:rsidRDefault="00D36E44" w:rsidP="00D36E44">
      <w:pPr>
        <w:numPr>
          <w:ilvl w:val="0"/>
          <w:numId w:val="9"/>
        </w:numPr>
        <w:spacing w:after="40"/>
        <w:rPr>
          <w:b/>
          <w:bCs/>
          <w:color w:val="FF0000"/>
        </w:rPr>
      </w:pPr>
      <w:r w:rsidRPr="00D36E44">
        <w:rPr>
          <w:b/>
          <w:bCs/>
          <w:color w:val="FF0000"/>
        </w:rPr>
        <w:t xml:space="preserve"> Inventory Turnover: 9.64 (improved from 6.98)</w:t>
      </w:r>
    </w:p>
    <w:p w14:paraId="1B6EBDC1" w14:textId="77777777" w:rsidR="00AE61B1" w:rsidRPr="00AE61B1" w:rsidRDefault="00AE61B1" w:rsidP="00AE61B1">
      <w:pPr>
        <w:spacing w:after="40"/>
        <w:ind w:left="720"/>
        <w:rPr>
          <w:b/>
          <w:bCs/>
        </w:rPr>
      </w:pPr>
    </w:p>
    <w:p w14:paraId="3E62D631" w14:textId="77777777" w:rsidR="00AE61B1" w:rsidRPr="00AE61B1" w:rsidRDefault="00AE61B1" w:rsidP="00AE61B1">
      <w:pPr>
        <w:rPr>
          <w:b/>
          <w:bCs/>
        </w:rPr>
      </w:pPr>
      <w:r w:rsidRPr="00AE61B1">
        <w:rPr>
          <w:b/>
          <w:bCs/>
        </w:rPr>
        <w:t>Improvements Noted:</w:t>
      </w:r>
    </w:p>
    <w:p w14:paraId="674EB21E" w14:textId="1EDBCEE6" w:rsidR="00D36E44" w:rsidRPr="00D36E44" w:rsidRDefault="00D36E44" w:rsidP="00D36E44">
      <w:pPr>
        <w:numPr>
          <w:ilvl w:val="0"/>
          <w:numId w:val="10"/>
        </w:numPr>
        <w:spacing w:after="40"/>
        <w:rPr>
          <w:b/>
          <w:bCs/>
          <w:color w:val="FF0000"/>
        </w:rPr>
      </w:pPr>
      <w:r w:rsidRPr="00D36E44">
        <w:rPr>
          <w:b/>
          <w:bCs/>
          <w:color w:val="FF0000"/>
        </w:rPr>
        <w:t xml:space="preserve"> Enhanced inventory management with days reducing from 52.33 to 37.87 </w:t>
      </w:r>
    </w:p>
    <w:p w14:paraId="5114123F" w14:textId="1DDA5B22" w:rsidR="00D36E44" w:rsidRPr="00D36E44" w:rsidRDefault="00D36E44" w:rsidP="00D36E44">
      <w:pPr>
        <w:numPr>
          <w:ilvl w:val="0"/>
          <w:numId w:val="10"/>
        </w:numPr>
        <w:spacing w:after="40"/>
        <w:rPr>
          <w:b/>
          <w:bCs/>
          <w:color w:val="FF0000"/>
        </w:rPr>
      </w:pPr>
      <w:r w:rsidRPr="00D36E44">
        <w:rPr>
          <w:b/>
          <w:bCs/>
          <w:color w:val="FF0000"/>
        </w:rPr>
        <w:t xml:space="preserve"> Better working capital efficiency shown by 2.39% of sales in 2019 </w:t>
      </w:r>
    </w:p>
    <w:p w14:paraId="0A0CE391" w14:textId="77B4FBAD" w:rsidR="00D36E44" w:rsidRPr="00D36E44" w:rsidRDefault="00D36E44" w:rsidP="00D36E44">
      <w:pPr>
        <w:numPr>
          <w:ilvl w:val="0"/>
          <w:numId w:val="10"/>
        </w:numPr>
        <w:spacing w:after="40"/>
        <w:rPr>
          <w:b/>
          <w:bCs/>
          <w:color w:val="FF0000"/>
        </w:rPr>
      </w:pPr>
      <w:r w:rsidRPr="00D36E44">
        <w:rPr>
          <w:b/>
          <w:bCs/>
          <w:color w:val="FF0000"/>
        </w:rPr>
        <w:t xml:space="preserve"> Stronger asset turnover ratios across all categories </w:t>
      </w:r>
    </w:p>
    <w:p w14:paraId="2B82DBA3" w14:textId="719D0693" w:rsidR="00D36E44" w:rsidRPr="00D36E44" w:rsidRDefault="00D36E44" w:rsidP="00D36E44">
      <w:pPr>
        <w:numPr>
          <w:ilvl w:val="0"/>
          <w:numId w:val="10"/>
        </w:numPr>
        <w:spacing w:after="40"/>
        <w:rPr>
          <w:b/>
          <w:bCs/>
          <w:color w:val="FF0000"/>
        </w:rPr>
      </w:pPr>
      <w:r w:rsidRPr="00D36E44">
        <w:rPr>
          <w:b/>
          <w:bCs/>
          <w:color w:val="FF0000"/>
        </w:rPr>
        <w:t xml:space="preserve"> More efficient use of fixed assets as shown by higher turnover ratios </w:t>
      </w:r>
    </w:p>
    <w:p w14:paraId="378BEE0E" w14:textId="3902547F" w:rsidR="00D36E44" w:rsidRPr="00AE61B1" w:rsidRDefault="00D36E44" w:rsidP="00D36E44">
      <w:pPr>
        <w:numPr>
          <w:ilvl w:val="0"/>
          <w:numId w:val="10"/>
        </w:numPr>
        <w:spacing w:after="40"/>
        <w:rPr>
          <w:b/>
          <w:bCs/>
          <w:color w:val="FF0000"/>
        </w:rPr>
      </w:pPr>
      <w:r w:rsidRPr="00D36E44">
        <w:rPr>
          <w:b/>
          <w:bCs/>
          <w:color w:val="FF0000"/>
        </w:rPr>
        <w:t>Superior supplier payment management with reduced payable days from 112.88 to 84.21</w:t>
      </w:r>
    </w:p>
    <w:p w14:paraId="17EF1F37" w14:textId="77777777" w:rsidR="00AE61B1" w:rsidRDefault="00AE61B1" w:rsidP="006A0783"/>
    <w:p w14:paraId="1ABD0601" w14:textId="688C4F9D" w:rsidR="00AE61B1" w:rsidRDefault="00AE61B1" w:rsidP="006A0783"/>
    <w:p w14:paraId="533F61F7" w14:textId="193AEBB5" w:rsidR="005D4E4D" w:rsidRDefault="00CA4B87" w:rsidP="00AE61B1">
      <w:r>
        <w:rPr>
          <w:noProof/>
        </w:rPr>
        <w:drawing>
          <wp:inline distT="0" distB="0" distL="0" distR="0" wp14:anchorId="04713A40" wp14:editId="774F35B6">
            <wp:extent cx="5798820" cy="2301240"/>
            <wp:effectExtent l="0" t="0" r="11430" b="3810"/>
            <wp:docPr id="1279011744" name="Chart 1">
              <a:extLst xmlns:a="http://schemas.openxmlformats.org/drawingml/2006/main">
                <a:ext uri="{FF2B5EF4-FFF2-40B4-BE49-F238E27FC236}">
                  <a16:creationId xmlns:a16="http://schemas.microsoft.com/office/drawing/2014/main" id="{81E6C90B-9603-1050-C3D4-CDD78518B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2FE010" w14:textId="77777777" w:rsidR="00D36E44" w:rsidRDefault="00D36E44" w:rsidP="00AE61B1">
      <w:pPr>
        <w:rPr>
          <w:b/>
          <w:bCs/>
          <w:sz w:val="28"/>
          <w:szCs w:val="28"/>
        </w:rPr>
      </w:pPr>
    </w:p>
    <w:p w14:paraId="232B80A9" w14:textId="77777777" w:rsidR="00CA4B87" w:rsidRDefault="00CA4B87" w:rsidP="00AE61B1">
      <w:pPr>
        <w:rPr>
          <w:b/>
          <w:bCs/>
          <w:sz w:val="28"/>
          <w:szCs w:val="28"/>
        </w:rPr>
      </w:pPr>
    </w:p>
    <w:p w14:paraId="1E73C43C" w14:textId="34CC782F" w:rsidR="00AE61B1" w:rsidRPr="00AE61B1" w:rsidRDefault="00AE61B1" w:rsidP="00AE61B1">
      <w:pPr>
        <w:rPr>
          <w:b/>
          <w:bCs/>
          <w:sz w:val="28"/>
          <w:szCs w:val="28"/>
        </w:rPr>
      </w:pPr>
      <w:r w:rsidRPr="00AE61B1">
        <w:rPr>
          <w:b/>
          <w:bCs/>
          <w:sz w:val="28"/>
          <w:szCs w:val="28"/>
        </w:rPr>
        <w:lastRenderedPageBreak/>
        <w:t>Financial Structure</w:t>
      </w:r>
    </w:p>
    <w:p w14:paraId="75678623" w14:textId="77777777" w:rsidR="00D36E44" w:rsidRDefault="00AE61B1" w:rsidP="00D36E44">
      <w:pPr>
        <w:rPr>
          <w:b/>
          <w:bCs/>
        </w:rPr>
      </w:pPr>
      <w:r w:rsidRPr="00AE61B1">
        <w:rPr>
          <w:b/>
          <w:bCs/>
        </w:rPr>
        <w:t>Debt Position:</w:t>
      </w:r>
    </w:p>
    <w:p w14:paraId="1B6F214A" w14:textId="77777777" w:rsidR="00D36E44" w:rsidRDefault="00D36E44" w:rsidP="00D36E44">
      <w:pPr>
        <w:pStyle w:val="ListParagraph"/>
        <w:numPr>
          <w:ilvl w:val="0"/>
          <w:numId w:val="12"/>
        </w:numPr>
        <w:spacing w:before="40"/>
        <w:rPr>
          <w:b/>
          <w:bCs/>
        </w:rPr>
      </w:pPr>
      <w:r w:rsidRPr="00D36E44">
        <w:rPr>
          <w:b/>
          <w:bCs/>
        </w:rPr>
        <w:t xml:space="preserve">Debt-to-Equity: </w:t>
      </w:r>
      <w:r w:rsidRPr="00D36E44">
        <w:rPr>
          <w:b/>
          <w:bCs/>
          <w:color w:val="FF0000"/>
        </w:rPr>
        <w:t xml:space="preserve">Decreased from 4.496 to 2.735 </w:t>
      </w:r>
    </w:p>
    <w:p w14:paraId="5EED0892" w14:textId="77777777" w:rsidR="00D36E44" w:rsidRDefault="00D36E44" w:rsidP="00D36E44">
      <w:pPr>
        <w:pStyle w:val="ListParagraph"/>
        <w:numPr>
          <w:ilvl w:val="0"/>
          <w:numId w:val="12"/>
        </w:numPr>
        <w:spacing w:before="40"/>
        <w:rPr>
          <w:b/>
          <w:bCs/>
        </w:rPr>
      </w:pPr>
      <w:r w:rsidRPr="00D36E44">
        <w:rPr>
          <w:b/>
          <w:bCs/>
        </w:rPr>
        <w:t xml:space="preserve">Interest Coverage: </w:t>
      </w:r>
      <w:r w:rsidRPr="00D36E44">
        <w:rPr>
          <w:b/>
          <w:bCs/>
          <w:color w:val="FF0000"/>
        </w:rPr>
        <w:t xml:space="preserve">Improved from 4.84x to 9.09x </w:t>
      </w:r>
    </w:p>
    <w:p w14:paraId="518B8DF7" w14:textId="47A9FA1D" w:rsidR="00D36E44" w:rsidRPr="00D36E44" w:rsidRDefault="00D36E44" w:rsidP="00D36E44">
      <w:pPr>
        <w:pStyle w:val="ListParagraph"/>
        <w:numPr>
          <w:ilvl w:val="0"/>
          <w:numId w:val="12"/>
        </w:numPr>
        <w:spacing w:before="40"/>
        <w:rPr>
          <w:b/>
          <w:bCs/>
          <w:color w:val="FF0000"/>
        </w:rPr>
      </w:pPr>
      <w:r w:rsidRPr="00D36E44">
        <w:rPr>
          <w:b/>
          <w:bCs/>
        </w:rPr>
        <w:t xml:space="preserve">Debt Coverage: </w:t>
      </w:r>
      <w:r w:rsidRPr="00D36E44">
        <w:rPr>
          <w:b/>
          <w:bCs/>
          <w:color w:val="FF0000"/>
        </w:rPr>
        <w:t>Improved from 4.84x to 9.09x</w:t>
      </w:r>
    </w:p>
    <w:p w14:paraId="2EC41718" w14:textId="77777777" w:rsidR="00AE61B1" w:rsidRPr="00AE61B1" w:rsidRDefault="00AE61B1" w:rsidP="00AE61B1">
      <w:pPr>
        <w:spacing w:after="40"/>
        <w:ind w:left="720"/>
        <w:rPr>
          <w:b/>
          <w:bCs/>
        </w:rPr>
      </w:pPr>
    </w:p>
    <w:p w14:paraId="78F9EBC8" w14:textId="77777777" w:rsidR="00D36E44" w:rsidRDefault="00AE61B1" w:rsidP="00D36E44">
      <w:pPr>
        <w:rPr>
          <w:b/>
          <w:bCs/>
          <w:color w:val="FF0000"/>
        </w:rPr>
      </w:pPr>
      <w:r w:rsidRPr="00AE61B1">
        <w:rPr>
          <w:b/>
          <w:bCs/>
        </w:rPr>
        <w:t>Risk Assessment:</w:t>
      </w:r>
    </w:p>
    <w:p w14:paraId="04E41AE5" w14:textId="77777777" w:rsidR="00D36E44" w:rsidRDefault="00D36E44" w:rsidP="00D36E44">
      <w:pPr>
        <w:pStyle w:val="ListParagraph"/>
        <w:numPr>
          <w:ilvl w:val="0"/>
          <w:numId w:val="13"/>
        </w:numPr>
        <w:rPr>
          <w:b/>
          <w:bCs/>
          <w:color w:val="FF0000"/>
        </w:rPr>
      </w:pPr>
      <w:r w:rsidRPr="00D36E44">
        <w:rPr>
          <w:b/>
          <w:bCs/>
          <w:color w:val="FF0000"/>
        </w:rPr>
        <w:t xml:space="preserve">Improving leverage metrics </w:t>
      </w:r>
    </w:p>
    <w:p w14:paraId="646C80AC" w14:textId="71388938" w:rsidR="00D36E44" w:rsidRDefault="00D36E44" w:rsidP="00D36E44">
      <w:pPr>
        <w:pStyle w:val="ListParagraph"/>
        <w:numPr>
          <w:ilvl w:val="0"/>
          <w:numId w:val="13"/>
        </w:numPr>
        <w:rPr>
          <w:b/>
          <w:bCs/>
          <w:color w:val="FF0000"/>
        </w:rPr>
      </w:pPr>
      <w:r w:rsidRPr="00D36E44">
        <w:rPr>
          <w:b/>
          <w:bCs/>
          <w:color w:val="FF0000"/>
        </w:rPr>
        <w:t xml:space="preserve">Strong interest coverage growth </w:t>
      </w:r>
    </w:p>
    <w:p w14:paraId="2BB2461D" w14:textId="77777777" w:rsidR="00D36E44" w:rsidRDefault="00D36E44" w:rsidP="00D36E44">
      <w:pPr>
        <w:pStyle w:val="ListParagraph"/>
        <w:numPr>
          <w:ilvl w:val="0"/>
          <w:numId w:val="13"/>
        </w:numPr>
        <w:rPr>
          <w:b/>
          <w:bCs/>
          <w:color w:val="FF0000"/>
        </w:rPr>
      </w:pPr>
      <w:r w:rsidRPr="00D36E44">
        <w:rPr>
          <w:b/>
          <w:bCs/>
          <w:color w:val="FF0000"/>
        </w:rPr>
        <w:t xml:space="preserve">Robust free cash flow coverage </w:t>
      </w:r>
    </w:p>
    <w:p w14:paraId="58CE4909" w14:textId="20F51C83" w:rsidR="00D36E44" w:rsidRPr="00D36E44" w:rsidRDefault="00D36E44" w:rsidP="00D36E44">
      <w:pPr>
        <w:pStyle w:val="ListParagraph"/>
        <w:numPr>
          <w:ilvl w:val="0"/>
          <w:numId w:val="13"/>
        </w:numPr>
        <w:rPr>
          <w:b/>
          <w:bCs/>
          <w:color w:val="FF0000"/>
        </w:rPr>
      </w:pPr>
      <w:r w:rsidRPr="00D36E44">
        <w:rPr>
          <w:b/>
          <w:bCs/>
          <w:color w:val="FF0000"/>
        </w:rPr>
        <w:t>Times Interest Earned doubled</w:t>
      </w:r>
    </w:p>
    <w:p w14:paraId="20D134E1" w14:textId="77777777" w:rsidR="005D4E4D" w:rsidRDefault="005D4E4D" w:rsidP="005D4E4D">
      <w:pPr>
        <w:spacing w:after="40"/>
        <w:ind w:left="720"/>
        <w:rPr>
          <w:b/>
          <w:bCs/>
          <w:color w:val="FF0000"/>
        </w:rPr>
      </w:pPr>
    </w:p>
    <w:p w14:paraId="76BF3278" w14:textId="156F8675" w:rsidR="0016459C" w:rsidRPr="00CA4B87" w:rsidRDefault="00CA4B87" w:rsidP="00CA4B87">
      <w:pPr>
        <w:spacing w:after="40"/>
        <w:ind w:left="720"/>
        <w:rPr>
          <w:b/>
          <w:bCs/>
          <w:color w:val="FF0000"/>
        </w:rPr>
      </w:pPr>
      <w:r>
        <w:rPr>
          <w:b/>
          <w:bCs/>
          <w:color w:val="FF0000"/>
        </w:rPr>
        <w:t xml:space="preserve">                  </w:t>
      </w:r>
      <w:r>
        <w:rPr>
          <w:noProof/>
        </w:rPr>
        <w:drawing>
          <wp:inline distT="0" distB="0" distL="0" distR="0" wp14:anchorId="51350109" wp14:editId="07D75BAE">
            <wp:extent cx="4229100" cy="2247900"/>
            <wp:effectExtent l="0" t="0" r="0" b="0"/>
            <wp:docPr id="902915576" name="Chart 1">
              <a:extLst xmlns:a="http://schemas.openxmlformats.org/drawingml/2006/main">
                <a:ext uri="{FF2B5EF4-FFF2-40B4-BE49-F238E27FC236}">
                  <a16:creationId xmlns:a16="http://schemas.microsoft.com/office/drawing/2014/main" id="{2072662A-080A-1ACF-8C71-7BA917B27D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44310D" w14:textId="77777777" w:rsidR="0016459C" w:rsidRDefault="0016459C" w:rsidP="00254226">
      <w:pPr>
        <w:spacing w:after="40"/>
        <w:rPr>
          <w:b/>
          <w:bCs/>
          <w:sz w:val="28"/>
          <w:szCs w:val="28"/>
          <w:u w:val="singl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54AED2B4" w14:textId="77777777" w:rsidTr="00214B2D">
        <w:trPr>
          <w:trHeight w:val="1200"/>
        </w:trPr>
        <w:tc>
          <w:tcPr>
            <w:tcW w:w="1134" w:type="dxa"/>
            <w:tcBorders>
              <w:top w:val="nil"/>
              <w:left w:val="nil"/>
              <w:bottom w:val="nil"/>
              <w:right w:val="nil"/>
            </w:tcBorders>
            <w:shd w:val="clear" w:color="000000" w:fill="002060"/>
            <w:noWrap/>
            <w:vAlign w:val="center"/>
          </w:tcPr>
          <w:p w14:paraId="591A89C0"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6A237645"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6D7D2801" w14:textId="77DB150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Market Performance</w:t>
            </w:r>
          </w:p>
          <w:p w14:paraId="7574A0A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6431A7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75B9A0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002FF07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A2969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1C2983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156705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C2084D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94C74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76397570" w14:textId="77777777" w:rsidR="00AE61B1" w:rsidRPr="00AE61B1" w:rsidRDefault="00AE61B1" w:rsidP="0016459C">
      <w:pPr>
        <w:spacing w:after="40"/>
        <w:rPr>
          <w:b/>
          <w:bCs/>
          <w:sz w:val="28"/>
          <w:szCs w:val="28"/>
        </w:rPr>
      </w:pPr>
    </w:p>
    <w:p w14:paraId="2D3D4141" w14:textId="77777777" w:rsidR="00D36E44" w:rsidRDefault="00AE61B1" w:rsidP="00D36E44">
      <w:pPr>
        <w:spacing w:after="40"/>
        <w:rPr>
          <w:b/>
          <w:bCs/>
        </w:rPr>
      </w:pPr>
      <w:r w:rsidRPr="00AE61B1">
        <w:rPr>
          <w:b/>
          <w:bCs/>
        </w:rPr>
        <w:t>Investment Metrics:</w:t>
      </w:r>
    </w:p>
    <w:p w14:paraId="20AA19C5" w14:textId="77777777" w:rsidR="00D36E44" w:rsidRDefault="00D36E44" w:rsidP="00D36E44">
      <w:pPr>
        <w:pStyle w:val="ListParagraph"/>
        <w:numPr>
          <w:ilvl w:val="0"/>
          <w:numId w:val="13"/>
        </w:numPr>
        <w:spacing w:after="40"/>
        <w:rPr>
          <w:b/>
          <w:bCs/>
          <w:color w:val="FF0000"/>
        </w:rPr>
      </w:pPr>
      <w:r w:rsidRPr="00D36E44">
        <w:rPr>
          <w:b/>
          <w:bCs/>
          <w:color w:val="FF0000"/>
        </w:rPr>
        <w:t xml:space="preserve">ROE: Improved from 11% to 27% </w:t>
      </w:r>
    </w:p>
    <w:p w14:paraId="794B8985" w14:textId="61E79ED6" w:rsidR="00D36E44" w:rsidRDefault="00D36E44" w:rsidP="00D36E44">
      <w:pPr>
        <w:pStyle w:val="ListParagraph"/>
        <w:numPr>
          <w:ilvl w:val="0"/>
          <w:numId w:val="13"/>
        </w:numPr>
        <w:spacing w:after="40"/>
        <w:rPr>
          <w:b/>
          <w:bCs/>
          <w:color w:val="FF0000"/>
        </w:rPr>
      </w:pPr>
      <w:r w:rsidRPr="00D36E44">
        <w:rPr>
          <w:b/>
          <w:bCs/>
          <w:color w:val="FF0000"/>
        </w:rPr>
        <w:t xml:space="preserve">ROCE: Increased from 4% to 15% </w:t>
      </w:r>
    </w:p>
    <w:p w14:paraId="7D996EB0" w14:textId="051B0997" w:rsidR="00D36E44" w:rsidRPr="00D36E44" w:rsidRDefault="00D36E44" w:rsidP="00D36E44">
      <w:pPr>
        <w:pStyle w:val="ListParagraph"/>
        <w:numPr>
          <w:ilvl w:val="0"/>
          <w:numId w:val="13"/>
        </w:numPr>
        <w:spacing w:after="40"/>
        <w:rPr>
          <w:b/>
          <w:bCs/>
          <w:color w:val="FF0000"/>
        </w:rPr>
      </w:pPr>
      <w:r w:rsidRPr="00D36E44">
        <w:rPr>
          <w:b/>
          <w:bCs/>
          <w:color w:val="FF0000"/>
        </w:rPr>
        <w:t>EPS: Grew from $6.32 to $23.46</w:t>
      </w:r>
    </w:p>
    <w:p w14:paraId="0FEA737C" w14:textId="77777777" w:rsidR="00AE61B1" w:rsidRPr="00AE61B1" w:rsidRDefault="00AE61B1" w:rsidP="00AE61B1">
      <w:pPr>
        <w:pStyle w:val="ListParagraph"/>
        <w:spacing w:after="40"/>
        <w:rPr>
          <w:b/>
          <w:bCs/>
          <w:color w:val="FF0000"/>
        </w:rPr>
      </w:pPr>
    </w:p>
    <w:p w14:paraId="43A87FA9" w14:textId="77777777" w:rsidR="004A5669" w:rsidRDefault="00AE61B1" w:rsidP="004A5669">
      <w:pPr>
        <w:spacing w:after="40"/>
        <w:rPr>
          <w:b/>
          <w:bCs/>
          <w:color w:val="FF0000"/>
        </w:rPr>
      </w:pPr>
      <w:r w:rsidRPr="00886CDA">
        <w:rPr>
          <w:b/>
          <w:bCs/>
        </w:rPr>
        <w:t>Shareholder Returns:</w:t>
      </w:r>
      <w:r w:rsidR="00886CDA" w:rsidRPr="00886CDA">
        <w:rPr>
          <w:b/>
          <w:bCs/>
        </w:rPr>
        <w:t xml:space="preserve"> </w:t>
      </w:r>
    </w:p>
    <w:p w14:paraId="6CCCA0E1" w14:textId="77777777" w:rsidR="004A5669" w:rsidRDefault="004A5669" w:rsidP="004A5669">
      <w:pPr>
        <w:pStyle w:val="ListParagraph"/>
        <w:numPr>
          <w:ilvl w:val="0"/>
          <w:numId w:val="18"/>
        </w:numPr>
        <w:spacing w:after="40"/>
        <w:rPr>
          <w:b/>
          <w:bCs/>
          <w:color w:val="FF0000"/>
        </w:rPr>
      </w:pPr>
      <w:r w:rsidRPr="004A5669">
        <w:rPr>
          <w:b/>
          <w:bCs/>
          <w:color w:val="FF0000"/>
        </w:rPr>
        <w:t xml:space="preserve">P/E ratio remained stable around 0.002 </w:t>
      </w:r>
    </w:p>
    <w:p w14:paraId="37BDD949" w14:textId="77777777" w:rsidR="004A5669" w:rsidRDefault="004A5669" w:rsidP="004A5669">
      <w:pPr>
        <w:pStyle w:val="ListParagraph"/>
        <w:numPr>
          <w:ilvl w:val="0"/>
          <w:numId w:val="18"/>
        </w:numPr>
        <w:spacing w:after="40"/>
        <w:rPr>
          <w:b/>
          <w:bCs/>
          <w:color w:val="FF0000"/>
        </w:rPr>
      </w:pPr>
      <w:r w:rsidRPr="004A5669">
        <w:rPr>
          <w:b/>
          <w:bCs/>
          <w:color w:val="FF0000"/>
        </w:rPr>
        <w:t xml:space="preserve">Book value per share increased to 88.16 </w:t>
      </w:r>
    </w:p>
    <w:p w14:paraId="699D6758" w14:textId="4C3210DD" w:rsidR="00D36E44" w:rsidRPr="004A5669" w:rsidRDefault="004A5669" w:rsidP="004A5669">
      <w:pPr>
        <w:pStyle w:val="ListParagraph"/>
        <w:numPr>
          <w:ilvl w:val="0"/>
          <w:numId w:val="18"/>
        </w:numPr>
        <w:spacing w:after="40"/>
        <w:rPr>
          <w:b/>
          <w:bCs/>
          <w:color w:val="FF0000"/>
        </w:rPr>
      </w:pPr>
      <w:r w:rsidRPr="004A5669">
        <w:rPr>
          <w:b/>
          <w:bCs/>
          <w:color w:val="FF0000"/>
        </w:rPr>
        <w:t>Strong EPS growth trajectory</w:t>
      </w:r>
    </w:p>
    <w:p w14:paraId="658DFEE2" w14:textId="77777777" w:rsidR="00AE61B1" w:rsidRDefault="00AE61B1" w:rsidP="00AE61B1">
      <w:pPr>
        <w:spacing w:after="40"/>
        <w:ind w:left="720"/>
        <w:rPr>
          <w:b/>
          <w:bCs/>
          <w:color w:val="FF0000"/>
        </w:rPr>
      </w:pPr>
    </w:p>
    <w:p w14:paraId="6437E94B" w14:textId="1BC4B557" w:rsidR="00254226" w:rsidRPr="00AE61B1" w:rsidRDefault="00254226" w:rsidP="009C3481">
      <w:pPr>
        <w:spacing w:after="40"/>
        <w:ind w:left="720"/>
        <w:rPr>
          <w:b/>
          <w:bCs/>
          <w:color w:val="FF0000"/>
        </w:rPr>
      </w:pPr>
    </w:p>
    <w:p w14:paraId="7AFEA973" w14:textId="77777777" w:rsidR="00AE61B1" w:rsidRDefault="00AE61B1" w:rsidP="006A0783"/>
    <w:p w14:paraId="092E8E89" w14:textId="77777777" w:rsidR="0016459C" w:rsidRDefault="0016459C" w:rsidP="00254226">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364C804C" w14:textId="77777777" w:rsidTr="00214B2D">
        <w:trPr>
          <w:trHeight w:val="1200"/>
        </w:trPr>
        <w:tc>
          <w:tcPr>
            <w:tcW w:w="1134" w:type="dxa"/>
            <w:tcBorders>
              <w:top w:val="nil"/>
              <w:left w:val="nil"/>
              <w:bottom w:val="nil"/>
              <w:right w:val="nil"/>
            </w:tcBorders>
            <w:shd w:val="clear" w:color="000000" w:fill="002060"/>
            <w:noWrap/>
            <w:vAlign w:val="center"/>
          </w:tcPr>
          <w:p w14:paraId="5A1ECA6D"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7E7BB649" w14:textId="13A1259C"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Future Outlook</w:t>
            </w:r>
          </w:p>
          <w:p w14:paraId="6B0D076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DE0EDA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90907C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1A7CA3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8CEA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B0E66E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28EA3A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529218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5F8D69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2D3EEE5" w14:textId="77777777" w:rsidR="004A5669" w:rsidRPr="004A5669" w:rsidRDefault="004A5669" w:rsidP="004A5669">
      <w:pPr>
        <w:rPr>
          <w:b/>
          <w:bCs/>
        </w:rPr>
      </w:pPr>
      <w:r w:rsidRPr="004A5669">
        <w:rPr>
          <w:b/>
          <w:bCs/>
        </w:rPr>
        <w:t xml:space="preserve">Based on the financial trends, Amazon shows consistently improving fundamentals with several key positive indicators. The company has maintained </w:t>
      </w:r>
      <w:r w:rsidRPr="004A5669">
        <w:rPr>
          <w:b/>
          <w:bCs/>
          <w:color w:val="FF0000"/>
        </w:rPr>
        <w:t>impressive revenue growth</w:t>
      </w:r>
      <w:r w:rsidRPr="004A5669">
        <w:rPr>
          <w:b/>
          <w:bCs/>
        </w:rPr>
        <w:t>, reaching $280,522 million in 2019, while demonstrating improved operational efficiency through expanding gross margins from 37% to 41%.</w:t>
      </w:r>
    </w:p>
    <w:p w14:paraId="27809EB6" w14:textId="77777777" w:rsidR="004A5669" w:rsidRPr="004A5669" w:rsidRDefault="004A5669" w:rsidP="004A5669">
      <w:pPr>
        <w:rPr>
          <w:b/>
          <w:bCs/>
          <w:color w:val="FF0000"/>
        </w:rPr>
      </w:pPr>
      <w:r w:rsidRPr="004A5669">
        <w:rPr>
          <w:b/>
          <w:bCs/>
        </w:rPr>
        <w:t xml:space="preserve">Their cash flow generation remains robust, </w:t>
      </w:r>
      <w:r w:rsidRPr="004A5669">
        <w:rPr>
          <w:b/>
          <w:bCs/>
          <w:color w:val="FF0000"/>
        </w:rPr>
        <w:t>with free cash flow per share increasing to 49, and they continue to deliver improving returns on capital, evidenced by ROE growth to 27% and ROCE reaching 15%.</w:t>
      </w:r>
    </w:p>
    <w:p w14:paraId="16AF2B6D" w14:textId="77777777" w:rsidR="004A5669" w:rsidRPr="004A5669" w:rsidRDefault="004A5669" w:rsidP="004A5669">
      <w:pPr>
        <w:rPr>
          <w:b/>
          <w:bCs/>
        </w:rPr>
      </w:pPr>
      <w:r w:rsidRPr="004A5669">
        <w:rPr>
          <w:b/>
          <w:bCs/>
        </w:rPr>
        <w:t>Areas for Attention:</w:t>
      </w:r>
    </w:p>
    <w:p w14:paraId="5921A287" w14:textId="77777777" w:rsidR="004A5669" w:rsidRPr="004A5669" w:rsidRDefault="004A5669" w:rsidP="004A5669">
      <w:pPr>
        <w:numPr>
          <w:ilvl w:val="0"/>
          <w:numId w:val="34"/>
        </w:numPr>
        <w:rPr>
          <w:b/>
          <w:bCs/>
          <w:color w:val="FF0000"/>
        </w:rPr>
      </w:pPr>
      <w:r w:rsidRPr="004A5669">
        <w:rPr>
          <w:b/>
          <w:bCs/>
          <w:color w:val="FF0000"/>
        </w:rPr>
        <w:t>Working capital optimization</w:t>
      </w:r>
    </w:p>
    <w:p w14:paraId="7A64FC24" w14:textId="77777777" w:rsidR="004A5669" w:rsidRPr="004A5669" w:rsidRDefault="004A5669" w:rsidP="004A5669">
      <w:pPr>
        <w:numPr>
          <w:ilvl w:val="0"/>
          <w:numId w:val="34"/>
        </w:numPr>
        <w:rPr>
          <w:b/>
          <w:bCs/>
          <w:color w:val="FF0000"/>
        </w:rPr>
      </w:pPr>
      <w:r w:rsidRPr="004A5669">
        <w:rPr>
          <w:b/>
          <w:bCs/>
          <w:color w:val="FF0000"/>
        </w:rPr>
        <w:t>Marketing expenses trending up</w:t>
      </w:r>
    </w:p>
    <w:p w14:paraId="0F29EEE3" w14:textId="77777777" w:rsidR="004A5669" w:rsidRPr="004A5669" w:rsidRDefault="004A5669" w:rsidP="004A5669">
      <w:pPr>
        <w:numPr>
          <w:ilvl w:val="0"/>
          <w:numId w:val="34"/>
        </w:numPr>
        <w:rPr>
          <w:b/>
          <w:bCs/>
          <w:color w:val="FF0000"/>
        </w:rPr>
      </w:pPr>
      <w:r w:rsidRPr="004A5669">
        <w:rPr>
          <w:b/>
          <w:bCs/>
          <w:color w:val="FF0000"/>
        </w:rPr>
        <w:t>Maintaining growth while improving margins</w:t>
      </w:r>
    </w:p>
    <w:p w14:paraId="56BE2D0A" w14:textId="77777777" w:rsidR="004A5669" w:rsidRPr="004A5669" w:rsidRDefault="004A5669" w:rsidP="004A5669">
      <w:pPr>
        <w:numPr>
          <w:ilvl w:val="0"/>
          <w:numId w:val="34"/>
        </w:numPr>
        <w:rPr>
          <w:b/>
          <w:bCs/>
          <w:color w:val="FF0000"/>
        </w:rPr>
      </w:pPr>
      <w:r w:rsidRPr="004A5669">
        <w:rPr>
          <w:b/>
          <w:bCs/>
          <w:color w:val="FF0000"/>
        </w:rPr>
        <w:t>Balance between investment and profitability</w:t>
      </w:r>
    </w:p>
    <w:p w14:paraId="58D2C9C6" w14:textId="77777777" w:rsidR="004A5669" w:rsidRPr="004A5669" w:rsidRDefault="004A5669" w:rsidP="004A5669">
      <w:pPr>
        <w:rPr>
          <w:b/>
          <w:bCs/>
        </w:rPr>
      </w:pPr>
      <w:r w:rsidRPr="004A5669">
        <w:rPr>
          <w:b/>
          <w:bCs/>
        </w:rPr>
        <w:t xml:space="preserve">The company's </w:t>
      </w:r>
      <w:r w:rsidRPr="004A5669">
        <w:rPr>
          <w:b/>
          <w:bCs/>
          <w:color w:val="FF0000"/>
        </w:rPr>
        <w:t xml:space="preserve">consistent investment in technology and content </w:t>
      </w:r>
      <w:r w:rsidRPr="004A5669">
        <w:rPr>
          <w:b/>
          <w:bCs/>
        </w:rPr>
        <w:t xml:space="preserve">(around 12.5% of revenue), combined with improving operating margins, positions them well for future growth. While maintaining focus on working capital efficiency and continued margin improvement, the strong fundamentals and operational improvements suggest </w:t>
      </w:r>
      <w:r w:rsidRPr="004A5669">
        <w:rPr>
          <w:b/>
          <w:bCs/>
          <w:color w:val="FF0000"/>
        </w:rPr>
        <w:t>positive long-term prospects</w:t>
      </w:r>
      <w:r w:rsidRPr="004A5669">
        <w:rPr>
          <w:b/>
          <w:bCs/>
        </w:rPr>
        <w:t>, particularly in the expanding service revenue segment which has grown to 42.8% of total revenue.</w:t>
      </w:r>
    </w:p>
    <w:p w14:paraId="1EF73371" w14:textId="77777777" w:rsidR="004A5669" w:rsidRPr="004A5669" w:rsidRDefault="004A5669" w:rsidP="006A0783">
      <w:pPr>
        <w:rPr>
          <w:b/>
          <w:bCs/>
        </w:rPr>
      </w:pPr>
      <w:r w:rsidRPr="004A5669">
        <w:rPr>
          <w:b/>
          <w:bCs/>
        </w:rPr>
        <w:t xml:space="preserve">The </w:t>
      </w:r>
      <w:r w:rsidRPr="004A5669">
        <w:rPr>
          <w:b/>
          <w:bCs/>
          <w:color w:val="FF0000"/>
        </w:rPr>
        <w:t xml:space="preserve">declining debt ratios </w:t>
      </w:r>
      <w:r w:rsidRPr="004A5669">
        <w:rPr>
          <w:b/>
          <w:bCs/>
        </w:rPr>
        <w:t xml:space="preserve">(D/E from 4.496 to 2.735) and </w:t>
      </w:r>
      <w:r w:rsidRPr="004A5669">
        <w:rPr>
          <w:b/>
          <w:bCs/>
          <w:color w:val="FF0000"/>
        </w:rPr>
        <w:t>improved profitability metrics (EPS growth from $6.32 to $23.46) suggest a well-managed transition to a more mature, efficient business model while maintaining aggressive growth potential across e-commerce</w:t>
      </w:r>
      <w:r w:rsidRPr="004A5669">
        <w:rPr>
          <w:b/>
          <w:bCs/>
        </w:rPr>
        <w:t>, cloud services, and emerging technology sectors.</w:t>
      </w:r>
      <w:r w:rsidRPr="004A5669">
        <w:rPr>
          <w:b/>
          <w:bCs/>
        </w:rPr>
        <w:t xml:space="preserve"> </w:t>
      </w:r>
    </w:p>
    <w:p w14:paraId="61B31F01" w14:textId="0C7D37FE" w:rsidR="00E069F0" w:rsidRPr="004A5669" w:rsidRDefault="004A5669" w:rsidP="006A0783">
      <w:pPr>
        <w:rPr>
          <w:b/>
          <w:bCs/>
          <w:color w:val="FF0000"/>
        </w:rPr>
      </w:pPr>
      <w:r w:rsidRPr="004A5669">
        <w:rPr>
          <w:b/>
          <w:bCs/>
        </w:rPr>
        <w:t xml:space="preserve">This comprehensive outlook suggests </w:t>
      </w:r>
      <w:r w:rsidRPr="004A5669">
        <w:rPr>
          <w:b/>
          <w:bCs/>
          <w:color w:val="FF0000"/>
        </w:rPr>
        <w:t>Amazon is well-positioned for sustained growth, supported by strong financial fundamentals and strategic investments in key growth areas</w:t>
      </w:r>
      <w:r w:rsidRPr="004A5669">
        <w:rPr>
          <w:b/>
          <w:bCs/>
        </w:rPr>
        <w:t xml:space="preserve">. The company's improved efficiency metrics and </w:t>
      </w:r>
      <w:r w:rsidRPr="004A5669">
        <w:rPr>
          <w:b/>
          <w:bCs/>
          <w:color w:val="FF0000"/>
        </w:rPr>
        <w:t>robust cash flow generation provide a solid foundation for future expansion while maintaining financial flexibility through efficient working capital management and declining leverage ratios.</w:t>
      </w:r>
    </w:p>
    <w:p w14:paraId="760E1D1D" w14:textId="77777777" w:rsidR="00E069F0" w:rsidRDefault="00E069F0" w:rsidP="006A0783"/>
    <w:p w14:paraId="2AD16B8E" w14:textId="77777777" w:rsidR="00886CDA" w:rsidRDefault="00886CDA" w:rsidP="006A0783"/>
    <w:p w14:paraId="12D8B52F" w14:textId="77777777" w:rsidR="00886CDA" w:rsidRDefault="00886CDA" w:rsidP="006A0783"/>
    <w:p w14:paraId="5D8279C2" w14:textId="77777777" w:rsidR="00886CDA" w:rsidRPr="006A0783" w:rsidRDefault="00886CDA" w:rsidP="006A0783"/>
    <w:sectPr w:rsidR="00886CDA" w:rsidRPr="006A0783" w:rsidSect="0008638F">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6E081" w14:textId="77777777" w:rsidR="00213067" w:rsidRDefault="00213067" w:rsidP="0008638F">
      <w:pPr>
        <w:spacing w:after="0" w:line="240" w:lineRule="auto"/>
      </w:pPr>
      <w:r>
        <w:separator/>
      </w:r>
    </w:p>
  </w:endnote>
  <w:endnote w:type="continuationSeparator" w:id="0">
    <w:p w14:paraId="0ABC569C" w14:textId="77777777" w:rsidR="00213067" w:rsidRDefault="00213067" w:rsidP="0008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61A9E" w14:textId="77777777" w:rsidR="00213067" w:rsidRDefault="00213067" w:rsidP="0008638F">
      <w:pPr>
        <w:spacing w:after="0" w:line="240" w:lineRule="auto"/>
      </w:pPr>
      <w:r>
        <w:separator/>
      </w:r>
    </w:p>
  </w:footnote>
  <w:footnote w:type="continuationSeparator" w:id="0">
    <w:p w14:paraId="3673D47A" w14:textId="77777777" w:rsidR="00213067" w:rsidRDefault="00213067" w:rsidP="0008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B8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62E8D"/>
    <w:multiLevelType w:val="multilevel"/>
    <w:tmpl w:val="297AB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83972"/>
    <w:multiLevelType w:val="multilevel"/>
    <w:tmpl w:val="22B2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9152F"/>
    <w:multiLevelType w:val="multilevel"/>
    <w:tmpl w:val="BBA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1346F"/>
    <w:multiLevelType w:val="hybridMultilevel"/>
    <w:tmpl w:val="6ED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91915"/>
    <w:multiLevelType w:val="hybridMultilevel"/>
    <w:tmpl w:val="EB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147"/>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6720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A606E"/>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4735D"/>
    <w:multiLevelType w:val="hybridMultilevel"/>
    <w:tmpl w:val="D9D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44FF9"/>
    <w:multiLevelType w:val="multilevel"/>
    <w:tmpl w:val="737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1D1933"/>
    <w:multiLevelType w:val="multilevel"/>
    <w:tmpl w:val="BA502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A5EE7"/>
    <w:multiLevelType w:val="hybridMultilevel"/>
    <w:tmpl w:val="1F02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A5FB2"/>
    <w:multiLevelType w:val="multilevel"/>
    <w:tmpl w:val="116A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F3608"/>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021A3"/>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C375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81684"/>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54B6D"/>
    <w:multiLevelType w:val="hybridMultilevel"/>
    <w:tmpl w:val="98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32F10"/>
    <w:multiLevelType w:val="multilevel"/>
    <w:tmpl w:val="656EC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D431B"/>
    <w:multiLevelType w:val="multilevel"/>
    <w:tmpl w:val="29109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3256A4"/>
    <w:multiLevelType w:val="multilevel"/>
    <w:tmpl w:val="0E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B68ED"/>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6F7669"/>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0729"/>
    <w:multiLevelType w:val="hybridMultilevel"/>
    <w:tmpl w:val="A8E0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876A2"/>
    <w:multiLevelType w:val="multilevel"/>
    <w:tmpl w:val="EB2A4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A123AB"/>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763946"/>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45FF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7029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20A32"/>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F5685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0513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E0275"/>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974659">
    <w:abstractNumId w:val="10"/>
  </w:num>
  <w:num w:numId="2" w16cid:durableId="1355840364">
    <w:abstractNumId w:val="15"/>
  </w:num>
  <w:num w:numId="3" w16cid:durableId="715814963">
    <w:abstractNumId w:val="5"/>
  </w:num>
  <w:num w:numId="4" w16cid:durableId="415588567">
    <w:abstractNumId w:val="29"/>
  </w:num>
  <w:num w:numId="5" w16cid:durableId="1213883848">
    <w:abstractNumId w:val="25"/>
  </w:num>
  <w:num w:numId="6" w16cid:durableId="531694432">
    <w:abstractNumId w:val="31"/>
  </w:num>
  <w:num w:numId="7" w16cid:durableId="1202402165">
    <w:abstractNumId w:val="6"/>
  </w:num>
  <w:num w:numId="8" w16cid:durableId="1883445376">
    <w:abstractNumId w:val="23"/>
  </w:num>
  <w:num w:numId="9" w16cid:durableId="75825286">
    <w:abstractNumId w:val="17"/>
  </w:num>
  <w:num w:numId="10" w16cid:durableId="303240237">
    <w:abstractNumId w:val="22"/>
  </w:num>
  <w:num w:numId="11" w16cid:durableId="807088378">
    <w:abstractNumId w:val="19"/>
  </w:num>
  <w:num w:numId="12" w16cid:durableId="833376763">
    <w:abstractNumId w:val="8"/>
  </w:num>
  <w:num w:numId="13" w16cid:durableId="468474464">
    <w:abstractNumId w:val="26"/>
  </w:num>
  <w:num w:numId="14" w16cid:durableId="1138232062">
    <w:abstractNumId w:val="11"/>
  </w:num>
  <w:num w:numId="15" w16cid:durableId="1629236188">
    <w:abstractNumId w:val="28"/>
  </w:num>
  <w:num w:numId="16" w16cid:durableId="1597906261">
    <w:abstractNumId w:val="27"/>
  </w:num>
  <w:num w:numId="17" w16cid:durableId="1450050086">
    <w:abstractNumId w:val="7"/>
  </w:num>
  <w:num w:numId="18" w16cid:durableId="22177279">
    <w:abstractNumId w:val="16"/>
  </w:num>
  <w:num w:numId="19" w16cid:durableId="1497695988">
    <w:abstractNumId w:val="32"/>
  </w:num>
  <w:num w:numId="20" w16cid:durableId="40713880">
    <w:abstractNumId w:val="0"/>
  </w:num>
  <w:num w:numId="21" w16cid:durableId="2143647981">
    <w:abstractNumId w:val="33"/>
  </w:num>
  <w:num w:numId="22" w16cid:durableId="1448348206">
    <w:abstractNumId w:val="20"/>
  </w:num>
  <w:num w:numId="23" w16cid:durableId="140586174">
    <w:abstractNumId w:val="14"/>
  </w:num>
  <w:num w:numId="24" w16cid:durableId="1212116608">
    <w:abstractNumId w:val="30"/>
  </w:num>
  <w:num w:numId="25" w16cid:durableId="1464956683">
    <w:abstractNumId w:val="3"/>
  </w:num>
  <w:num w:numId="26" w16cid:durableId="1231504082">
    <w:abstractNumId w:val="13"/>
  </w:num>
  <w:num w:numId="27" w16cid:durableId="1355381471">
    <w:abstractNumId w:val="21"/>
  </w:num>
  <w:num w:numId="28" w16cid:durableId="930698525">
    <w:abstractNumId w:val="1"/>
  </w:num>
  <w:num w:numId="29" w16cid:durableId="2041120828">
    <w:abstractNumId w:val="9"/>
  </w:num>
  <w:num w:numId="30" w16cid:durableId="163522282">
    <w:abstractNumId w:val="12"/>
  </w:num>
  <w:num w:numId="31" w16cid:durableId="590939926">
    <w:abstractNumId w:val="4"/>
  </w:num>
  <w:num w:numId="32" w16cid:durableId="603197619">
    <w:abstractNumId w:val="24"/>
  </w:num>
  <w:num w:numId="33" w16cid:durableId="646477255">
    <w:abstractNumId w:val="18"/>
  </w:num>
  <w:num w:numId="34" w16cid:durableId="193751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83"/>
    <w:rsid w:val="00012247"/>
    <w:rsid w:val="0008638F"/>
    <w:rsid w:val="000A2060"/>
    <w:rsid w:val="0016459C"/>
    <w:rsid w:val="00213067"/>
    <w:rsid w:val="00254226"/>
    <w:rsid w:val="002F15D3"/>
    <w:rsid w:val="00317881"/>
    <w:rsid w:val="004A5669"/>
    <w:rsid w:val="005D4E4D"/>
    <w:rsid w:val="00666F2D"/>
    <w:rsid w:val="006A0783"/>
    <w:rsid w:val="006E7EC5"/>
    <w:rsid w:val="00736BC3"/>
    <w:rsid w:val="007732B4"/>
    <w:rsid w:val="00773F4A"/>
    <w:rsid w:val="007C005E"/>
    <w:rsid w:val="007D645F"/>
    <w:rsid w:val="008863EF"/>
    <w:rsid w:val="00886CDA"/>
    <w:rsid w:val="00960194"/>
    <w:rsid w:val="009C3481"/>
    <w:rsid w:val="009E656D"/>
    <w:rsid w:val="009F3F60"/>
    <w:rsid w:val="00A00A0A"/>
    <w:rsid w:val="00AD1290"/>
    <w:rsid w:val="00AE61B1"/>
    <w:rsid w:val="00C14309"/>
    <w:rsid w:val="00C61D05"/>
    <w:rsid w:val="00CA4B87"/>
    <w:rsid w:val="00D36E44"/>
    <w:rsid w:val="00E069F0"/>
    <w:rsid w:val="00E83940"/>
    <w:rsid w:val="00E8695F"/>
    <w:rsid w:val="00F620D7"/>
    <w:rsid w:val="00FB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032CE"/>
  <w15:chartTrackingRefBased/>
  <w15:docId w15:val="{9522393F-62C8-46CE-B856-54B7958A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F0"/>
    <w:pPr>
      <w:ind w:left="720"/>
      <w:contextualSpacing/>
    </w:pPr>
  </w:style>
  <w:style w:type="character" w:styleId="Hyperlink">
    <w:name w:val="Hyperlink"/>
    <w:basedOn w:val="DefaultParagraphFont"/>
    <w:uiPriority w:val="99"/>
    <w:unhideWhenUsed/>
    <w:rsid w:val="00E83940"/>
    <w:rPr>
      <w:color w:val="0563C1" w:themeColor="hyperlink"/>
      <w:u w:val="single"/>
    </w:rPr>
  </w:style>
  <w:style w:type="character" w:styleId="UnresolvedMention">
    <w:name w:val="Unresolved Mention"/>
    <w:basedOn w:val="DefaultParagraphFont"/>
    <w:uiPriority w:val="99"/>
    <w:semiHidden/>
    <w:unhideWhenUsed/>
    <w:rsid w:val="00E83940"/>
    <w:rPr>
      <w:color w:val="605E5C"/>
      <w:shd w:val="clear" w:color="auto" w:fill="E1DFDD"/>
    </w:rPr>
  </w:style>
  <w:style w:type="paragraph" w:styleId="Header">
    <w:name w:val="header"/>
    <w:basedOn w:val="Normal"/>
    <w:link w:val="HeaderChar"/>
    <w:uiPriority w:val="99"/>
    <w:unhideWhenUsed/>
    <w:rsid w:val="00086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38F"/>
  </w:style>
  <w:style w:type="paragraph" w:styleId="Footer">
    <w:name w:val="footer"/>
    <w:basedOn w:val="Normal"/>
    <w:link w:val="FooterChar"/>
    <w:uiPriority w:val="99"/>
    <w:unhideWhenUsed/>
    <w:rsid w:val="00086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8F"/>
  </w:style>
  <w:style w:type="character" w:styleId="Strong">
    <w:name w:val="Strong"/>
    <w:basedOn w:val="DefaultParagraphFont"/>
    <w:uiPriority w:val="22"/>
    <w:qFormat/>
    <w:rsid w:val="00D36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9353">
      <w:bodyDiv w:val="1"/>
      <w:marLeft w:val="0"/>
      <w:marRight w:val="0"/>
      <w:marTop w:val="0"/>
      <w:marBottom w:val="0"/>
      <w:divBdr>
        <w:top w:val="none" w:sz="0" w:space="0" w:color="auto"/>
        <w:left w:val="none" w:sz="0" w:space="0" w:color="auto"/>
        <w:bottom w:val="none" w:sz="0" w:space="0" w:color="auto"/>
        <w:right w:val="none" w:sz="0" w:space="0" w:color="auto"/>
      </w:divBdr>
    </w:div>
    <w:div w:id="180632149">
      <w:bodyDiv w:val="1"/>
      <w:marLeft w:val="0"/>
      <w:marRight w:val="0"/>
      <w:marTop w:val="0"/>
      <w:marBottom w:val="0"/>
      <w:divBdr>
        <w:top w:val="none" w:sz="0" w:space="0" w:color="auto"/>
        <w:left w:val="none" w:sz="0" w:space="0" w:color="auto"/>
        <w:bottom w:val="none" w:sz="0" w:space="0" w:color="auto"/>
        <w:right w:val="none" w:sz="0" w:space="0" w:color="auto"/>
      </w:divBdr>
    </w:div>
    <w:div w:id="184447952">
      <w:bodyDiv w:val="1"/>
      <w:marLeft w:val="0"/>
      <w:marRight w:val="0"/>
      <w:marTop w:val="0"/>
      <w:marBottom w:val="0"/>
      <w:divBdr>
        <w:top w:val="none" w:sz="0" w:space="0" w:color="auto"/>
        <w:left w:val="none" w:sz="0" w:space="0" w:color="auto"/>
        <w:bottom w:val="none" w:sz="0" w:space="0" w:color="auto"/>
        <w:right w:val="none" w:sz="0" w:space="0" w:color="auto"/>
      </w:divBdr>
    </w:div>
    <w:div w:id="231084485">
      <w:bodyDiv w:val="1"/>
      <w:marLeft w:val="0"/>
      <w:marRight w:val="0"/>
      <w:marTop w:val="0"/>
      <w:marBottom w:val="0"/>
      <w:divBdr>
        <w:top w:val="none" w:sz="0" w:space="0" w:color="auto"/>
        <w:left w:val="none" w:sz="0" w:space="0" w:color="auto"/>
        <w:bottom w:val="none" w:sz="0" w:space="0" w:color="auto"/>
        <w:right w:val="none" w:sz="0" w:space="0" w:color="auto"/>
      </w:divBdr>
    </w:div>
    <w:div w:id="234168892">
      <w:bodyDiv w:val="1"/>
      <w:marLeft w:val="0"/>
      <w:marRight w:val="0"/>
      <w:marTop w:val="0"/>
      <w:marBottom w:val="0"/>
      <w:divBdr>
        <w:top w:val="none" w:sz="0" w:space="0" w:color="auto"/>
        <w:left w:val="none" w:sz="0" w:space="0" w:color="auto"/>
        <w:bottom w:val="none" w:sz="0" w:space="0" w:color="auto"/>
        <w:right w:val="none" w:sz="0" w:space="0" w:color="auto"/>
      </w:divBdr>
    </w:div>
    <w:div w:id="239415726">
      <w:bodyDiv w:val="1"/>
      <w:marLeft w:val="0"/>
      <w:marRight w:val="0"/>
      <w:marTop w:val="0"/>
      <w:marBottom w:val="0"/>
      <w:divBdr>
        <w:top w:val="none" w:sz="0" w:space="0" w:color="auto"/>
        <w:left w:val="none" w:sz="0" w:space="0" w:color="auto"/>
        <w:bottom w:val="none" w:sz="0" w:space="0" w:color="auto"/>
        <w:right w:val="none" w:sz="0" w:space="0" w:color="auto"/>
      </w:divBdr>
    </w:div>
    <w:div w:id="244655433">
      <w:bodyDiv w:val="1"/>
      <w:marLeft w:val="0"/>
      <w:marRight w:val="0"/>
      <w:marTop w:val="0"/>
      <w:marBottom w:val="0"/>
      <w:divBdr>
        <w:top w:val="none" w:sz="0" w:space="0" w:color="auto"/>
        <w:left w:val="none" w:sz="0" w:space="0" w:color="auto"/>
        <w:bottom w:val="none" w:sz="0" w:space="0" w:color="auto"/>
        <w:right w:val="none" w:sz="0" w:space="0" w:color="auto"/>
      </w:divBdr>
    </w:div>
    <w:div w:id="249513441">
      <w:bodyDiv w:val="1"/>
      <w:marLeft w:val="0"/>
      <w:marRight w:val="0"/>
      <w:marTop w:val="0"/>
      <w:marBottom w:val="0"/>
      <w:divBdr>
        <w:top w:val="none" w:sz="0" w:space="0" w:color="auto"/>
        <w:left w:val="none" w:sz="0" w:space="0" w:color="auto"/>
        <w:bottom w:val="none" w:sz="0" w:space="0" w:color="auto"/>
        <w:right w:val="none" w:sz="0" w:space="0" w:color="auto"/>
      </w:divBdr>
    </w:div>
    <w:div w:id="288898656">
      <w:bodyDiv w:val="1"/>
      <w:marLeft w:val="0"/>
      <w:marRight w:val="0"/>
      <w:marTop w:val="0"/>
      <w:marBottom w:val="0"/>
      <w:divBdr>
        <w:top w:val="none" w:sz="0" w:space="0" w:color="auto"/>
        <w:left w:val="none" w:sz="0" w:space="0" w:color="auto"/>
        <w:bottom w:val="none" w:sz="0" w:space="0" w:color="auto"/>
        <w:right w:val="none" w:sz="0" w:space="0" w:color="auto"/>
      </w:divBdr>
    </w:div>
    <w:div w:id="376394114">
      <w:bodyDiv w:val="1"/>
      <w:marLeft w:val="0"/>
      <w:marRight w:val="0"/>
      <w:marTop w:val="0"/>
      <w:marBottom w:val="0"/>
      <w:divBdr>
        <w:top w:val="none" w:sz="0" w:space="0" w:color="auto"/>
        <w:left w:val="none" w:sz="0" w:space="0" w:color="auto"/>
        <w:bottom w:val="none" w:sz="0" w:space="0" w:color="auto"/>
        <w:right w:val="none" w:sz="0" w:space="0" w:color="auto"/>
      </w:divBdr>
    </w:div>
    <w:div w:id="432556500">
      <w:bodyDiv w:val="1"/>
      <w:marLeft w:val="0"/>
      <w:marRight w:val="0"/>
      <w:marTop w:val="0"/>
      <w:marBottom w:val="0"/>
      <w:divBdr>
        <w:top w:val="none" w:sz="0" w:space="0" w:color="auto"/>
        <w:left w:val="none" w:sz="0" w:space="0" w:color="auto"/>
        <w:bottom w:val="none" w:sz="0" w:space="0" w:color="auto"/>
        <w:right w:val="none" w:sz="0" w:space="0" w:color="auto"/>
      </w:divBdr>
    </w:div>
    <w:div w:id="485972213">
      <w:bodyDiv w:val="1"/>
      <w:marLeft w:val="0"/>
      <w:marRight w:val="0"/>
      <w:marTop w:val="0"/>
      <w:marBottom w:val="0"/>
      <w:divBdr>
        <w:top w:val="none" w:sz="0" w:space="0" w:color="auto"/>
        <w:left w:val="none" w:sz="0" w:space="0" w:color="auto"/>
        <w:bottom w:val="none" w:sz="0" w:space="0" w:color="auto"/>
        <w:right w:val="none" w:sz="0" w:space="0" w:color="auto"/>
      </w:divBdr>
    </w:div>
    <w:div w:id="560554058">
      <w:bodyDiv w:val="1"/>
      <w:marLeft w:val="0"/>
      <w:marRight w:val="0"/>
      <w:marTop w:val="0"/>
      <w:marBottom w:val="0"/>
      <w:divBdr>
        <w:top w:val="none" w:sz="0" w:space="0" w:color="auto"/>
        <w:left w:val="none" w:sz="0" w:space="0" w:color="auto"/>
        <w:bottom w:val="none" w:sz="0" w:space="0" w:color="auto"/>
        <w:right w:val="none" w:sz="0" w:space="0" w:color="auto"/>
      </w:divBdr>
    </w:div>
    <w:div w:id="614558294">
      <w:bodyDiv w:val="1"/>
      <w:marLeft w:val="0"/>
      <w:marRight w:val="0"/>
      <w:marTop w:val="0"/>
      <w:marBottom w:val="0"/>
      <w:divBdr>
        <w:top w:val="none" w:sz="0" w:space="0" w:color="auto"/>
        <w:left w:val="none" w:sz="0" w:space="0" w:color="auto"/>
        <w:bottom w:val="none" w:sz="0" w:space="0" w:color="auto"/>
        <w:right w:val="none" w:sz="0" w:space="0" w:color="auto"/>
      </w:divBdr>
    </w:div>
    <w:div w:id="640580308">
      <w:bodyDiv w:val="1"/>
      <w:marLeft w:val="0"/>
      <w:marRight w:val="0"/>
      <w:marTop w:val="0"/>
      <w:marBottom w:val="0"/>
      <w:divBdr>
        <w:top w:val="none" w:sz="0" w:space="0" w:color="auto"/>
        <w:left w:val="none" w:sz="0" w:space="0" w:color="auto"/>
        <w:bottom w:val="none" w:sz="0" w:space="0" w:color="auto"/>
        <w:right w:val="none" w:sz="0" w:space="0" w:color="auto"/>
      </w:divBdr>
    </w:div>
    <w:div w:id="693845814">
      <w:bodyDiv w:val="1"/>
      <w:marLeft w:val="0"/>
      <w:marRight w:val="0"/>
      <w:marTop w:val="0"/>
      <w:marBottom w:val="0"/>
      <w:divBdr>
        <w:top w:val="none" w:sz="0" w:space="0" w:color="auto"/>
        <w:left w:val="none" w:sz="0" w:space="0" w:color="auto"/>
        <w:bottom w:val="none" w:sz="0" w:space="0" w:color="auto"/>
        <w:right w:val="none" w:sz="0" w:space="0" w:color="auto"/>
      </w:divBdr>
    </w:div>
    <w:div w:id="769354810">
      <w:bodyDiv w:val="1"/>
      <w:marLeft w:val="0"/>
      <w:marRight w:val="0"/>
      <w:marTop w:val="0"/>
      <w:marBottom w:val="0"/>
      <w:divBdr>
        <w:top w:val="none" w:sz="0" w:space="0" w:color="auto"/>
        <w:left w:val="none" w:sz="0" w:space="0" w:color="auto"/>
        <w:bottom w:val="none" w:sz="0" w:space="0" w:color="auto"/>
        <w:right w:val="none" w:sz="0" w:space="0" w:color="auto"/>
      </w:divBdr>
    </w:div>
    <w:div w:id="791443132">
      <w:bodyDiv w:val="1"/>
      <w:marLeft w:val="0"/>
      <w:marRight w:val="0"/>
      <w:marTop w:val="0"/>
      <w:marBottom w:val="0"/>
      <w:divBdr>
        <w:top w:val="none" w:sz="0" w:space="0" w:color="auto"/>
        <w:left w:val="none" w:sz="0" w:space="0" w:color="auto"/>
        <w:bottom w:val="none" w:sz="0" w:space="0" w:color="auto"/>
        <w:right w:val="none" w:sz="0" w:space="0" w:color="auto"/>
      </w:divBdr>
    </w:div>
    <w:div w:id="796989192">
      <w:bodyDiv w:val="1"/>
      <w:marLeft w:val="0"/>
      <w:marRight w:val="0"/>
      <w:marTop w:val="0"/>
      <w:marBottom w:val="0"/>
      <w:divBdr>
        <w:top w:val="none" w:sz="0" w:space="0" w:color="auto"/>
        <w:left w:val="none" w:sz="0" w:space="0" w:color="auto"/>
        <w:bottom w:val="none" w:sz="0" w:space="0" w:color="auto"/>
        <w:right w:val="none" w:sz="0" w:space="0" w:color="auto"/>
      </w:divBdr>
    </w:div>
    <w:div w:id="798769282">
      <w:bodyDiv w:val="1"/>
      <w:marLeft w:val="0"/>
      <w:marRight w:val="0"/>
      <w:marTop w:val="0"/>
      <w:marBottom w:val="0"/>
      <w:divBdr>
        <w:top w:val="none" w:sz="0" w:space="0" w:color="auto"/>
        <w:left w:val="none" w:sz="0" w:space="0" w:color="auto"/>
        <w:bottom w:val="none" w:sz="0" w:space="0" w:color="auto"/>
        <w:right w:val="none" w:sz="0" w:space="0" w:color="auto"/>
      </w:divBdr>
    </w:div>
    <w:div w:id="806893320">
      <w:bodyDiv w:val="1"/>
      <w:marLeft w:val="0"/>
      <w:marRight w:val="0"/>
      <w:marTop w:val="0"/>
      <w:marBottom w:val="0"/>
      <w:divBdr>
        <w:top w:val="none" w:sz="0" w:space="0" w:color="auto"/>
        <w:left w:val="none" w:sz="0" w:space="0" w:color="auto"/>
        <w:bottom w:val="none" w:sz="0" w:space="0" w:color="auto"/>
        <w:right w:val="none" w:sz="0" w:space="0" w:color="auto"/>
      </w:divBdr>
    </w:div>
    <w:div w:id="808546979">
      <w:bodyDiv w:val="1"/>
      <w:marLeft w:val="0"/>
      <w:marRight w:val="0"/>
      <w:marTop w:val="0"/>
      <w:marBottom w:val="0"/>
      <w:divBdr>
        <w:top w:val="none" w:sz="0" w:space="0" w:color="auto"/>
        <w:left w:val="none" w:sz="0" w:space="0" w:color="auto"/>
        <w:bottom w:val="none" w:sz="0" w:space="0" w:color="auto"/>
        <w:right w:val="none" w:sz="0" w:space="0" w:color="auto"/>
      </w:divBdr>
    </w:div>
    <w:div w:id="822239831">
      <w:bodyDiv w:val="1"/>
      <w:marLeft w:val="0"/>
      <w:marRight w:val="0"/>
      <w:marTop w:val="0"/>
      <w:marBottom w:val="0"/>
      <w:divBdr>
        <w:top w:val="none" w:sz="0" w:space="0" w:color="auto"/>
        <w:left w:val="none" w:sz="0" w:space="0" w:color="auto"/>
        <w:bottom w:val="none" w:sz="0" w:space="0" w:color="auto"/>
        <w:right w:val="none" w:sz="0" w:space="0" w:color="auto"/>
      </w:divBdr>
    </w:div>
    <w:div w:id="887297017">
      <w:bodyDiv w:val="1"/>
      <w:marLeft w:val="0"/>
      <w:marRight w:val="0"/>
      <w:marTop w:val="0"/>
      <w:marBottom w:val="0"/>
      <w:divBdr>
        <w:top w:val="none" w:sz="0" w:space="0" w:color="auto"/>
        <w:left w:val="none" w:sz="0" w:space="0" w:color="auto"/>
        <w:bottom w:val="none" w:sz="0" w:space="0" w:color="auto"/>
        <w:right w:val="none" w:sz="0" w:space="0" w:color="auto"/>
      </w:divBdr>
    </w:div>
    <w:div w:id="951014941">
      <w:bodyDiv w:val="1"/>
      <w:marLeft w:val="0"/>
      <w:marRight w:val="0"/>
      <w:marTop w:val="0"/>
      <w:marBottom w:val="0"/>
      <w:divBdr>
        <w:top w:val="none" w:sz="0" w:space="0" w:color="auto"/>
        <w:left w:val="none" w:sz="0" w:space="0" w:color="auto"/>
        <w:bottom w:val="none" w:sz="0" w:space="0" w:color="auto"/>
        <w:right w:val="none" w:sz="0" w:space="0" w:color="auto"/>
      </w:divBdr>
    </w:div>
    <w:div w:id="997926154">
      <w:bodyDiv w:val="1"/>
      <w:marLeft w:val="0"/>
      <w:marRight w:val="0"/>
      <w:marTop w:val="0"/>
      <w:marBottom w:val="0"/>
      <w:divBdr>
        <w:top w:val="none" w:sz="0" w:space="0" w:color="auto"/>
        <w:left w:val="none" w:sz="0" w:space="0" w:color="auto"/>
        <w:bottom w:val="none" w:sz="0" w:space="0" w:color="auto"/>
        <w:right w:val="none" w:sz="0" w:space="0" w:color="auto"/>
      </w:divBdr>
    </w:div>
    <w:div w:id="1041781198">
      <w:bodyDiv w:val="1"/>
      <w:marLeft w:val="0"/>
      <w:marRight w:val="0"/>
      <w:marTop w:val="0"/>
      <w:marBottom w:val="0"/>
      <w:divBdr>
        <w:top w:val="none" w:sz="0" w:space="0" w:color="auto"/>
        <w:left w:val="none" w:sz="0" w:space="0" w:color="auto"/>
        <w:bottom w:val="none" w:sz="0" w:space="0" w:color="auto"/>
        <w:right w:val="none" w:sz="0" w:space="0" w:color="auto"/>
      </w:divBdr>
    </w:div>
    <w:div w:id="1048653400">
      <w:bodyDiv w:val="1"/>
      <w:marLeft w:val="0"/>
      <w:marRight w:val="0"/>
      <w:marTop w:val="0"/>
      <w:marBottom w:val="0"/>
      <w:divBdr>
        <w:top w:val="none" w:sz="0" w:space="0" w:color="auto"/>
        <w:left w:val="none" w:sz="0" w:space="0" w:color="auto"/>
        <w:bottom w:val="none" w:sz="0" w:space="0" w:color="auto"/>
        <w:right w:val="none" w:sz="0" w:space="0" w:color="auto"/>
      </w:divBdr>
    </w:div>
    <w:div w:id="1072697824">
      <w:bodyDiv w:val="1"/>
      <w:marLeft w:val="0"/>
      <w:marRight w:val="0"/>
      <w:marTop w:val="0"/>
      <w:marBottom w:val="0"/>
      <w:divBdr>
        <w:top w:val="none" w:sz="0" w:space="0" w:color="auto"/>
        <w:left w:val="none" w:sz="0" w:space="0" w:color="auto"/>
        <w:bottom w:val="none" w:sz="0" w:space="0" w:color="auto"/>
        <w:right w:val="none" w:sz="0" w:space="0" w:color="auto"/>
      </w:divBdr>
    </w:div>
    <w:div w:id="1232035095">
      <w:bodyDiv w:val="1"/>
      <w:marLeft w:val="0"/>
      <w:marRight w:val="0"/>
      <w:marTop w:val="0"/>
      <w:marBottom w:val="0"/>
      <w:divBdr>
        <w:top w:val="none" w:sz="0" w:space="0" w:color="auto"/>
        <w:left w:val="none" w:sz="0" w:space="0" w:color="auto"/>
        <w:bottom w:val="none" w:sz="0" w:space="0" w:color="auto"/>
        <w:right w:val="none" w:sz="0" w:space="0" w:color="auto"/>
      </w:divBdr>
    </w:div>
    <w:div w:id="1336954908">
      <w:bodyDiv w:val="1"/>
      <w:marLeft w:val="0"/>
      <w:marRight w:val="0"/>
      <w:marTop w:val="0"/>
      <w:marBottom w:val="0"/>
      <w:divBdr>
        <w:top w:val="none" w:sz="0" w:space="0" w:color="auto"/>
        <w:left w:val="none" w:sz="0" w:space="0" w:color="auto"/>
        <w:bottom w:val="none" w:sz="0" w:space="0" w:color="auto"/>
        <w:right w:val="none" w:sz="0" w:space="0" w:color="auto"/>
      </w:divBdr>
    </w:div>
    <w:div w:id="1428890373">
      <w:bodyDiv w:val="1"/>
      <w:marLeft w:val="0"/>
      <w:marRight w:val="0"/>
      <w:marTop w:val="0"/>
      <w:marBottom w:val="0"/>
      <w:divBdr>
        <w:top w:val="none" w:sz="0" w:space="0" w:color="auto"/>
        <w:left w:val="none" w:sz="0" w:space="0" w:color="auto"/>
        <w:bottom w:val="none" w:sz="0" w:space="0" w:color="auto"/>
        <w:right w:val="none" w:sz="0" w:space="0" w:color="auto"/>
      </w:divBdr>
    </w:div>
    <w:div w:id="1457525058">
      <w:bodyDiv w:val="1"/>
      <w:marLeft w:val="0"/>
      <w:marRight w:val="0"/>
      <w:marTop w:val="0"/>
      <w:marBottom w:val="0"/>
      <w:divBdr>
        <w:top w:val="none" w:sz="0" w:space="0" w:color="auto"/>
        <w:left w:val="none" w:sz="0" w:space="0" w:color="auto"/>
        <w:bottom w:val="none" w:sz="0" w:space="0" w:color="auto"/>
        <w:right w:val="none" w:sz="0" w:space="0" w:color="auto"/>
      </w:divBdr>
    </w:div>
    <w:div w:id="1517646464">
      <w:bodyDiv w:val="1"/>
      <w:marLeft w:val="0"/>
      <w:marRight w:val="0"/>
      <w:marTop w:val="0"/>
      <w:marBottom w:val="0"/>
      <w:divBdr>
        <w:top w:val="none" w:sz="0" w:space="0" w:color="auto"/>
        <w:left w:val="none" w:sz="0" w:space="0" w:color="auto"/>
        <w:bottom w:val="none" w:sz="0" w:space="0" w:color="auto"/>
        <w:right w:val="none" w:sz="0" w:space="0" w:color="auto"/>
      </w:divBdr>
    </w:div>
    <w:div w:id="1560090726">
      <w:bodyDiv w:val="1"/>
      <w:marLeft w:val="0"/>
      <w:marRight w:val="0"/>
      <w:marTop w:val="0"/>
      <w:marBottom w:val="0"/>
      <w:divBdr>
        <w:top w:val="none" w:sz="0" w:space="0" w:color="auto"/>
        <w:left w:val="none" w:sz="0" w:space="0" w:color="auto"/>
        <w:bottom w:val="none" w:sz="0" w:space="0" w:color="auto"/>
        <w:right w:val="none" w:sz="0" w:space="0" w:color="auto"/>
      </w:divBdr>
    </w:div>
    <w:div w:id="1592346881">
      <w:bodyDiv w:val="1"/>
      <w:marLeft w:val="0"/>
      <w:marRight w:val="0"/>
      <w:marTop w:val="0"/>
      <w:marBottom w:val="0"/>
      <w:divBdr>
        <w:top w:val="none" w:sz="0" w:space="0" w:color="auto"/>
        <w:left w:val="none" w:sz="0" w:space="0" w:color="auto"/>
        <w:bottom w:val="none" w:sz="0" w:space="0" w:color="auto"/>
        <w:right w:val="none" w:sz="0" w:space="0" w:color="auto"/>
      </w:divBdr>
    </w:div>
    <w:div w:id="1617446669">
      <w:bodyDiv w:val="1"/>
      <w:marLeft w:val="0"/>
      <w:marRight w:val="0"/>
      <w:marTop w:val="0"/>
      <w:marBottom w:val="0"/>
      <w:divBdr>
        <w:top w:val="none" w:sz="0" w:space="0" w:color="auto"/>
        <w:left w:val="none" w:sz="0" w:space="0" w:color="auto"/>
        <w:bottom w:val="none" w:sz="0" w:space="0" w:color="auto"/>
        <w:right w:val="none" w:sz="0" w:space="0" w:color="auto"/>
      </w:divBdr>
    </w:div>
    <w:div w:id="1631932990">
      <w:bodyDiv w:val="1"/>
      <w:marLeft w:val="0"/>
      <w:marRight w:val="0"/>
      <w:marTop w:val="0"/>
      <w:marBottom w:val="0"/>
      <w:divBdr>
        <w:top w:val="none" w:sz="0" w:space="0" w:color="auto"/>
        <w:left w:val="none" w:sz="0" w:space="0" w:color="auto"/>
        <w:bottom w:val="none" w:sz="0" w:space="0" w:color="auto"/>
        <w:right w:val="none" w:sz="0" w:space="0" w:color="auto"/>
      </w:divBdr>
    </w:div>
    <w:div w:id="1677731800">
      <w:bodyDiv w:val="1"/>
      <w:marLeft w:val="0"/>
      <w:marRight w:val="0"/>
      <w:marTop w:val="0"/>
      <w:marBottom w:val="0"/>
      <w:divBdr>
        <w:top w:val="none" w:sz="0" w:space="0" w:color="auto"/>
        <w:left w:val="none" w:sz="0" w:space="0" w:color="auto"/>
        <w:bottom w:val="none" w:sz="0" w:space="0" w:color="auto"/>
        <w:right w:val="none" w:sz="0" w:space="0" w:color="auto"/>
      </w:divBdr>
    </w:div>
    <w:div w:id="1729109232">
      <w:bodyDiv w:val="1"/>
      <w:marLeft w:val="0"/>
      <w:marRight w:val="0"/>
      <w:marTop w:val="0"/>
      <w:marBottom w:val="0"/>
      <w:divBdr>
        <w:top w:val="none" w:sz="0" w:space="0" w:color="auto"/>
        <w:left w:val="none" w:sz="0" w:space="0" w:color="auto"/>
        <w:bottom w:val="none" w:sz="0" w:space="0" w:color="auto"/>
        <w:right w:val="none" w:sz="0" w:space="0" w:color="auto"/>
      </w:divBdr>
    </w:div>
    <w:div w:id="1746801528">
      <w:bodyDiv w:val="1"/>
      <w:marLeft w:val="0"/>
      <w:marRight w:val="0"/>
      <w:marTop w:val="0"/>
      <w:marBottom w:val="0"/>
      <w:divBdr>
        <w:top w:val="none" w:sz="0" w:space="0" w:color="auto"/>
        <w:left w:val="none" w:sz="0" w:space="0" w:color="auto"/>
        <w:bottom w:val="none" w:sz="0" w:space="0" w:color="auto"/>
        <w:right w:val="none" w:sz="0" w:space="0" w:color="auto"/>
      </w:divBdr>
    </w:div>
    <w:div w:id="1765878747">
      <w:bodyDiv w:val="1"/>
      <w:marLeft w:val="0"/>
      <w:marRight w:val="0"/>
      <w:marTop w:val="0"/>
      <w:marBottom w:val="0"/>
      <w:divBdr>
        <w:top w:val="none" w:sz="0" w:space="0" w:color="auto"/>
        <w:left w:val="none" w:sz="0" w:space="0" w:color="auto"/>
        <w:bottom w:val="none" w:sz="0" w:space="0" w:color="auto"/>
        <w:right w:val="none" w:sz="0" w:space="0" w:color="auto"/>
      </w:divBdr>
    </w:div>
    <w:div w:id="1826243788">
      <w:bodyDiv w:val="1"/>
      <w:marLeft w:val="0"/>
      <w:marRight w:val="0"/>
      <w:marTop w:val="0"/>
      <w:marBottom w:val="0"/>
      <w:divBdr>
        <w:top w:val="none" w:sz="0" w:space="0" w:color="auto"/>
        <w:left w:val="none" w:sz="0" w:space="0" w:color="auto"/>
        <w:bottom w:val="none" w:sz="0" w:space="0" w:color="auto"/>
        <w:right w:val="none" w:sz="0" w:space="0" w:color="auto"/>
      </w:divBdr>
    </w:div>
    <w:div w:id="1864514677">
      <w:bodyDiv w:val="1"/>
      <w:marLeft w:val="0"/>
      <w:marRight w:val="0"/>
      <w:marTop w:val="0"/>
      <w:marBottom w:val="0"/>
      <w:divBdr>
        <w:top w:val="none" w:sz="0" w:space="0" w:color="auto"/>
        <w:left w:val="none" w:sz="0" w:space="0" w:color="auto"/>
        <w:bottom w:val="none" w:sz="0" w:space="0" w:color="auto"/>
        <w:right w:val="none" w:sz="0" w:space="0" w:color="auto"/>
      </w:divBdr>
    </w:div>
    <w:div w:id="1881239058">
      <w:bodyDiv w:val="1"/>
      <w:marLeft w:val="0"/>
      <w:marRight w:val="0"/>
      <w:marTop w:val="0"/>
      <w:marBottom w:val="0"/>
      <w:divBdr>
        <w:top w:val="none" w:sz="0" w:space="0" w:color="auto"/>
        <w:left w:val="none" w:sz="0" w:space="0" w:color="auto"/>
        <w:bottom w:val="none" w:sz="0" w:space="0" w:color="auto"/>
        <w:right w:val="none" w:sz="0" w:space="0" w:color="auto"/>
      </w:divBdr>
    </w:div>
    <w:div w:id="2033024102">
      <w:bodyDiv w:val="1"/>
      <w:marLeft w:val="0"/>
      <w:marRight w:val="0"/>
      <w:marTop w:val="0"/>
      <w:marBottom w:val="0"/>
      <w:divBdr>
        <w:top w:val="none" w:sz="0" w:space="0" w:color="auto"/>
        <w:left w:val="none" w:sz="0" w:space="0" w:color="auto"/>
        <w:bottom w:val="none" w:sz="0" w:space="0" w:color="auto"/>
        <w:right w:val="none" w:sz="0" w:space="0" w:color="auto"/>
      </w:divBdr>
    </w:div>
    <w:div w:id="2090691795">
      <w:bodyDiv w:val="1"/>
      <w:marLeft w:val="0"/>
      <w:marRight w:val="0"/>
      <w:marTop w:val="0"/>
      <w:marBottom w:val="0"/>
      <w:divBdr>
        <w:top w:val="none" w:sz="0" w:space="0" w:color="auto"/>
        <w:left w:val="none" w:sz="0" w:space="0" w:color="auto"/>
        <w:bottom w:val="none" w:sz="0" w:space="0" w:color="auto"/>
        <w:right w:val="none" w:sz="0" w:space="0" w:color="auto"/>
      </w:divBdr>
    </w:div>
    <w:div w:id="2098861134">
      <w:bodyDiv w:val="1"/>
      <w:marLeft w:val="0"/>
      <w:marRight w:val="0"/>
      <w:marTop w:val="0"/>
      <w:marBottom w:val="0"/>
      <w:divBdr>
        <w:top w:val="none" w:sz="0" w:space="0" w:color="auto"/>
        <w:left w:val="none" w:sz="0" w:space="0" w:color="auto"/>
        <w:bottom w:val="none" w:sz="0" w:space="0" w:color="auto"/>
        <w:right w:val="none" w:sz="0" w:space="0" w:color="auto"/>
      </w:divBdr>
    </w:div>
    <w:div w:id="2098868137">
      <w:bodyDiv w:val="1"/>
      <w:marLeft w:val="0"/>
      <w:marRight w:val="0"/>
      <w:marTop w:val="0"/>
      <w:marBottom w:val="0"/>
      <w:divBdr>
        <w:top w:val="none" w:sz="0" w:space="0" w:color="auto"/>
        <w:left w:val="none" w:sz="0" w:space="0" w:color="auto"/>
        <w:bottom w:val="none" w:sz="0" w:space="0" w:color="auto"/>
        <w:right w:val="none" w:sz="0" w:space="0" w:color="auto"/>
      </w:divBdr>
    </w:div>
    <w:div w:id="2103603136">
      <w:bodyDiv w:val="1"/>
      <w:marLeft w:val="0"/>
      <w:marRight w:val="0"/>
      <w:marTop w:val="0"/>
      <w:marBottom w:val="0"/>
      <w:divBdr>
        <w:top w:val="none" w:sz="0" w:space="0" w:color="auto"/>
        <w:left w:val="none" w:sz="0" w:space="0" w:color="auto"/>
        <w:bottom w:val="none" w:sz="0" w:space="0" w:color="auto"/>
        <w:right w:val="none" w:sz="0" w:space="0" w:color="auto"/>
      </w:divBdr>
    </w:div>
    <w:div w:id="21169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4/relationships/chartEx" Target="charts/chartEx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6.xml"/><Relationship Id="rId1" Type="http://schemas.microsoft.com/office/2011/relationships/chartStyle" Target="style6.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ownloads\amazon%20ratio.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hp\Downloads\amazon%20rat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Fundamental Analysis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Ratios'!$I$33</c:f>
              <c:strCache>
                <c:ptCount val="1"/>
                <c:pt idx="0">
                  <c:v>Return on assets (ROA)</c:v>
                </c:pt>
              </c:strCache>
            </c:strRef>
          </c:tx>
          <c:spPr>
            <a:ln w="22225" cap="rnd">
              <a:solidFill>
                <a:schemeClr val="accent2"/>
              </a:solidFill>
              <a:round/>
            </a:ln>
            <a:effectLst/>
          </c:spPr>
          <c:marker>
            <c:symbol val="diamond"/>
            <c:size val="6"/>
            <c:spPr>
              <a:solidFill>
                <a:schemeClr val="accent2"/>
              </a:solidFill>
              <a:ln w="9525">
                <a:solidFill>
                  <a:schemeClr val="accent2"/>
                </a:solidFill>
                <a:round/>
              </a:ln>
              <a:effectLst/>
            </c:spPr>
          </c:marker>
          <c:cat>
            <c:numRef>
              <c:f>'List of Ratios'!$J$32:$L$32</c:f>
              <c:numCache>
                <c:formatCode>General</c:formatCode>
                <c:ptCount val="3"/>
                <c:pt idx="0">
                  <c:v>2017</c:v>
                </c:pt>
                <c:pt idx="1">
                  <c:v>2018</c:v>
                </c:pt>
                <c:pt idx="2">
                  <c:v>2019</c:v>
                </c:pt>
              </c:numCache>
            </c:numRef>
          </c:cat>
          <c:val>
            <c:numRef>
              <c:f>'List of Ratios'!$J$33:$L$33</c:f>
              <c:numCache>
                <c:formatCode>0%</c:formatCode>
                <c:ptCount val="3"/>
                <c:pt idx="0">
                  <c:v>2.3098012337217273E-2</c:v>
                </c:pt>
                <c:pt idx="1">
                  <c:v>4.4719597954254862E-2</c:v>
                </c:pt>
                <c:pt idx="2">
                  <c:v>7.1245880674831535E-2</c:v>
                </c:pt>
              </c:numCache>
            </c:numRef>
          </c:val>
          <c:smooth val="0"/>
          <c:extLst>
            <c:ext xmlns:c16="http://schemas.microsoft.com/office/drawing/2014/chart" uri="{C3380CC4-5D6E-409C-BE32-E72D297353CC}">
              <c16:uniqueId val="{00000000-C6CE-4DE1-990C-BCC99AB0BB70}"/>
            </c:ext>
          </c:extLst>
        </c:ser>
        <c:ser>
          <c:idx val="1"/>
          <c:order val="1"/>
          <c:tx>
            <c:strRef>
              <c:f>'List of Ratios'!$I$34</c:f>
              <c:strCache>
                <c:ptCount val="1"/>
                <c:pt idx="0">
                  <c:v>Return on equity (ROE)</c:v>
                </c:pt>
              </c:strCache>
            </c:strRef>
          </c:tx>
          <c:spPr>
            <a:ln w="22225" cap="rnd">
              <a:solidFill>
                <a:schemeClr val="accent4"/>
              </a:solidFill>
              <a:round/>
            </a:ln>
            <a:effectLst/>
          </c:spPr>
          <c:marker>
            <c:symbol val="square"/>
            <c:size val="6"/>
            <c:spPr>
              <a:solidFill>
                <a:schemeClr val="accent4"/>
              </a:solidFill>
              <a:ln w="9525">
                <a:solidFill>
                  <a:schemeClr val="accent4"/>
                </a:solidFill>
                <a:round/>
              </a:ln>
              <a:effectLst/>
            </c:spPr>
          </c:marker>
          <c:cat>
            <c:numRef>
              <c:f>'List of Ratios'!$J$32:$L$32</c:f>
              <c:numCache>
                <c:formatCode>General</c:formatCode>
                <c:ptCount val="3"/>
                <c:pt idx="0">
                  <c:v>2017</c:v>
                </c:pt>
                <c:pt idx="1">
                  <c:v>2018</c:v>
                </c:pt>
                <c:pt idx="2">
                  <c:v>2019</c:v>
                </c:pt>
              </c:numCache>
            </c:numRef>
          </c:cat>
          <c:val>
            <c:numRef>
              <c:f>'List of Ratios'!$J$34:$L$34</c:f>
              <c:numCache>
                <c:formatCode>0%</c:formatCode>
                <c:ptCount val="3"/>
                <c:pt idx="0">
                  <c:v>0.10945902053484427</c:v>
                </c:pt>
                <c:pt idx="1">
                  <c:v>0.16231066709635836</c:v>
                </c:pt>
                <c:pt idx="2">
                  <c:v>0.26609106982938757</c:v>
                </c:pt>
              </c:numCache>
            </c:numRef>
          </c:val>
          <c:smooth val="0"/>
          <c:extLst>
            <c:ext xmlns:c16="http://schemas.microsoft.com/office/drawing/2014/chart" uri="{C3380CC4-5D6E-409C-BE32-E72D297353CC}">
              <c16:uniqueId val="{00000001-C6CE-4DE1-990C-BCC99AB0BB70}"/>
            </c:ext>
          </c:extLst>
        </c:ser>
        <c:ser>
          <c:idx val="2"/>
          <c:order val="2"/>
          <c:tx>
            <c:strRef>
              <c:f>'List of Ratios'!$I$35</c:f>
              <c:strCache>
                <c:ptCount val="1"/>
                <c:pt idx="0">
                  <c:v>Return on capital employed (ROCE)</c:v>
                </c:pt>
              </c:strCache>
            </c:strRef>
          </c:tx>
          <c:spPr>
            <a:ln w="22225" cap="rnd">
              <a:solidFill>
                <a:schemeClr val="accent6"/>
              </a:solidFill>
              <a:round/>
            </a:ln>
            <a:effectLst/>
          </c:spPr>
          <c:marker>
            <c:symbol val="triangle"/>
            <c:size val="6"/>
            <c:spPr>
              <a:solidFill>
                <a:schemeClr val="accent6"/>
              </a:solidFill>
              <a:ln w="9525">
                <a:solidFill>
                  <a:schemeClr val="accent6"/>
                </a:solidFill>
                <a:round/>
              </a:ln>
              <a:effectLst/>
            </c:spPr>
          </c:marker>
          <c:cat>
            <c:numRef>
              <c:f>'List of Ratios'!$J$32:$L$32</c:f>
              <c:numCache>
                <c:formatCode>General</c:formatCode>
                <c:ptCount val="3"/>
                <c:pt idx="0">
                  <c:v>2017</c:v>
                </c:pt>
                <c:pt idx="1">
                  <c:v>2018</c:v>
                </c:pt>
                <c:pt idx="2">
                  <c:v>2019</c:v>
                </c:pt>
              </c:numCache>
            </c:numRef>
          </c:cat>
          <c:val>
            <c:numRef>
              <c:f>'List of Ratios'!$J$35:$L$35</c:f>
              <c:numCache>
                <c:formatCode>0%</c:formatCode>
                <c:ptCount val="3"/>
                <c:pt idx="0">
                  <c:v>4.3494841210991293E-2</c:v>
                </c:pt>
                <c:pt idx="1">
                  <c:v>9.0376611659245029E-2</c:v>
                </c:pt>
                <c:pt idx="2">
                  <c:v>0.15426970941150259</c:v>
                </c:pt>
              </c:numCache>
            </c:numRef>
          </c:val>
          <c:smooth val="0"/>
          <c:extLst>
            <c:ext xmlns:c16="http://schemas.microsoft.com/office/drawing/2014/chart" uri="{C3380CC4-5D6E-409C-BE32-E72D297353CC}">
              <c16:uniqueId val="{00000002-C6CE-4DE1-990C-BCC99AB0BB70}"/>
            </c:ext>
          </c:extLst>
        </c:ser>
        <c:dLbls>
          <c:showLegendKey val="0"/>
          <c:showVal val="0"/>
          <c:showCatName val="0"/>
          <c:showSerName val="0"/>
          <c:showPercent val="0"/>
          <c:showBubbleSize val="0"/>
        </c:dLbls>
        <c:marker val="1"/>
        <c:smooth val="0"/>
        <c:axId val="1626315135"/>
        <c:axId val="1626294495"/>
      </c:lineChart>
      <c:catAx>
        <c:axId val="1626315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26294495"/>
        <c:crosses val="autoZero"/>
        <c:auto val="1"/>
        <c:lblAlgn val="ctr"/>
        <c:lblOffset val="100"/>
        <c:noMultiLvlLbl val="0"/>
      </c:catAx>
      <c:valAx>
        <c:axId val="1626294495"/>
        <c:scaling>
          <c:orientation val="minMax"/>
        </c:scaling>
        <c:delete val="0"/>
        <c:axPos val="l"/>
        <c:numFmt formatCode="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63151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Profitability Analysis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Ratios'!$I$4</c:f>
              <c:strCache>
                <c:ptCount val="1"/>
                <c:pt idx="0">
                  <c:v>Gross margin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Ratios'!$J$3:$L$3</c:f>
              <c:numCache>
                <c:formatCode>General</c:formatCode>
                <c:ptCount val="3"/>
                <c:pt idx="0">
                  <c:v>2017</c:v>
                </c:pt>
                <c:pt idx="1">
                  <c:v>2018</c:v>
                </c:pt>
                <c:pt idx="2">
                  <c:v>2019</c:v>
                </c:pt>
              </c:numCache>
            </c:numRef>
          </c:cat>
          <c:val>
            <c:numRef>
              <c:f>'List of Ratios'!$J$4:$L$4</c:f>
              <c:numCache>
                <c:formatCode>0%</c:formatCode>
                <c:ptCount val="3"/>
                <c:pt idx="0">
                  <c:v>0.3706835482891615</c:v>
                </c:pt>
                <c:pt idx="1">
                  <c:v>0.40247416128852193</c:v>
                </c:pt>
                <c:pt idx="2">
                  <c:v>0.40990011478600608</c:v>
                </c:pt>
              </c:numCache>
            </c:numRef>
          </c:val>
          <c:extLst>
            <c:ext xmlns:c16="http://schemas.microsoft.com/office/drawing/2014/chart" uri="{C3380CC4-5D6E-409C-BE32-E72D297353CC}">
              <c16:uniqueId val="{00000000-9C8A-4986-A3A2-B16B9C756566}"/>
            </c:ext>
          </c:extLst>
        </c:ser>
        <c:ser>
          <c:idx val="1"/>
          <c:order val="1"/>
          <c:tx>
            <c:strRef>
              <c:f>'List of Ratios'!$I$5</c:f>
              <c:strCache>
                <c:ptCount val="1"/>
                <c:pt idx="0">
                  <c:v>EBIT margin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Ratios'!$J$3:$L$3</c:f>
              <c:numCache>
                <c:formatCode>General</c:formatCode>
                <c:ptCount val="3"/>
                <c:pt idx="0">
                  <c:v>2017</c:v>
                </c:pt>
                <c:pt idx="1">
                  <c:v>2018</c:v>
                </c:pt>
                <c:pt idx="2">
                  <c:v>2019</c:v>
                </c:pt>
              </c:numCache>
            </c:numRef>
          </c:cat>
          <c:val>
            <c:numRef>
              <c:f>'List of Ratios'!$J$5:$L$5</c:f>
              <c:numCache>
                <c:formatCode>0.0%</c:formatCode>
                <c:ptCount val="3"/>
                <c:pt idx="0">
                  <c:v>2.3084794170892695E-2</c:v>
                </c:pt>
                <c:pt idx="1">
                  <c:v>5.3334879147397665E-2</c:v>
                </c:pt>
                <c:pt idx="2">
                  <c:v>5.1835506662579051E-2</c:v>
                </c:pt>
              </c:numCache>
            </c:numRef>
          </c:val>
          <c:extLst>
            <c:ext xmlns:c16="http://schemas.microsoft.com/office/drawing/2014/chart" uri="{C3380CC4-5D6E-409C-BE32-E72D297353CC}">
              <c16:uniqueId val="{00000001-9C8A-4986-A3A2-B16B9C756566}"/>
            </c:ext>
          </c:extLst>
        </c:ser>
        <c:dLbls>
          <c:showLegendKey val="0"/>
          <c:showVal val="0"/>
          <c:showCatName val="0"/>
          <c:showSerName val="0"/>
          <c:showPercent val="0"/>
          <c:showBubbleSize val="0"/>
        </c:dLbls>
        <c:gapWidth val="100"/>
        <c:overlap val="-24"/>
        <c:axId val="1317609727"/>
        <c:axId val="1317608767"/>
      </c:barChart>
      <c:catAx>
        <c:axId val="13176097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08767"/>
        <c:crosses val="autoZero"/>
        <c:auto val="1"/>
        <c:lblAlgn val="ctr"/>
        <c:lblOffset val="100"/>
        <c:noMultiLvlLbl val="0"/>
      </c:catAx>
      <c:valAx>
        <c:axId val="13176087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0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'List of Ratios'!$I$8</c:f>
              <c:strCache>
                <c:ptCount val="1"/>
                <c:pt idx="0">
                  <c:v>Net margin</c:v>
                </c:pt>
              </c:strCache>
            </c:strRef>
          </c:tx>
          <c:spPr>
            <a:ln w="38100" cap="flat" cmpd="dbl" algn="ctr">
              <a:solidFill>
                <a:schemeClr val="accent1"/>
              </a:solidFill>
              <a:miter lim="800000"/>
            </a:ln>
            <a:effectLst/>
          </c:spPr>
          <c:marker>
            <c:symbol val="none"/>
          </c:marker>
          <c:cat>
            <c:numRef>
              <c:f>'List of Ratios'!$J$7:$L$7</c:f>
              <c:numCache>
                <c:formatCode>General</c:formatCode>
                <c:ptCount val="3"/>
                <c:pt idx="0">
                  <c:v>2017</c:v>
                </c:pt>
                <c:pt idx="1">
                  <c:v>2018</c:v>
                </c:pt>
                <c:pt idx="2">
                  <c:v>2019</c:v>
                </c:pt>
              </c:numCache>
            </c:numRef>
          </c:cat>
          <c:val>
            <c:numRef>
              <c:f>'List of Ratios'!$J$8:$L$8</c:f>
              <c:numCache>
                <c:formatCode>0.0%</c:formatCode>
                <c:ptCount val="3"/>
                <c:pt idx="0">
                  <c:v>1.7052162864178651E-2</c:v>
                </c:pt>
                <c:pt idx="1">
                  <c:v>4.3252736305590261E-2</c:v>
                </c:pt>
                <c:pt idx="2">
                  <c:v>4.1308703060722513E-2</c:v>
                </c:pt>
              </c:numCache>
            </c:numRef>
          </c:val>
          <c:smooth val="0"/>
          <c:extLst>
            <c:ext xmlns:c16="http://schemas.microsoft.com/office/drawing/2014/chart" uri="{C3380CC4-5D6E-409C-BE32-E72D297353CC}">
              <c16:uniqueId val="{00000000-5EBA-4B8A-BD7E-4E1A63F90AEE}"/>
            </c:ext>
          </c:extLst>
        </c:ser>
        <c:dLbls>
          <c:showLegendKey val="0"/>
          <c:showVal val="0"/>
          <c:showCatName val="0"/>
          <c:showSerName val="0"/>
          <c:showPercent val="0"/>
          <c:showBubbleSize val="0"/>
        </c:dLbls>
        <c:smooth val="0"/>
        <c:axId val="1317610207"/>
        <c:axId val="1317603967"/>
      </c:lineChart>
      <c:catAx>
        <c:axId val="1317610207"/>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03967"/>
        <c:crosses val="autoZero"/>
        <c:auto val="1"/>
        <c:lblAlgn val="ctr"/>
        <c:lblOffset val="100"/>
        <c:noMultiLvlLbl val="0"/>
      </c:catAx>
      <c:valAx>
        <c:axId val="1317603967"/>
        <c:scaling>
          <c:orientation val="minMax"/>
        </c:scaling>
        <c:delete val="0"/>
        <c:axPos val="l"/>
        <c:numFmt formatCode="0.0%"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10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EPS &amp; Stock Price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Ratios'!$I$12</c:f>
              <c:strCache>
                <c:ptCount val="1"/>
                <c:pt idx="0">
                  <c:v>Earnings per share (EPS)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Ratios'!$J$11:$L$11</c:f>
              <c:numCache>
                <c:formatCode>General</c:formatCode>
                <c:ptCount val="3"/>
                <c:pt idx="0">
                  <c:v>2017</c:v>
                </c:pt>
                <c:pt idx="1">
                  <c:v>2018</c:v>
                </c:pt>
                <c:pt idx="2">
                  <c:v>2019</c:v>
                </c:pt>
              </c:numCache>
            </c:numRef>
          </c:cat>
          <c:val>
            <c:numRef>
              <c:f>'List of Ratios'!$J$12:$L$12</c:f>
              <c:numCache>
                <c:formatCode>General</c:formatCode>
                <c:ptCount val="3"/>
                <c:pt idx="0">
                  <c:v>6.32</c:v>
                </c:pt>
                <c:pt idx="1">
                  <c:v>20.68</c:v>
                </c:pt>
                <c:pt idx="2">
                  <c:v>23.46</c:v>
                </c:pt>
              </c:numCache>
            </c:numRef>
          </c:val>
          <c:extLst>
            <c:ext xmlns:c16="http://schemas.microsoft.com/office/drawing/2014/chart" uri="{C3380CC4-5D6E-409C-BE32-E72D297353CC}">
              <c16:uniqueId val="{00000000-07CB-47EC-8266-D000478356DA}"/>
            </c:ext>
          </c:extLst>
        </c:ser>
        <c:ser>
          <c:idx val="1"/>
          <c:order val="1"/>
          <c:tx>
            <c:strRef>
              <c:f>'List of Ratios'!$I$13</c:f>
              <c:strCache>
                <c:ptCount val="1"/>
                <c:pt idx="0">
                  <c:v>Stock price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Ratios'!$J$11:$L$11</c:f>
              <c:numCache>
                <c:formatCode>General</c:formatCode>
                <c:ptCount val="3"/>
                <c:pt idx="0">
                  <c:v>2017</c:v>
                </c:pt>
                <c:pt idx="1">
                  <c:v>2018</c:v>
                </c:pt>
                <c:pt idx="2">
                  <c:v>2019</c:v>
                </c:pt>
              </c:numCache>
            </c:numRef>
          </c:cat>
          <c:val>
            <c:numRef>
              <c:f>'List of Ratios'!$J$13:$L$13</c:f>
              <c:numCache>
                <c:formatCode>General</c:formatCode>
                <c:ptCount val="3"/>
                <c:pt idx="0">
                  <c:v>50</c:v>
                </c:pt>
                <c:pt idx="1">
                  <c:v>80</c:v>
                </c:pt>
                <c:pt idx="2">
                  <c:v>90</c:v>
                </c:pt>
              </c:numCache>
            </c:numRef>
          </c:val>
          <c:extLst>
            <c:ext xmlns:c16="http://schemas.microsoft.com/office/drawing/2014/chart" uri="{C3380CC4-5D6E-409C-BE32-E72D297353CC}">
              <c16:uniqueId val="{00000001-07CB-47EC-8266-D000478356DA}"/>
            </c:ext>
          </c:extLst>
        </c:ser>
        <c:dLbls>
          <c:showLegendKey val="0"/>
          <c:showVal val="0"/>
          <c:showCatName val="0"/>
          <c:showSerName val="0"/>
          <c:showPercent val="0"/>
          <c:showBubbleSize val="0"/>
        </c:dLbls>
        <c:gapWidth val="100"/>
        <c:overlap val="-24"/>
        <c:axId val="1317600127"/>
        <c:axId val="1317602527"/>
      </c:barChart>
      <c:catAx>
        <c:axId val="13176001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02527"/>
        <c:crosses val="autoZero"/>
        <c:auto val="1"/>
        <c:lblAlgn val="ctr"/>
        <c:lblOffset val="100"/>
        <c:noMultiLvlLbl val="0"/>
      </c:catAx>
      <c:valAx>
        <c:axId val="13176025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7600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Working</a:t>
            </a:r>
            <a:r>
              <a:rPr lang="en-US" baseline="0"/>
              <a:t> Capital</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'List of Ratios'!$J$16</c:f>
              <c:strCache>
                <c:ptCount val="1"/>
                <c:pt idx="0">
                  <c:v>2017</c:v>
                </c:pt>
              </c:strCache>
            </c:strRef>
          </c:tx>
          <c:spPr>
            <a:gradFill rotWithShape="1">
              <a:gsLst>
                <a:gs pos="0">
                  <a:schemeClr val="accent5">
                    <a:shade val="65000"/>
                    <a:satMod val="103000"/>
                    <a:lumMod val="102000"/>
                    <a:tint val="94000"/>
                  </a:schemeClr>
                </a:gs>
                <a:gs pos="50000">
                  <a:schemeClr val="accent5">
                    <a:shade val="65000"/>
                    <a:satMod val="110000"/>
                    <a:lumMod val="100000"/>
                    <a:shade val="100000"/>
                  </a:schemeClr>
                </a:gs>
                <a:gs pos="100000">
                  <a:schemeClr val="accent5">
                    <a:shade val="65000"/>
                    <a:lumMod val="99000"/>
                    <a:satMod val="120000"/>
                    <a:shade val="78000"/>
                  </a:schemeClr>
                </a:gs>
              </a:gsLst>
              <a:lin ang="5400000" scaled="0"/>
            </a:gradFill>
            <a:ln>
              <a:noFill/>
            </a:ln>
            <a:effectLst/>
          </c:spPr>
          <c:invertIfNegative val="0"/>
          <c:cat>
            <c:strRef>
              <c:f>'List of Ratios'!$I$17:$I$20</c:f>
              <c:strCache>
                <c:ptCount val="4"/>
                <c:pt idx="0">
                  <c:v>Inventory Days</c:v>
                </c:pt>
                <c:pt idx="1">
                  <c:v>Payable Days</c:v>
                </c:pt>
                <c:pt idx="2">
                  <c:v>Receivable Days</c:v>
                </c:pt>
                <c:pt idx="3">
                  <c:v>Net trading cycle</c:v>
                </c:pt>
              </c:strCache>
            </c:strRef>
          </c:cat>
          <c:val>
            <c:numRef>
              <c:f>'List of Ratios'!$J$17:$J$20</c:f>
              <c:numCache>
                <c:formatCode>0.00</c:formatCode>
                <c:ptCount val="4"/>
                <c:pt idx="0">
                  <c:v>52.326862258116392</c:v>
                </c:pt>
                <c:pt idx="1">
                  <c:v>112.87758857898403</c:v>
                </c:pt>
                <c:pt idx="2">
                  <c:v>27.013931836326226</c:v>
                </c:pt>
                <c:pt idx="3">
                  <c:v>-33.536794484541417</c:v>
                </c:pt>
              </c:numCache>
            </c:numRef>
          </c:val>
          <c:extLst>
            <c:ext xmlns:c16="http://schemas.microsoft.com/office/drawing/2014/chart" uri="{C3380CC4-5D6E-409C-BE32-E72D297353CC}">
              <c16:uniqueId val="{00000000-3ACA-4FC9-B615-B9606725EC00}"/>
            </c:ext>
          </c:extLst>
        </c:ser>
        <c:ser>
          <c:idx val="1"/>
          <c:order val="1"/>
          <c:tx>
            <c:strRef>
              <c:f>'List of Ratios'!$K$16</c:f>
              <c:strCache>
                <c:ptCount val="1"/>
                <c:pt idx="0">
                  <c:v>2018</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'List of Ratios'!$I$17:$I$20</c:f>
              <c:strCache>
                <c:ptCount val="4"/>
                <c:pt idx="0">
                  <c:v>Inventory Days</c:v>
                </c:pt>
                <c:pt idx="1">
                  <c:v>Payable Days</c:v>
                </c:pt>
                <c:pt idx="2">
                  <c:v>Receivable Days</c:v>
                </c:pt>
                <c:pt idx="3">
                  <c:v>Net trading cycle</c:v>
                </c:pt>
              </c:strCache>
            </c:strRef>
          </c:cat>
          <c:val>
            <c:numRef>
              <c:f>'List of Ratios'!$K$17:$K$20</c:f>
              <c:numCache>
                <c:formatCode>0.00</c:formatCode>
                <c:ptCount val="4"/>
                <c:pt idx="0">
                  <c:v>53.762719537784932</c:v>
                </c:pt>
                <c:pt idx="1">
                  <c:v>123.75891086262899</c:v>
                </c:pt>
                <c:pt idx="2">
                  <c:v>32.624577584837283</c:v>
                </c:pt>
                <c:pt idx="3">
                  <c:v>-37.371613740006779</c:v>
                </c:pt>
              </c:numCache>
            </c:numRef>
          </c:val>
          <c:extLst>
            <c:ext xmlns:c16="http://schemas.microsoft.com/office/drawing/2014/chart" uri="{C3380CC4-5D6E-409C-BE32-E72D297353CC}">
              <c16:uniqueId val="{00000001-3ACA-4FC9-B615-B9606725EC00}"/>
            </c:ext>
          </c:extLst>
        </c:ser>
        <c:ser>
          <c:idx val="2"/>
          <c:order val="2"/>
          <c:tx>
            <c:strRef>
              <c:f>'List of Ratios'!$L$16</c:f>
              <c:strCache>
                <c:ptCount val="1"/>
                <c:pt idx="0">
                  <c:v>2019</c:v>
                </c:pt>
              </c:strCache>
            </c:strRef>
          </c:tx>
          <c:spPr>
            <a:gradFill rotWithShape="1">
              <a:gsLst>
                <a:gs pos="0">
                  <a:schemeClr val="accent5">
                    <a:tint val="65000"/>
                    <a:satMod val="103000"/>
                    <a:lumMod val="102000"/>
                    <a:tint val="94000"/>
                  </a:schemeClr>
                </a:gs>
                <a:gs pos="50000">
                  <a:schemeClr val="accent5">
                    <a:tint val="65000"/>
                    <a:satMod val="110000"/>
                    <a:lumMod val="100000"/>
                    <a:shade val="100000"/>
                  </a:schemeClr>
                </a:gs>
                <a:gs pos="100000">
                  <a:schemeClr val="accent5">
                    <a:tint val="65000"/>
                    <a:lumMod val="99000"/>
                    <a:satMod val="120000"/>
                    <a:shade val="78000"/>
                  </a:schemeClr>
                </a:gs>
              </a:gsLst>
              <a:lin ang="5400000" scaled="0"/>
            </a:gradFill>
            <a:ln>
              <a:noFill/>
            </a:ln>
            <a:effectLst/>
          </c:spPr>
          <c:invertIfNegative val="0"/>
          <c:cat>
            <c:strRef>
              <c:f>'List of Ratios'!$I$17:$I$20</c:f>
              <c:strCache>
                <c:ptCount val="4"/>
                <c:pt idx="0">
                  <c:v>Inventory Days</c:v>
                </c:pt>
                <c:pt idx="1">
                  <c:v>Payable Days</c:v>
                </c:pt>
                <c:pt idx="2">
                  <c:v>Receivable Days</c:v>
                </c:pt>
                <c:pt idx="3">
                  <c:v>Net trading cycle</c:v>
                </c:pt>
              </c:strCache>
            </c:strRef>
          </c:cat>
          <c:val>
            <c:numRef>
              <c:f>'List of Ratios'!$L$17:$L$20</c:f>
              <c:numCache>
                <c:formatCode>0.00</c:formatCode>
                <c:ptCount val="4"/>
                <c:pt idx="0">
                  <c:v>37.867956214962305</c:v>
                </c:pt>
                <c:pt idx="1">
                  <c:v>84.211772665764556</c:v>
                </c:pt>
                <c:pt idx="2">
                  <c:v>21.699207192305771</c:v>
                </c:pt>
                <c:pt idx="3">
                  <c:v>-24.64460925849648</c:v>
                </c:pt>
              </c:numCache>
            </c:numRef>
          </c:val>
          <c:extLst>
            <c:ext xmlns:c16="http://schemas.microsoft.com/office/drawing/2014/chart" uri="{C3380CC4-5D6E-409C-BE32-E72D297353CC}">
              <c16:uniqueId val="{00000002-3ACA-4FC9-B615-B9606725EC00}"/>
            </c:ext>
          </c:extLst>
        </c:ser>
        <c:dLbls>
          <c:showLegendKey val="0"/>
          <c:showVal val="0"/>
          <c:showCatName val="0"/>
          <c:showSerName val="0"/>
          <c:showPercent val="0"/>
          <c:showBubbleSize val="0"/>
        </c:dLbls>
        <c:gapWidth val="100"/>
        <c:overlap val="-24"/>
        <c:axId val="1623688191"/>
        <c:axId val="1623681951"/>
      </c:barChart>
      <c:catAx>
        <c:axId val="162368819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23681951"/>
        <c:crosses val="autoZero"/>
        <c:auto val="1"/>
        <c:lblAlgn val="ctr"/>
        <c:lblOffset val="100"/>
        <c:noMultiLvlLbl val="0"/>
      </c:catAx>
      <c:valAx>
        <c:axId val="1623681951"/>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2368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Ratios'!$I$26</c:f>
              <c:strCache>
                <c:ptCount val="1"/>
                <c:pt idx="0">
                  <c:v>Total assets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'List of Ratios'!$J$25:$L$25</c:f>
              <c:numCache>
                <c:formatCode>General</c:formatCode>
                <c:ptCount val="3"/>
                <c:pt idx="0">
                  <c:v>2017</c:v>
                </c:pt>
                <c:pt idx="1">
                  <c:v>2018</c:v>
                </c:pt>
                <c:pt idx="2">
                  <c:v>2019</c:v>
                </c:pt>
              </c:numCache>
            </c:numRef>
          </c:cat>
          <c:val>
            <c:numRef>
              <c:f>'List of Ratios'!$J$26:$L$26</c:f>
              <c:numCache>
                <c:formatCode>\$\ #,##0</c:formatCode>
                <c:ptCount val="3"/>
                <c:pt idx="0">
                  <c:v>131310</c:v>
                </c:pt>
                <c:pt idx="1">
                  <c:v>225248</c:v>
                </c:pt>
                <c:pt idx="2">
                  <c:v>162648</c:v>
                </c:pt>
              </c:numCache>
            </c:numRef>
          </c:val>
          <c:smooth val="0"/>
          <c:extLst>
            <c:ext xmlns:c16="http://schemas.microsoft.com/office/drawing/2014/chart" uri="{C3380CC4-5D6E-409C-BE32-E72D297353CC}">
              <c16:uniqueId val="{00000000-776A-4956-A133-23F9E2DCC562}"/>
            </c:ext>
          </c:extLst>
        </c:ser>
        <c:dLbls>
          <c:showLegendKey val="0"/>
          <c:showVal val="0"/>
          <c:showCatName val="0"/>
          <c:showSerName val="0"/>
          <c:showPercent val="0"/>
          <c:showBubbleSize val="0"/>
        </c:dLbls>
        <c:marker val="1"/>
        <c:smooth val="0"/>
        <c:axId val="1570434815"/>
        <c:axId val="1570437695"/>
      </c:lineChart>
      <c:catAx>
        <c:axId val="1570434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70437695"/>
        <c:crosses val="autoZero"/>
        <c:auto val="1"/>
        <c:lblAlgn val="ctr"/>
        <c:lblOffset val="100"/>
        <c:noMultiLvlLbl val="0"/>
      </c:catAx>
      <c:valAx>
        <c:axId val="1570437695"/>
        <c:scaling>
          <c:orientation val="minMax"/>
        </c:scaling>
        <c:delete val="0"/>
        <c:axPos val="l"/>
        <c:numFmt formatCode="\$\ #,##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4348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Solvency Analysis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Ratios'!$I$29</c:f>
              <c:strCache>
                <c:ptCount val="1"/>
                <c:pt idx="0">
                  <c:v>Debt to total assets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Ratios'!$J$28:$L$28</c:f>
              <c:numCache>
                <c:formatCode>General</c:formatCode>
                <c:ptCount val="3"/>
                <c:pt idx="0">
                  <c:v>2017</c:v>
                </c:pt>
                <c:pt idx="1">
                  <c:v>2018</c:v>
                </c:pt>
                <c:pt idx="2">
                  <c:v>2019</c:v>
                </c:pt>
              </c:numCache>
            </c:numRef>
          </c:cat>
          <c:val>
            <c:numRef>
              <c:f>'List of Ratios'!$J$29:$L$29</c:f>
              <c:numCache>
                <c:formatCode>0.00</c:formatCode>
                <c:ptCount val="3"/>
                <c:pt idx="0">
                  <c:v>0.94871677709237678</c:v>
                </c:pt>
                <c:pt idx="1">
                  <c:v>0.72448146043472084</c:v>
                </c:pt>
                <c:pt idx="2">
                  <c:v>0.732250012296493</c:v>
                </c:pt>
              </c:numCache>
            </c:numRef>
          </c:val>
          <c:extLst>
            <c:ext xmlns:c16="http://schemas.microsoft.com/office/drawing/2014/chart" uri="{C3380CC4-5D6E-409C-BE32-E72D297353CC}">
              <c16:uniqueId val="{00000000-50F6-47E5-A801-1645467E3693}"/>
            </c:ext>
          </c:extLst>
        </c:ser>
        <c:dLbls>
          <c:showLegendKey val="0"/>
          <c:showVal val="0"/>
          <c:showCatName val="0"/>
          <c:showSerName val="0"/>
          <c:showPercent val="0"/>
          <c:showBubbleSize val="0"/>
        </c:dLbls>
        <c:gapWidth val="150"/>
        <c:axId val="1626305055"/>
        <c:axId val="1626303135"/>
      </c:barChart>
      <c:lineChart>
        <c:grouping val="standard"/>
        <c:varyColors val="0"/>
        <c:ser>
          <c:idx val="1"/>
          <c:order val="1"/>
          <c:tx>
            <c:strRef>
              <c:f>'List of Ratios'!$I$30</c:f>
              <c:strCache>
                <c:ptCount val="1"/>
                <c:pt idx="0">
                  <c:v>Times interest earned</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'List of Ratios'!$J$28:$L$28</c:f>
              <c:numCache>
                <c:formatCode>General</c:formatCode>
                <c:ptCount val="3"/>
                <c:pt idx="0">
                  <c:v>2017</c:v>
                </c:pt>
                <c:pt idx="1">
                  <c:v>2018</c:v>
                </c:pt>
                <c:pt idx="2">
                  <c:v>2019</c:v>
                </c:pt>
              </c:numCache>
            </c:numRef>
          </c:cat>
          <c:val>
            <c:numRef>
              <c:f>'List of Ratios'!$J$30:$L$30</c:f>
              <c:numCache>
                <c:formatCode>0.00</c:formatCode>
                <c:ptCount val="3"/>
                <c:pt idx="0">
                  <c:v>4.841981132075472</c:v>
                </c:pt>
                <c:pt idx="1">
                  <c:v>8.765702187720537</c:v>
                </c:pt>
                <c:pt idx="2">
                  <c:v>9.0881249999999998</c:v>
                </c:pt>
              </c:numCache>
            </c:numRef>
          </c:val>
          <c:smooth val="0"/>
          <c:extLst>
            <c:ext xmlns:c16="http://schemas.microsoft.com/office/drawing/2014/chart" uri="{C3380CC4-5D6E-409C-BE32-E72D297353CC}">
              <c16:uniqueId val="{00000001-50F6-47E5-A801-1645467E3693}"/>
            </c:ext>
          </c:extLst>
        </c:ser>
        <c:dLbls>
          <c:showLegendKey val="0"/>
          <c:showVal val="0"/>
          <c:showCatName val="0"/>
          <c:showSerName val="0"/>
          <c:showPercent val="0"/>
          <c:showBubbleSize val="0"/>
        </c:dLbls>
        <c:marker val="1"/>
        <c:smooth val="0"/>
        <c:axId val="1626305055"/>
        <c:axId val="1626303135"/>
      </c:lineChart>
      <c:catAx>
        <c:axId val="162630505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6303135"/>
        <c:crosses val="autoZero"/>
        <c:auto val="1"/>
        <c:lblAlgn val="ctr"/>
        <c:lblOffset val="100"/>
        <c:noMultiLvlLbl val="0"/>
      </c:catAx>
      <c:valAx>
        <c:axId val="1626303135"/>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6305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 of Ratios'!$I$17:$K$23</cx:f>
        <cx:lvl ptCount="7">
          <cx:pt idx="0">53.76</cx:pt>
          <cx:pt idx="1">123.76</cx:pt>
          <cx:pt idx="2">32.62</cx:pt>
          <cx:pt idx="3">-37.37</cx:pt>
          <cx:pt idx="4"/>
          <cx:pt idx="5"/>
          <cx:pt idx="6"/>
        </cx:lvl>
        <cx:lvl ptCount="7">
          <cx:pt idx="0">52.33</cx:pt>
          <cx:pt idx="1">112.88</cx:pt>
          <cx:pt idx="2">27.01</cx:pt>
          <cx:pt idx="3">-33.54</cx:pt>
          <cx:pt idx="4"/>
          <cx:pt idx="5"/>
          <cx:pt idx="6"/>
        </cx:lvl>
        <cx:lvl ptCount="7">
          <cx:pt idx="0">Inventory Days</cx:pt>
          <cx:pt idx="1">Payable Days</cx:pt>
          <cx:pt idx="2">Receivable Days</cx:pt>
          <cx:pt idx="3">Net trading cycle</cx:pt>
          <cx:pt idx="4"/>
          <cx:pt idx="5"/>
          <cx:pt idx="6"/>
        </cx:lvl>
      </cx:strDim>
      <cx:numDim type="val">
        <cx:f>'List of Ratios'!$L$17:$L$23</cx:f>
        <cx:lvl ptCount="7" formatCode="0.00">
          <cx:pt idx="0">37.867956214962305</cx:pt>
          <cx:pt idx="1">84.211772665764556</cx:pt>
          <cx:pt idx="2">21.699207192305771</cx:pt>
          <cx:pt idx="3">-24.64460925849648</cx:pt>
        </cx:lvl>
      </cx:numDim>
    </cx:data>
    <cx:data id="1">
      <cx:strDim type="cat">
        <cx:f>'List of Ratios'!$I$17:$K$23</cx:f>
        <cx:lvl ptCount="7">
          <cx:pt idx="0">53.76</cx:pt>
          <cx:pt idx="1">123.76</cx:pt>
          <cx:pt idx="2">32.62</cx:pt>
          <cx:pt idx="3">-37.37</cx:pt>
          <cx:pt idx="4"/>
          <cx:pt idx="5"/>
          <cx:pt idx="6"/>
        </cx:lvl>
        <cx:lvl ptCount="7">
          <cx:pt idx="0">52.33</cx:pt>
          <cx:pt idx="1">112.88</cx:pt>
          <cx:pt idx="2">27.01</cx:pt>
          <cx:pt idx="3">-33.54</cx:pt>
          <cx:pt idx="4"/>
          <cx:pt idx="5"/>
          <cx:pt idx="6"/>
        </cx:lvl>
        <cx:lvl ptCount="7">
          <cx:pt idx="0">Inventory Days</cx:pt>
          <cx:pt idx="1">Payable Days</cx:pt>
          <cx:pt idx="2">Receivable Days</cx:pt>
          <cx:pt idx="3">Net trading cycle</cx:pt>
          <cx:pt idx="4"/>
          <cx:pt idx="5"/>
          <cx:pt idx="6"/>
        </cx:lvl>
      </cx:strDim>
      <cx:numDim type="val">
        <cx:f>'List of Ratios'!$M$17:$M$23</cx:f>
        <cx:lvl ptCount="7" formatCode="#,##0"/>
      </cx:numDim>
    </cx:data>
  </cx:chartData>
  <cx:chart>
    <cx:title pos="t" align="ctr" overlay="0">
      <cx:tx>
        <cx:txData>
          <cx:v>Operating Waterfall Structure - 2019</cx:v>
        </cx:txData>
      </cx:tx>
      <cx:txPr>
        <a:bodyPr spcFirstLastPara="1" vertOverflow="ellipsis" horzOverflow="overflow" wrap="square" lIns="0" tIns="0" rIns="0" bIns="0" anchor="ctr" anchorCtr="1"/>
        <a:lstStyle/>
        <a:p>
          <a:pPr algn="ctr" rtl="0">
            <a:defRPr/>
          </a:pPr>
          <a:r>
            <a:rPr lang="en-US" sz="1600" b="1" i="0" u="none" strike="noStrike" baseline="0">
              <a:solidFill>
                <a:srgbClr val="44546A"/>
              </a:solidFill>
              <a:latin typeface="Calibri" panose="020F0502020204030204"/>
            </a:rPr>
            <a:t>Operating Waterfall Structure - 2019</a:t>
          </a:r>
        </a:p>
      </cx:txPr>
    </cx:title>
    <cx:plotArea>
      <cx:plotAreaRegion>
        <cx:series layoutId="waterfall" uniqueId="{A4FA208A-85BC-402B-8CF7-8878F51D7320}" formatIdx="0">
          <cx:tx>
            <cx:txData>
              <cx:f>'List of Ratios'!$L$16</cx:f>
              <cx:v>2019</cx:v>
            </cx:txData>
          </cx:tx>
          <cx:dataId val="0"/>
          <cx:layoutPr>
            <cx:subtotals/>
          </cx:layoutPr>
        </cx:series>
        <cx:series layoutId="waterfall" hidden="1" uniqueId="{216A80F9-C7E5-417F-8C14-FC3CAEE32AF9}" formatIdx="1">
          <cx:tx>
            <cx:txData>
              <cx:f>'List of Ratios'!$M$16</cx:f>
              <cx:v/>
            </cx:txData>
          </cx:tx>
          <cx:dataId val="1"/>
          <cx:layoutPr>
            <cx:subtotals/>
          </cx:layoutPr>
        </cx:series>
      </cx:plotAreaRegion>
      <cx:axis id="0">
        <cx:catScaling gapWidth="1"/>
        <cx:tickLabels/>
      </cx:axis>
      <cx:axis id="1">
        <cx:valScaling/>
        <cx:tickLabels/>
      </cx:axis>
    </cx:plotArea>
    <cx:legend pos="t" align="ctr" overlay="0"/>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99">
  <cs:axisTitle>
    <cs:lnRef idx="0"/>
    <cs:fillRef idx="0"/>
    <cs:effectRef idx="0"/>
    <cs:fontRef idx="minor">
      <a:schemeClr val="tx2"/>
    </cs:fontRef>
    <cs:defRPr sz="9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cs:chartArea>
  <cs:dataLabel>
    <cs:lnRef idx="0"/>
    <cs:fillRef idx="0"/>
    <cs:effectRef idx="0"/>
    <cs:fontRef idx="minor">
      <a:schemeClr val="tx2"/>
    </cs:fontRef>
    <cs:defRPr sz="9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2"/>
    </cs:fontRef>
    <cs:spPr>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cs:spPr>
  </cs:dataPoint>
  <cs:dataPoint3D>
    <cs:lnRef idx="0"/>
    <cs:fillRef idx="0">
      <cs:styleClr val="auto"/>
    </cs:fillRef>
    <cs:effectRef idx="0"/>
    <cs:fontRef idx="minor">
      <a:schemeClr val="tx2"/>
    </cs:fontRef>
    <cs:spPr>
      <a:solidFill>
        <a:schemeClr val="phClr"/>
      </a:solidFill>
    </cs:spPr>
  </cs:dataPoint3D>
  <cs:dataPointLine>
    <cs:lnRef idx="0">
      <cs:styleClr val="auto"/>
    </cs:lnRef>
    <cs:fillRef idx="0"/>
    <cs:effectRef idx="0"/>
    <cs:fontRef idx="minor">
      <a:schemeClr val="tx2"/>
    </cs:fontRef>
    <cs:spPr>
      <a:ln w="28575" cap="rnd">
        <a:solidFill>
          <a:schemeClr val="phClr"/>
        </a:solidFill>
        <a:round/>
      </a:ln>
    </cs:spPr>
  </cs:dataPointLine>
  <cs:dataPointMarker>
    <cs:lnRef idx="0"/>
    <cs:fillRef idx="0">
      <cs:styleClr val="auto"/>
    </cs:fillRef>
    <cs:effectRef idx="0"/>
    <cs:fontRef idx="minor">
      <a:schemeClr val="tx2"/>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2"/>
    </cs:fontRef>
    <cs:spPr>
      <a:ln w="2857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15000"/>
            <a:lumOff val="85000"/>
            <a:lumOff val="10000"/>
          </a:schemeClr>
        </a:solidFill>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2"/>
    </cs:fontRef>
    <cs:defRPr sz="9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cs:seriesAxis>
  <cs:seriesLine>
    <cs:lnRef idx="0"/>
    <cs:fillRef idx="0"/>
    <cs:effectRef idx="0"/>
    <cs:fontRef idx="minor">
      <a:schemeClr val="tx2"/>
    </cs:fontRef>
    <cs:spPr>
      <a:ln w="9525" cap="flat">
        <a:solidFill>
          <a:srgbClr val="D9D9D9"/>
        </a:solidFill>
        <a:round/>
      </a:ln>
    </cs:spPr>
  </cs:seriesLine>
  <cs:title>
    <cs:lnRef idx="0"/>
    <cs:fillRef idx="0"/>
    <cs:effectRef idx="0"/>
    <cs:fontRef idx="minor">
      <a:schemeClr val="tx2"/>
    </cs:fontRef>
    <cs:defRPr sz="1600" b="1"/>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ADC5-B8B4-4540-B533-39145299AC3A}">
  <ds:schemaRefs>
    <ds:schemaRef ds:uri="http://schemas.openxmlformats.org/officeDocument/2006/bibliography"/>
  </ds:schemaRefs>
</ds:datastoreItem>
</file>

<file path=docMetadata/LabelInfo.xml><?xml version="1.0" encoding="utf-8"?>
<clbl:labelList xmlns:clbl="http://schemas.microsoft.com/office/2020/mipLabelMetadata">
  <clbl:label id="{e3608b1d-a8c6-4d15-8d70-1c8023f30311}" enabled="1" method="Privileged" siteId="{53b7cac7-14be-46d4-be43-f2ad9244d90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1165</Words>
  <Characters>6921</Characters>
  <Application>Microsoft Office Word</Application>
  <DocSecurity>0</DocSecurity>
  <Lines>329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G</dc:creator>
  <cp:keywords/>
  <dc:description/>
  <cp:lastModifiedBy>Mehul G</cp:lastModifiedBy>
  <cp:revision>2</cp:revision>
  <dcterms:created xsi:type="dcterms:W3CDTF">2024-10-27T16:27:00Z</dcterms:created>
  <dcterms:modified xsi:type="dcterms:W3CDTF">2024-10-27T16:27:00Z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6c1d57f4-5dc9-42c5-9995-8ba61a6d5b06</vt:lpwstr>
  </property>
</Properties>
</file>